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spacing w:before="0" w:after="620" w:line="220" w:lineRule="exact"/>
        <w:ind w:left="0" w:right="0"/>
      </w:pPr>
    </w:p>
    <w:p>
      <w:pPr>
        <w:widowControl/>
        <w:tabs>
          <w:tab w:val="left" w:pos="2702"/>
        </w:tabs>
        <w:autoSpaceDE w:val="0"/>
        <w:autoSpaceDN w:val="0"/>
        <w:spacing w:before="1560" w:after="0" w:line="682" w:lineRule="exact"/>
        <w:ind w:left="2038" w:right="2016" w:firstLine="0"/>
        <w:jc w:val="left"/>
      </w:pPr>
      <w:r>
        <w:rPr>
          <w:rFonts w:ascii="FZXBSK--GBK1-0" w:hAnsi="FZXBSK--GBK1-0" w:eastAsia="FZXBSK--GBK1-0"/>
          <w:b w:val="0"/>
          <w:i w:val="0"/>
          <w:color w:val="000000"/>
          <w:sz w:val="44"/>
        </w:rPr>
        <w:t xml:space="preserve">乌鲁木齐市儿童公园 </w:t>
      </w:r>
      <w:r>
        <w:br w:type="textWrapping"/>
      </w:r>
      <w:r>
        <w:rPr>
          <w:rFonts w:ascii="FZXBSK--GBK1-0" w:hAnsi="FZXBSK--GBK1-0" w:eastAsia="FZXBSK--GBK1-0"/>
          <w:b w:val="0"/>
          <w:i w:val="0"/>
          <w:color w:val="000000"/>
          <w:sz w:val="44"/>
        </w:rPr>
        <w:t>2022年度部门决算公开说明</w:t>
      </w:r>
    </w:p>
    <w:p>
      <w:pPr>
        <w:sectPr>
          <w:pgSz w:w="12240" w:h="15840"/>
          <w:pgMar w:top="840" w:right="1440" w:bottom="1440" w:left="1440" w:header="720" w:footer="720" w:gutter="0"/>
          <w:cols w:space="720" w:num="1"/>
          <w:docGrid w:linePitch="360" w:charSpace="0"/>
        </w:sectPr>
      </w:pPr>
    </w:p>
    <w:p>
      <w:pPr>
        <w:widowControl/>
        <w:autoSpaceDE w:val="0"/>
        <w:autoSpaceDN w:val="0"/>
        <w:spacing w:before="0" w:after="562" w:line="220" w:lineRule="exact"/>
        <w:ind w:left="0" w:right="0"/>
      </w:pPr>
    </w:p>
    <w:p>
      <w:pPr>
        <w:widowControl/>
        <w:tabs>
          <w:tab w:val="left" w:pos="838"/>
          <w:tab w:val="left" w:pos="4140"/>
        </w:tabs>
        <w:autoSpaceDE w:val="0"/>
        <w:autoSpaceDN w:val="0"/>
        <w:spacing w:before="0" w:after="0" w:line="532" w:lineRule="exact"/>
        <w:ind w:left="360" w:right="1296" w:firstLine="0"/>
        <w:jc w:val="left"/>
      </w:pPr>
      <w:r>
        <w:tab/>
      </w:r>
      <w:r>
        <w:tab/>
      </w:r>
      <w:r>
        <w:rPr>
          <w:rFonts w:ascii="FangSong_GB2312" w:hAnsi="FangSong_GB2312" w:eastAsia="FangSong_GB2312"/>
          <w:b w:val="0"/>
          <w:i w:val="0"/>
          <w:color w:val="000000"/>
          <w:sz w:val="36"/>
        </w:rPr>
        <w:t>目  录</w:t>
      </w:r>
      <w:r>
        <w:br w:type="textWrapping"/>
      </w:r>
      <w:r>
        <w:rPr>
          <w:rFonts w:ascii="FangSong_GB2312" w:hAnsi="FangSong_GB2312" w:eastAsia="FangSong_GB2312"/>
          <w:b w:val="0"/>
          <w:i w:val="0"/>
          <w:color w:val="000000"/>
          <w:sz w:val="32"/>
        </w:rPr>
        <w:t>第一部分 单位概况</w:t>
      </w:r>
      <w:r>
        <w:br w:type="textWrapping"/>
      </w:r>
      <w:r>
        <w:rPr>
          <w:rFonts w:ascii="FangSong_GB2312" w:hAnsi="FangSong_GB2312" w:eastAsia="FangSong_GB2312"/>
          <w:b w:val="0"/>
          <w:i w:val="0"/>
          <w:color w:val="000000"/>
          <w:sz w:val="32"/>
        </w:rPr>
        <w:t>一、主要职能</w:t>
      </w:r>
      <w:r>
        <w:br w:type="textWrapping"/>
      </w:r>
      <w:r>
        <w:rPr>
          <w:rFonts w:ascii="FangSong_GB2312" w:hAnsi="FangSong_GB2312" w:eastAsia="FangSong_GB2312"/>
          <w:b w:val="0"/>
          <w:i w:val="0"/>
          <w:color w:val="000000"/>
          <w:sz w:val="32"/>
        </w:rPr>
        <w:t>二、机构设置及人员情况</w:t>
      </w:r>
      <w:r>
        <w:br w:type="textWrapping"/>
      </w:r>
      <w:r>
        <w:rPr>
          <w:rFonts w:ascii="FangSong_GB2312" w:hAnsi="FangSong_GB2312" w:eastAsia="FangSong_GB2312"/>
          <w:b w:val="0"/>
          <w:i w:val="0"/>
          <w:color w:val="000000"/>
          <w:sz w:val="32"/>
        </w:rPr>
        <w:t>第二部分 部门决算情况说明</w:t>
      </w:r>
      <w:r>
        <w:br w:type="textWrapping"/>
      </w:r>
      <w:r>
        <w:rPr>
          <w:rFonts w:ascii="FangSong_GB2312" w:hAnsi="FangSong_GB2312" w:eastAsia="FangSong_GB2312"/>
          <w:b w:val="0"/>
          <w:i w:val="0"/>
          <w:color w:val="000000"/>
          <w:sz w:val="32"/>
        </w:rPr>
        <w:t>一、收入支出决算总体情况说明</w:t>
      </w:r>
      <w:r>
        <w:br w:type="textWrapping"/>
      </w:r>
      <w:r>
        <w:rPr>
          <w:rFonts w:ascii="FangSong_GB2312" w:hAnsi="FangSong_GB2312" w:eastAsia="FangSong_GB2312"/>
          <w:b w:val="0"/>
          <w:i w:val="0"/>
          <w:color w:val="000000"/>
          <w:sz w:val="32"/>
        </w:rPr>
        <w:t>二、收入决算情况说明</w:t>
      </w:r>
      <w:r>
        <w:br w:type="textWrapping"/>
      </w:r>
      <w:r>
        <w:rPr>
          <w:rFonts w:ascii="FangSong_GB2312" w:hAnsi="FangSong_GB2312" w:eastAsia="FangSong_GB2312"/>
          <w:b w:val="0"/>
          <w:i w:val="0"/>
          <w:color w:val="000000"/>
          <w:sz w:val="32"/>
        </w:rPr>
        <w:t>三、支出决算情况说明</w:t>
      </w:r>
      <w:r>
        <w:br w:type="textWrapping"/>
      </w:r>
      <w:r>
        <w:rPr>
          <w:rFonts w:ascii="FangSong_GB2312" w:hAnsi="FangSong_GB2312" w:eastAsia="FangSong_GB2312"/>
          <w:b w:val="0"/>
          <w:i w:val="0"/>
          <w:color w:val="000000"/>
          <w:sz w:val="32"/>
        </w:rPr>
        <w:t>四、财政拨款收入支出决算总体情况说明</w:t>
      </w:r>
      <w:r>
        <w:br w:type="textWrapping"/>
      </w:r>
      <w:r>
        <w:rPr>
          <w:rFonts w:ascii="FangSong_GB2312" w:hAnsi="FangSong_GB2312" w:eastAsia="FangSong_GB2312"/>
          <w:b w:val="0"/>
          <w:i w:val="0"/>
          <w:color w:val="000000"/>
          <w:sz w:val="32"/>
        </w:rPr>
        <w:t>五、一般公共预算财政拨款支出决算情况说明</w:t>
      </w:r>
      <w:r>
        <w:br w:type="textWrapping"/>
      </w:r>
      <w:r>
        <w:rPr>
          <w:rFonts w:ascii="FangSong_GB2312" w:hAnsi="FangSong_GB2312" w:eastAsia="FangSong_GB2312"/>
          <w:b w:val="0"/>
          <w:i w:val="0"/>
          <w:color w:val="000000"/>
          <w:sz w:val="32"/>
        </w:rPr>
        <w:t>六、一般公共预算财政拨款基本支出决算情况说明七、财政拨款</w:t>
      </w:r>
      <w:r>
        <w:rPr>
          <w:rFonts w:ascii="TimesNewRomanPSMT" w:hAnsi="TimesNewRomanPSMT" w:eastAsia="TimesNewRomanPSMT"/>
          <w:b w:val="0"/>
          <w:i w:val="0"/>
          <w:color w:val="000000"/>
          <w:sz w:val="32"/>
        </w:rPr>
        <w:t>“</w:t>
      </w:r>
      <w:r>
        <w:rPr>
          <w:rFonts w:ascii="FangSong_GB2312" w:hAnsi="FangSong_GB2312" w:eastAsia="FangSong_GB2312"/>
          <w:b w:val="0"/>
          <w:i w:val="0"/>
          <w:color w:val="000000"/>
          <w:sz w:val="32"/>
        </w:rPr>
        <w:t>三公</w:t>
      </w:r>
      <w:r>
        <w:rPr>
          <w:rFonts w:ascii="TimesNewRomanPSMT" w:hAnsi="TimesNewRomanPSMT" w:eastAsia="TimesNewRomanPSMT"/>
          <w:b w:val="0"/>
          <w:i w:val="0"/>
          <w:color w:val="000000"/>
          <w:sz w:val="32"/>
        </w:rPr>
        <w:t>”</w:t>
      </w:r>
      <w:r>
        <w:rPr>
          <w:rFonts w:ascii="FangSong_GB2312" w:hAnsi="FangSong_GB2312" w:eastAsia="FangSong_GB2312"/>
          <w:b w:val="0"/>
          <w:i w:val="0"/>
          <w:color w:val="000000"/>
          <w:sz w:val="32"/>
        </w:rPr>
        <w:t>经费支出决算情况说明</w:t>
      </w:r>
      <w:r>
        <w:br w:type="textWrapping"/>
      </w:r>
      <w:r>
        <w:rPr>
          <w:rFonts w:ascii="FangSong_GB2312" w:hAnsi="FangSong_GB2312" w:eastAsia="FangSong_GB2312"/>
          <w:b w:val="0"/>
          <w:i w:val="0"/>
          <w:color w:val="000000"/>
          <w:sz w:val="32"/>
        </w:rPr>
        <w:t>八、政府性基金预算财政拨款收入支出决算情况说明九、国有资本经营预算财政拨款收入支出决算情况说明十、其他重要事项的情况说明</w:t>
      </w:r>
      <w:r>
        <w:br w:type="textWrapping"/>
      </w:r>
      <w:r>
        <w:rPr>
          <w:rFonts w:ascii="FangSong_GB2312" w:hAnsi="FangSong_GB2312" w:eastAsia="FangSong_GB2312"/>
          <w:b w:val="0"/>
          <w:i w:val="0"/>
          <w:color w:val="000000"/>
          <w:sz w:val="32"/>
        </w:rPr>
        <w:t>（一）机关运行经费支出情况</w:t>
      </w:r>
      <w:r>
        <w:br w:type="textWrapping"/>
      </w:r>
      <w:r>
        <w:rPr>
          <w:rFonts w:ascii="FangSong_GB2312" w:hAnsi="FangSong_GB2312" w:eastAsia="FangSong_GB2312"/>
          <w:b w:val="0"/>
          <w:i w:val="0"/>
          <w:color w:val="000000"/>
          <w:sz w:val="32"/>
        </w:rPr>
        <w:t>（二）政府采购情况</w:t>
      </w:r>
      <w:r>
        <w:br w:type="textWrapping"/>
      </w:r>
      <w:r>
        <w:rPr>
          <w:rFonts w:ascii="FangSong_GB2312" w:hAnsi="FangSong_GB2312" w:eastAsia="FangSong_GB2312"/>
          <w:b w:val="0"/>
          <w:i w:val="0"/>
          <w:color w:val="000000"/>
          <w:sz w:val="32"/>
        </w:rPr>
        <w:t>（三）国有资产占用情况说明</w:t>
      </w:r>
      <w:r>
        <w:br w:type="textWrapping"/>
      </w:r>
      <w:r>
        <w:rPr>
          <w:rFonts w:ascii="FangSong_GB2312" w:hAnsi="FangSong_GB2312" w:eastAsia="FangSong_GB2312"/>
          <w:b w:val="0"/>
          <w:i w:val="0"/>
          <w:color w:val="000000"/>
          <w:sz w:val="32"/>
        </w:rPr>
        <w:t>十一、预算绩效的情况说明</w:t>
      </w:r>
      <w:r>
        <w:br w:type="textWrapping"/>
      </w:r>
      <w:r>
        <w:rPr>
          <w:rFonts w:ascii="FangSong_GB2312" w:hAnsi="FangSong_GB2312" w:eastAsia="FangSong_GB2312"/>
          <w:b w:val="0"/>
          <w:i w:val="0"/>
          <w:color w:val="000000"/>
          <w:sz w:val="32"/>
        </w:rPr>
        <w:t>第三部分 专业名词解释</w:t>
      </w:r>
      <w:r>
        <w:br w:type="textWrapping"/>
      </w:r>
      <w:r>
        <w:rPr>
          <w:rFonts w:ascii="FangSong_GB2312" w:hAnsi="FangSong_GB2312" w:eastAsia="FangSong_GB2312"/>
          <w:b w:val="0"/>
          <w:i w:val="0"/>
          <w:color w:val="000000"/>
          <w:sz w:val="32"/>
        </w:rPr>
        <w:t>第四部分 部门决算报表（见附表）</w:t>
      </w:r>
      <w:r>
        <w:br w:type="textWrapping"/>
      </w:r>
      <w:r>
        <w:rPr>
          <w:rFonts w:ascii="FangSong_GB2312" w:hAnsi="FangSong_GB2312" w:eastAsia="FangSong_GB2312"/>
          <w:b w:val="0"/>
          <w:i w:val="0"/>
          <w:color w:val="000000"/>
          <w:sz w:val="32"/>
        </w:rPr>
        <w:t>一、《收入支出决算总表》</w:t>
      </w:r>
      <w:r>
        <w:br w:type="textWrapping"/>
      </w:r>
      <w:r>
        <w:rPr>
          <w:rFonts w:ascii="FangSong_GB2312" w:hAnsi="FangSong_GB2312" w:eastAsia="FangSong_GB2312"/>
          <w:b w:val="0"/>
          <w:i w:val="0"/>
          <w:color w:val="000000"/>
          <w:sz w:val="32"/>
        </w:rPr>
        <w:t>二、</w:t>
      </w:r>
      <w:r>
        <w:br w:type="textWrapping"/>
      </w:r>
      <w:r>
        <w:rPr>
          <w:rFonts w:ascii="FangSong_GB2312" w:hAnsi="FangSong_GB2312" w:eastAsia="FangSong_GB2312"/>
          <w:b w:val="0"/>
          <w:i w:val="0"/>
          <w:color w:val="000000"/>
          <w:sz w:val="32"/>
        </w:rPr>
        <w:t>《收入决算表》三、《支出决算表》</w:t>
      </w:r>
    </w:p>
    <w:p>
      <w:pPr>
        <w:sectPr>
          <w:pgSz w:w="12240" w:h="15840"/>
          <w:pgMar w:top="782" w:right="1440" w:bottom="752" w:left="1440" w:header="720" w:footer="720" w:gutter="0"/>
          <w:cols w:space="720" w:num="1"/>
          <w:docGrid w:linePitch="360" w:charSpace="0"/>
        </w:sectPr>
      </w:pPr>
    </w:p>
    <w:p>
      <w:pPr>
        <w:widowControl/>
        <w:autoSpaceDE w:val="0"/>
        <w:autoSpaceDN w:val="0"/>
        <w:spacing w:before="0" w:after="578" w:line="220" w:lineRule="exact"/>
        <w:ind w:left="0" w:right="0"/>
      </w:pPr>
    </w:p>
    <w:tbl>
      <w:tblPr>
        <w:tblStyle w:val="35"/>
        <w:tblW w:w="9360" w:type="dxa"/>
        <w:tblInd w:w="180" w:type="dxa"/>
        <w:tblLayout w:type="fixed"/>
        <w:tblCellMar>
          <w:top w:w="0" w:type="dxa"/>
          <w:left w:w="108" w:type="dxa"/>
          <w:bottom w:w="0" w:type="dxa"/>
          <w:right w:w="108" w:type="dxa"/>
        </w:tblCellMar>
      </w:tblPr>
      <w:tblGrid>
        <w:gridCol w:w="9360"/>
      </w:tblGrid>
      <w:tr>
        <w:tblPrEx>
          <w:tblLayout w:type="fixed"/>
          <w:tblCellMar>
            <w:top w:w="0" w:type="dxa"/>
            <w:left w:w="108" w:type="dxa"/>
            <w:bottom w:w="0" w:type="dxa"/>
            <w:right w:w="108" w:type="dxa"/>
          </w:tblCellMar>
        </w:tblPrEx>
        <w:trPr>
          <w:trHeight w:val="3060" w:hRule="exact"/>
        </w:trPr>
        <w:tc>
          <w:tcPr>
            <w:tcW w:w="9360" w:type="dxa"/>
          </w:tcPr>
          <w:p>
            <w:pPr>
              <w:widowControl/>
              <w:autoSpaceDE w:val="0"/>
              <w:autoSpaceDN w:val="0"/>
              <w:spacing w:before="0" w:after="0" w:line="240" w:lineRule="auto"/>
              <w:ind w:left="180" w:right="0" w:firstLine="0"/>
              <w:jc w:val="left"/>
            </w:pPr>
            <w:r>
              <w:rPr>
                <w:rFonts w:ascii="FangSong_GB2312" w:hAnsi="FangSong_GB2312" w:eastAsia="FangSong_GB2312"/>
                <w:b w:val="0"/>
                <w:i w:val="0"/>
                <w:color w:val="000000"/>
                <w:sz w:val="32"/>
              </w:rPr>
              <w:t>四、《财政拨款收入支出决算总表》</w:t>
            </w:r>
          </w:p>
          <w:p>
            <w:pPr>
              <w:widowControl/>
              <w:autoSpaceDE w:val="0"/>
              <w:autoSpaceDN w:val="0"/>
              <w:spacing w:before="0" w:after="0" w:line="240" w:lineRule="auto"/>
              <w:ind w:left="180" w:right="0" w:firstLine="0"/>
              <w:jc w:val="left"/>
            </w:pPr>
            <w:r>
              <w:rPr>
                <w:rFonts w:ascii="FangSong_GB2312" w:hAnsi="FangSong_GB2312" w:eastAsia="FangSong_GB2312"/>
                <w:b w:val="0"/>
                <w:i w:val="0"/>
                <w:color w:val="000000"/>
                <w:sz w:val="32"/>
              </w:rPr>
              <w:t>五、《一般公共预算财政拨款支出决算表》</w:t>
            </w:r>
          </w:p>
          <w:p>
            <w:pPr>
              <w:widowControl/>
              <w:autoSpaceDE w:val="0"/>
              <w:autoSpaceDN w:val="0"/>
              <w:spacing w:before="0" w:after="0" w:line="240" w:lineRule="auto"/>
              <w:ind w:left="180" w:right="0" w:firstLine="0"/>
              <w:jc w:val="left"/>
            </w:pPr>
            <w:r>
              <w:rPr>
                <w:rFonts w:ascii="FangSong_GB2312" w:hAnsi="FangSong_GB2312" w:eastAsia="FangSong_GB2312"/>
                <w:b w:val="0"/>
                <w:i w:val="0"/>
                <w:color w:val="000000"/>
                <w:sz w:val="32"/>
              </w:rPr>
              <w:t>六、《一般公共预算财政拨款基本支出决算表》</w:t>
            </w:r>
          </w:p>
          <w:p>
            <w:pPr>
              <w:widowControl/>
              <w:autoSpaceDE w:val="0"/>
              <w:autoSpaceDN w:val="0"/>
              <w:spacing w:before="0" w:after="0" w:line="240" w:lineRule="auto"/>
              <w:ind w:left="180" w:right="0" w:firstLine="0"/>
              <w:jc w:val="left"/>
            </w:pPr>
            <w:r>
              <w:rPr>
                <w:rFonts w:ascii="FangSong_GB2312" w:hAnsi="FangSong_GB2312" w:eastAsia="FangSong_GB2312"/>
                <w:b w:val="0"/>
                <w:i w:val="0"/>
                <w:color w:val="000000"/>
                <w:sz w:val="32"/>
              </w:rPr>
              <w:t>七、《财政拨款</w:t>
            </w:r>
            <w:r>
              <w:rPr>
                <w:rFonts w:ascii="TimesNewRomanPSMT" w:hAnsi="TimesNewRomanPSMT" w:eastAsia="TimesNewRomanPSMT"/>
                <w:b w:val="0"/>
                <w:i w:val="0"/>
                <w:color w:val="000000"/>
                <w:sz w:val="32"/>
              </w:rPr>
              <w:t>“</w:t>
            </w:r>
            <w:r>
              <w:rPr>
                <w:rFonts w:ascii="FangSong_GB2312" w:hAnsi="FangSong_GB2312" w:eastAsia="FangSong_GB2312"/>
                <w:b w:val="0"/>
                <w:i w:val="0"/>
                <w:color w:val="000000"/>
                <w:sz w:val="32"/>
              </w:rPr>
              <w:t>三公</w:t>
            </w:r>
            <w:r>
              <w:rPr>
                <w:rFonts w:ascii="TimesNewRomanPSMT" w:hAnsi="TimesNewRomanPSMT" w:eastAsia="TimesNewRomanPSMT"/>
                <w:b w:val="0"/>
                <w:i w:val="0"/>
                <w:color w:val="000000"/>
                <w:sz w:val="32"/>
              </w:rPr>
              <w:t>”</w:t>
            </w:r>
            <w:r>
              <w:rPr>
                <w:rFonts w:ascii="FangSong_GB2312" w:hAnsi="FangSong_GB2312" w:eastAsia="FangSong_GB2312"/>
                <w:b w:val="0"/>
                <w:i w:val="0"/>
                <w:color w:val="000000"/>
                <w:sz w:val="32"/>
              </w:rPr>
              <w:t>经费支出决算表》</w:t>
            </w:r>
          </w:p>
          <w:p>
            <w:pPr>
              <w:widowControl/>
              <w:autoSpaceDE w:val="0"/>
              <w:autoSpaceDN w:val="0"/>
              <w:spacing w:before="0" w:after="0" w:line="240" w:lineRule="auto"/>
              <w:ind w:left="180" w:right="0" w:firstLine="0"/>
              <w:jc w:val="left"/>
            </w:pPr>
            <w:r>
              <w:rPr>
                <w:rFonts w:ascii="FangSong_GB2312" w:hAnsi="FangSong_GB2312" w:eastAsia="FangSong_GB2312"/>
                <w:b w:val="0"/>
                <w:i w:val="0"/>
                <w:color w:val="000000"/>
                <w:sz w:val="32"/>
              </w:rPr>
              <w:t>八、《政府性基金预算财政拨款收入支出决算表》</w:t>
            </w:r>
          </w:p>
          <w:p>
            <w:pPr>
              <w:widowControl/>
              <w:autoSpaceDE w:val="0"/>
              <w:autoSpaceDN w:val="0"/>
              <w:spacing w:before="0" w:after="0" w:line="240" w:lineRule="auto"/>
              <w:ind w:left="180" w:right="0" w:firstLine="0"/>
              <w:jc w:val="left"/>
            </w:pPr>
            <w:r>
              <w:rPr>
                <w:rFonts w:ascii="FangSong_GB2312" w:hAnsi="FangSong_GB2312" w:eastAsia="FangSong_GB2312"/>
                <w:b w:val="0"/>
                <w:i w:val="0"/>
                <w:color w:val="000000"/>
                <w:sz w:val="32"/>
              </w:rPr>
              <w:t>九、《国有资本经营预算财政拨款收入支出决算表》</w:t>
            </w:r>
          </w:p>
        </w:tc>
      </w:tr>
    </w:tbl>
    <w:p>
      <w:pPr>
        <w:widowControl/>
        <w:autoSpaceDE w:val="0"/>
        <w:autoSpaceDN w:val="0"/>
        <w:spacing w:before="0" w:after="0" w:line="14" w:lineRule="exact"/>
        <w:ind w:left="0" w:right="0"/>
      </w:pPr>
    </w:p>
    <w:p>
      <w:pPr>
        <w:sectPr>
          <w:pgSz w:w="12240" w:h="15840"/>
          <w:pgMar w:top="800" w:right="1440" w:bottom="1440" w:left="1440" w:header="720" w:footer="720" w:gutter="0"/>
          <w:cols w:space="720" w:num="1"/>
          <w:docGrid w:linePitch="360" w:charSpace="0"/>
        </w:sectPr>
      </w:pPr>
    </w:p>
    <w:p>
      <w:pPr>
        <w:widowControl/>
        <w:autoSpaceDE w:val="0"/>
        <w:autoSpaceDN w:val="0"/>
        <w:spacing w:before="0" w:after="500" w:line="220" w:lineRule="exact"/>
        <w:ind w:left="0" w:right="0"/>
      </w:pPr>
    </w:p>
    <w:p>
      <w:pPr>
        <w:widowControl/>
        <w:tabs>
          <w:tab w:val="left" w:pos="1002"/>
          <w:tab w:val="left" w:pos="1880"/>
          <w:tab w:val="left" w:pos="3320"/>
          <w:tab w:val="left" w:pos="5640"/>
        </w:tabs>
        <w:autoSpaceDE w:val="0"/>
        <w:autoSpaceDN w:val="0"/>
        <w:spacing w:before="50" w:after="0" w:line="331" w:lineRule="auto"/>
        <w:ind w:left="360" w:right="144" w:firstLine="0"/>
        <w:jc w:val="left"/>
      </w:pPr>
      <w:r>
        <w:tab/>
      </w:r>
      <w:r>
        <w:tab/>
      </w:r>
      <w:r>
        <w:tab/>
      </w:r>
      <w:r>
        <w:rPr>
          <w:rFonts w:ascii="黑体" w:hAnsi="黑体" w:eastAsia="黑体"/>
          <w:b w:val="0"/>
          <w:i w:val="0"/>
          <w:color w:val="000000"/>
          <w:sz w:val="32"/>
        </w:rPr>
        <w:t xml:space="preserve">第一部分 单位概况 </w:t>
      </w:r>
      <w:r>
        <w:br w:type="textWrapping"/>
      </w:r>
      <w:r>
        <w:rPr>
          <w:rFonts w:ascii="黑体" w:hAnsi="黑体" w:eastAsia="黑体"/>
          <w:b w:val="0"/>
          <w:i w:val="0"/>
          <w:color w:val="000000"/>
          <w:sz w:val="32"/>
        </w:rPr>
        <w:t>一、主要职能</w:t>
      </w:r>
      <w:r>
        <w:br w:type="textWrapping"/>
      </w:r>
      <w:r>
        <w:rPr>
          <w:rFonts w:ascii="FangSong_GB2312" w:hAnsi="FangSong_GB2312" w:eastAsia="FangSong_GB2312"/>
          <w:b w:val="0"/>
          <w:i w:val="0"/>
          <w:color w:val="000000"/>
          <w:sz w:val="32"/>
        </w:rPr>
        <w:t xml:space="preserve">乌鲁木齐市儿童公园的主要业务概括起来有以下几个方面： </w:t>
      </w:r>
      <w:r>
        <w:br w:type="textWrapping"/>
      </w:r>
      <w:r>
        <w:rPr>
          <w:rFonts w:ascii="FangSong_GB2312" w:hAnsi="FangSong_GB2312" w:eastAsia="FangSong_GB2312"/>
          <w:b w:val="0"/>
          <w:i w:val="0"/>
          <w:color w:val="000000"/>
          <w:sz w:val="32"/>
        </w:rPr>
        <w:t xml:space="preserve">（一）为市民提供休闲娱乐场所，丰富人民群众文化生活。（二）负责公园内绿化养护管理及植物栽培。 </w:t>
      </w:r>
    </w:p>
    <w:p>
      <w:pPr>
        <w:widowControl/>
        <w:autoSpaceDE w:val="0"/>
        <w:autoSpaceDN w:val="0"/>
        <w:spacing w:before="304" w:after="0" w:line="185" w:lineRule="auto"/>
        <w:ind w:left="1002" w:right="0" w:firstLine="0"/>
        <w:jc w:val="left"/>
      </w:pPr>
      <w:r>
        <w:rPr>
          <w:rFonts w:ascii="FangSong_GB2312" w:hAnsi="FangSong_GB2312" w:eastAsia="FangSong_GB2312"/>
          <w:b w:val="0"/>
          <w:i w:val="0"/>
          <w:color w:val="000000"/>
          <w:sz w:val="32"/>
        </w:rPr>
        <w:t xml:space="preserve">（三）负责公园内硬化养护管理。 </w:t>
      </w:r>
    </w:p>
    <w:p>
      <w:pPr>
        <w:widowControl/>
        <w:autoSpaceDE w:val="0"/>
        <w:autoSpaceDN w:val="0"/>
        <w:spacing w:before="304" w:after="0" w:line="185" w:lineRule="auto"/>
        <w:ind w:left="1002" w:right="0" w:firstLine="0"/>
        <w:jc w:val="left"/>
      </w:pPr>
      <w:r>
        <w:rPr>
          <w:rFonts w:ascii="FangSong_GB2312" w:hAnsi="FangSong_GB2312" w:eastAsia="FangSong_GB2312"/>
          <w:b w:val="0"/>
          <w:i w:val="0"/>
          <w:color w:val="000000"/>
          <w:sz w:val="32"/>
        </w:rPr>
        <w:t xml:space="preserve">（四）负责公园游览与游乐项目组织管理。 </w:t>
      </w:r>
    </w:p>
    <w:p>
      <w:pPr>
        <w:widowControl/>
        <w:autoSpaceDE w:val="0"/>
        <w:autoSpaceDN w:val="0"/>
        <w:spacing w:before="304" w:after="0" w:line="274" w:lineRule="auto"/>
        <w:ind w:left="1002" w:right="144" w:firstLine="0"/>
        <w:jc w:val="left"/>
      </w:pPr>
      <w:r>
        <w:rPr>
          <w:rFonts w:ascii="FangSong_GB2312" w:hAnsi="FangSong_GB2312" w:eastAsia="FangSong_GB2312"/>
          <w:b w:val="0"/>
          <w:i w:val="0"/>
          <w:color w:val="000000"/>
          <w:sz w:val="32"/>
        </w:rPr>
        <w:t xml:space="preserve">（五）负责公园内卫生保洁工作，负责园内公厕维修维护 及清扫保洁等工作。 </w:t>
      </w:r>
    </w:p>
    <w:p>
      <w:pPr>
        <w:widowControl/>
        <w:autoSpaceDE w:val="0"/>
        <w:autoSpaceDN w:val="0"/>
        <w:spacing w:before="304" w:after="0" w:line="302" w:lineRule="auto"/>
        <w:ind w:left="360" w:right="144" w:firstLine="642"/>
        <w:jc w:val="left"/>
      </w:pPr>
      <w:r>
        <w:rPr>
          <w:rFonts w:ascii="FangSong_GB2312" w:hAnsi="FangSong_GB2312" w:eastAsia="FangSong_GB2312"/>
          <w:b w:val="0"/>
          <w:i w:val="0"/>
          <w:color w:val="000000"/>
          <w:sz w:val="32"/>
        </w:rPr>
        <w:t xml:space="preserve">（六）负责公园内综合治理工作。主要督导日常秩序运转，实施24小时监管和值班制度，制止损绿破绿、偷盗、破坏设施现象的发生等工作。 </w:t>
      </w:r>
    </w:p>
    <w:p>
      <w:pPr>
        <w:widowControl/>
        <w:autoSpaceDE w:val="0"/>
        <w:autoSpaceDN w:val="0"/>
        <w:spacing w:before="306" w:after="0" w:line="185" w:lineRule="auto"/>
        <w:ind w:left="1002" w:right="0" w:firstLine="0"/>
        <w:jc w:val="left"/>
      </w:pPr>
      <w:r>
        <w:rPr>
          <w:rFonts w:ascii="FangSong_GB2312" w:hAnsi="FangSong_GB2312" w:eastAsia="FangSong_GB2312"/>
          <w:b w:val="0"/>
          <w:i w:val="0"/>
          <w:color w:val="000000"/>
          <w:sz w:val="32"/>
        </w:rPr>
        <w:t xml:space="preserve">（七）负责公园内水电设施的修缮和维护工作。 </w:t>
      </w:r>
    </w:p>
    <w:p>
      <w:pPr>
        <w:widowControl/>
        <w:autoSpaceDE w:val="0"/>
        <w:autoSpaceDN w:val="0"/>
        <w:spacing w:before="306" w:after="0" w:line="185" w:lineRule="auto"/>
        <w:ind w:left="1002" w:right="0" w:firstLine="0"/>
        <w:jc w:val="left"/>
      </w:pPr>
      <w:r>
        <w:rPr>
          <w:rFonts w:ascii="FangSong_GB2312" w:hAnsi="FangSong_GB2312" w:eastAsia="FangSong_GB2312"/>
          <w:b w:val="0"/>
          <w:i w:val="0"/>
          <w:color w:val="000000"/>
          <w:sz w:val="32"/>
        </w:rPr>
        <w:t xml:space="preserve">（八）负责公园内各类服务配套设施维护管理。 </w:t>
      </w:r>
    </w:p>
    <w:p>
      <w:pPr>
        <w:widowControl/>
        <w:autoSpaceDE w:val="0"/>
        <w:autoSpaceDN w:val="0"/>
        <w:spacing w:before="306" w:after="0" w:line="185" w:lineRule="auto"/>
        <w:ind w:left="1002" w:right="0" w:firstLine="0"/>
        <w:jc w:val="left"/>
      </w:pPr>
      <w:r>
        <w:rPr>
          <w:rFonts w:ascii="FangSong_GB2312" w:hAnsi="FangSong_GB2312" w:eastAsia="FangSong_GB2312"/>
          <w:b w:val="0"/>
          <w:i w:val="0"/>
          <w:color w:val="000000"/>
          <w:sz w:val="32"/>
        </w:rPr>
        <w:t xml:space="preserve">（九）负责公园内冬季清雪和防洪排涝等工作。 </w:t>
      </w:r>
    </w:p>
    <w:p>
      <w:pPr>
        <w:widowControl/>
        <w:autoSpaceDE w:val="0"/>
        <w:autoSpaceDN w:val="0"/>
        <w:spacing w:before="306" w:after="0" w:line="302" w:lineRule="auto"/>
        <w:ind w:left="360" w:right="366" w:firstLine="642"/>
        <w:jc w:val="both"/>
      </w:pPr>
      <w:r>
        <w:rPr>
          <w:rFonts w:ascii="FangSong_GB2312" w:hAnsi="FangSong_GB2312" w:eastAsia="FangSong_GB2312"/>
          <w:b w:val="0"/>
          <w:i w:val="0"/>
          <w:color w:val="000000"/>
          <w:sz w:val="32"/>
        </w:rPr>
        <w:t xml:space="preserve">（十）负责公园重大活动安排，协助配合有关部门完成公园广场举办的社会活动。负责日常及节日花卉移植和摆放等有关工作。 </w:t>
      </w:r>
    </w:p>
    <w:p>
      <w:pPr>
        <w:widowControl/>
        <w:tabs>
          <w:tab w:val="left" w:pos="1002"/>
        </w:tabs>
        <w:autoSpaceDE w:val="0"/>
        <w:autoSpaceDN w:val="0"/>
        <w:spacing w:before="306" w:after="0" w:line="274" w:lineRule="auto"/>
        <w:ind w:left="360" w:right="288" w:firstLine="0"/>
        <w:jc w:val="left"/>
      </w:pPr>
      <w:r>
        <w:rPr>
          <w:rFonts w:ascii="FangSong_GB2312" w:hAnsi="FangSong_GB2312" w:eastAsia="FangSong_GB2312"/>
          <w:b w:val="0"/>
          <w:i w:val="0"/>
          <w:color w:val="000000"/>
          <w:sz w:val="32"/>
        </w:rPr>
        <w:t xml:space="preserve">（十一）负责公园容貌及精神文明建设，少年儿童科普教育，提供文明、优美的游园环境。 </w:t>
      </w:r>
    </w:p>
    <w:p>
      <w:pPr>
        <w:sectPr>
          <w:pgSz w:w="12240" w:h="15840"/>
          <w:pgMar w:top="720" w:right="1440" w:bottom="648" w:left="1440" w:header="720" w:footer="720" w:gutter="0"/>
          <w:cols w:space="720" w:num="1"/>
          <w:docGrid w:linePitch="360" w:charSpace="0"/>
        </w:sectPr>
      </w:pPr>
    </w:p>
    <w:p>
      <w:pPr>
        <w:widowControl/>
        <w:autoSpaceDE w:val="0"/>
        <w:autoSpaceDN w:val="0"/>
        <w:spacing w:before="0" w:after="500" w:line="220" w:lineRule="exact"/>
        <w:ind w:left="0" w:right="0"/>
      </w:pPr>
    </w:p>
    <w:p>
      <w:pPr>
        <w:widowControl/>
        <w:tabs>
          <w:tab w:val="left" w:pos="1002"/>
          <w:tab w:val="left" w:pos="5428"/>
          <w:tab w:val="left" w:pos="7774"/>
          <w:tab w:val="left" w:pos="8680"/>
        </w:tabs>
        <w:autoSpaceDE w:val="0"/>
        <w:autoSpaceDN w:val="0"/>
        <w:spacing w:before="50" w:after="0" w:line="317" w:lineRule="auto"/>
        <w:ind w:left="360" w:right="288" w:firstLine="0"/>
        <w:jc w:val="left"/>
      </w:pPr>
      <w:r>
        <w:rPr>
          <w:rFonts w:ascii="FangSong_GB2312" w:hAnsi="FangSong_GB2312" w:eastAsia="FangSong_GB2312"/>
          <w:b w:val="0"/>
          <w:i w:val="0"/>
          <w:color w:val="000000"/>
          <w:sz w:val="32"/>
        </w:rPr>
        <w:t xml:space="preserve">（十二）完成上级交办的其他工作 </w:t>
      </w:r>
      <w:r>
        <w:br w:type="textWrapping"/>
      </w:r>
      <w:r>
        <w:rPr>
          <w:rFonts w:ascii="黑体" w:hAnsi="黑体" w:eastAsia="黑体"/>
          <w:b w:val="0"/>
          <w:i w:val="0"/>
          <w:color w:val="000000"/>
          <w:sz w:val="32"/>
        </w:rPr>
        <w:t>二、机构设置及人员情况</w:t>
      </w:r>
      <w:r>
        <w:br w:type="textWrapping"/>
      </w:r>
      <w:r>
        <w:rPr>
          <w:rFonts w:ascii="FangSong_GB2312" w:hAnsi="FangSong_GB2312" w:eastAsia="FangSong_GB2312"/>
          <w:b w:val="0"/>
          <w:i w:val="0"/>
          <w:color w:val="000000"/>
          <w:sz w:val="32"/>
        </w:rPr>
        <w:t>乌鲁木齐市儿童公园2022年度，实有人数182人，其中：在职人员89人，离休人员0人，退休人员93人。</w:t>
      </w:r>
    </w:p>
    <w:p>
      <w:pPr>
        <w:widowControl/>
        <w:autoSpaceDE w:val="0"/>
        <w:autoSpaceDN w:val="0"/>
        <w:spacing w:before="304" w:after="0" w:line="317" w:lineRule="auto"/>
        <w:ind w:left="360" w:right="360" w:firstLine="642"/>
        <w:jc w:val="both"/>
      </w:pPr>
      <w:r>
        <w:rPr>
          <w:rFonts w:ascii="FangSong_GB2312" w:hAnsi="FangSong_GB2312" w:eastAsia="FangSong_GB2312"/>
          <w:b w:val="0"/>
          <w:i w:val="0"/>
          <w:color w:val="000000"/>
          <w:sz w:val="32"/>
        </w:rPr>
        <w:t>从部门决算单位构成看，乌鲁木齐市儿童公园部门决算包括：乌鲁木齐市儿童公园决算。单位无下属预算单位，下设6个科室，分别是：行政部、游乐客户部、园林部、园容部、维修部、治安部。</w:t>
      </w:r>
    </w:p>
    <w:p>
      <w:pPr>
        <w:widowControl/>
        <w:autoSpaceDE w:val="0"/>
        <w:autoSpaceDN w:val="0"/>
        <w:spacing w:before="406" w:after="0" w:line="185" w:lineRule="auto"/>
        <w:ind w:left="0" w:right="0" w:firstLine="0"/>
        <w:jc w:val="center"/>
      </w:pPr>
      <w:r>
        <w:rPr>
          <w:rFonts w:ascii="黑体" w:hAnsi="黑体" w:eastAsia="黑体"/>
          <w:b w:val="0"/>
          <w:i w:val="0"/>
          <w:color w:val="000000"/>
          <w:sz w:val="32"/>
        </w:rPr>
        <w:t>第二部分 部门决算情况说明</w:t>
      </w:r>
    </w:p>
    <w:p>
      <w:pPr>
        <w:widowControl/>
        <w:tabs>
          <w:tab w:val="left" w:pos="1002"/>
        </w:tabs>
        <w:autoSpaceDE w:val="0"/>
        <w:autoSpaceDN w:val="0"/>
        <w:spacing w:before="336" w:after="246" w:line="331" w:lineRule="auto"/>
        <w:ind w:left="360" w:right="288" w:firstLine="0"/>
        <w:jc w:val="left"/>
      </w:pPr>
      <w:r>
        <w:rPr>
          <w:rFonts w:ascii="黑体" w:hAnsi="黑体" w:eastAsia="黑体"/>
          <w:b w:val="0"/>
          <w:i w:val="0"/>
          <w:color w:val="000000"/>
          <w:sz w:val="32"/>
        </w:rPr>
        <w:t>一、收入支出决算总体情况说明</w:t>
      </w:r>
      <w:r>
        <w:br w:type="textWrapping"/>
      </w:r>
      <w:r>
        <w:rPr>
          <w:rFonts w:ascii="FangSong_GB2312" w:hAnsi="FangSong_GB2312" w:eastAsia="FangSong_GB2312"/>
          <w:b w:val="0"/>
          <w:i w:val="0"/>
          <w:color w:val="000000"/>
          <w:sz w:val="32"/>
        </w:rPr>
        <w:t xml:space="preserve">2022年度收入总计1,553.60万元，其中：本年收入合计1,553.60万元，使用非财政拨款结余0.00万元，年初结转和结余0.00万元。收入总计与上年相比，增加345.35万元，增长28.58%，主要原因是：本年单位新增人员，人员工资、社保基数调增，人员经费收入较上年增加。 </w:t>
      </w:r>
    </w:p>
    <w:tbl>
      <w:tblPr>
        <w:tblStyle w:val="35"/>
        <w:tblW w:w="9360" w:type="dxa"/>
        <w:tblInd w:w="500" w:type="dxa"/>
        <w:tblLayout w:type="fixed"/>
        <w:tblCellMar>
          <w:top w:w="0" w:type="dxa"/>
          <w:left w:w="108" w:type="dxa"/>
          <w:bottom w:w="0" w:type="dxa"/>
          <w:right w:w="108" w:type="dxa"/>
        </w:tblCellMar>
      </w:tblPr>
      <w:tblGrid>
        <w:gridCol w:w="9360"/>
      </w:tblGrid>
      <w:tr>
        <w:tblPrEx>
          <w:tblLayout w:type="fixed"/>
          <w:tblCellMar>
            <w:top w:w="0" w:type="dxa"/>
            <w:left w:w="108" w:type="dxa"/>
            <w:bottom w:w="0" w:type="dxa"/>
            <w:right w:w="108" w:type="dxa"/>
          </w:tblCellMar>
        </w:tblPrEx>
        <w:trPr>
          <w:trHeight w:val="438" w:hRule="exact"/>
        </w:trPr>
        <w:tc>
          <w:tcPr>
            <w:tcW w:w="9360" w:type="dxa"/>
          </w:tcPr>
          <w:p>
            <w:pPr>
              <w:widowControl/>
              <w:autoSpaceDE w:val="0"/>
              <w:autoSpaceDN w:val="0"/>
              <w:spacing w:before="0" w:after="0" w:line="240" w:lineRule="auto"/>
              <w:ind w:left="502" w:right="0" w:firstLine="0"/>
              <w:jc w:val="left"/>
            </w:pPr>
            <w:r>
              <w:rPr>
                <w:rFonts w:ascii="FangSong_GB2312" w:hAnsi="FangSong_GB2312" w:eastAsia="FangSong_GB2312"/>
                <w:b w:val="0"/>
                <w:i w:val="0"/>
                <w:color w:val="000000"/>
                <w:sz w:val="32"/>
              </w:rPr>
              <w:t>本年支出总计1,553.60万元，其中：本年支出合计1,553.32</w:t>
            </w:r>
          </w:p>
        </w:tc>
      </w:tr>
    </w:tbl>
    <w:p>
      <w:pPr>
        <w:widowControl/>
        <w:autoSpaceDE w:val="0"/>
        <w:autoSpaceDN w:val="0"/>
        <w:spacing w:before="246" w:after="0" w:line="317" w:lineRule="auto"/>
        <w:ind w:left="360" w:right="362" w:firstLine="0"/>
        <w:jc w:val="both"/>
      </w:pPr>
      <w:r>
        <w:rPr>
          <w:rFonts w:ascii="FangSong_GB2312" w:hAnsi="FangSong_GB2312" w:eastAsia="FangSong_GB2312"/>
          <w:b w:val="0"/>
          <w:i w:val="0"/>
          <w:color w:val="000000"/>
          <w:sz w:val="32"/>
        </w:rPr>
        <w:t>万元，结余分配0.00万元，年末结转和结余0.28万元。支出总计与上年相比，增加345.35万元，增长28.58%，主要原因是：本年单位新增人员，人员工资、社保基数调增，人员经费支出较上年增加。</w:t>
      </w:r>
    </w:p>
    <w:p>
      <w:pPr>
        <w:sectPr>
          <w:pgSz w:w="12240" w:h="15840"/>
          <w:pgMar w:top="720" w:right="1440" w:bottom="892" w:left="1440" w:header="720" w:footer="720" w:gutter="0"/>
          <w:cols w:space="720" w:num="1"/>
          <w:docGrid w:linePitch="360" w:charSpace="0"/>
        </w:sectPr>
      </w:pPr>
    </w:p>
    <w:p>
      <w:pPr>
        <w:widowControl/>
        <w:autoSpaceDE w:val="0"/>
        <w:autoSpaceDN w:val="0"/>
        <w:spacing w:before="0" w:after="526" w:line="220" w:lineRule="exact"/>
        <w:ind w:left="0" w:right="0"/>
      </w:pPr>
    </w:p>
    <w:p>
      <w:pPr>
        <w:widowControl/>
        <w:tabs>
          <w:tab w:val="left" w:pos="1002"/>
        </w:tabs>
        <w:autoSpaceDE w:val="0"/>
        <w:autoSpaceDN w:val="0"/>
        <w:spacing w:before="0" w:after="0" w:line="331" w:lineRule="auto"/>
        <w:ind w:left="360" w:right="144" w:firstLine="0"/>
        <w:jc w:val="left"/>
      </w:pPr>
      <w:r>
        <w:rPr>
          <w:rFonts w:ascii="黑体" w:hAnsi="黑体" w:eastAsia="黑体"/>
          <w:b w:val="0"/>
          <w:i w:val="0"/>
          <w:color w:val="000000"/>
          <w:sz w:val="32"/>
        </w:rPr>
        <w:t>二、收入决算情况说明</w:t>
      </w:r>
      <w:r>
        <w:br w:type="textWrapping"/>
      </w:r>
      <w:r>
        <w:rPr>
          <w:rFonts w:ascii="FangSong_GB2312" w:hAnsi="FangSong_GB2312" w:eastAsia="FangSong_GB2312"/>
          <w:b w:val="0"/>
          <w:i w:val="0"/>
          <w:color w:val="000000"/>
          <w:sz w:val="32"/>
        </w:rPr>
        <w:t>2022年度本年收入1,553.60万元，其中：财政拨款收入1,533.41万元，占98.70%；上级补助收入0.00万元，占0.00%；事业收入0.00万元，占0.00%；经营收入0.00万元，占0.00%；附属单位上缴收入0.00万元，占0.00%；其他收入20.19万元，占1.30%。</w:t>
      </w:r>
    </w:p>
    <w:p>
      <w:pPr>
        <w:widowControl/>
        <w:autoSpaceDE w:val="0"/>
        <w:autoSpaceDN w:val="0"/>
        <w:spacing w:before="304" w:after="244" w:line="185" w:lineRule="auto"/>
        <w:ind w:left="1002" w:right="0" w:firstLine="0"/>
        <w:jc w:val="left"/>
      </w:pPr>
      <w:r>
        <w:rPr>
          <w:rFonts w:ascii="黑体" w:hAnsi="黑体" w:eastAsia="黑体"/>
          <w:b w:val="0"/>
          <w:i w:val="0"/>
          <w:color w:val="000000"/>
          <w:sz w:val="32"/>
        </w:rPr>
        <w:t>三、支出决算情况说明</w:t>
      </w:r>
    </w:p>
    <w:tbl>
      <w:tblPr>
        <w:tblStyle w:val="35"/>
        <w:tblW w:w="9360" w:type="dxa"/>
        <w:tblInd w:w="500" w:type="dxa"/>
        <w:tblLayout w:type="fixed"/>
        <w:tblCellMar>
          <w:top w:w="0" w:type="dxa"/>
          <w:left w:w="108" w:type="dxa"/>
          <w:bottom w:w="0" w:type="dxa"/>
          <w:right w:w="108" w:type="dxa"/>
        </w:tblCellMar>
      </w:tblPr>
      <w:tblGrid>
        <w:gridCol w:w="9360"/>
      </w:tblGrid>
      <w:tr>
        <w:tblPrEx>
          <w:tblLayout w:type="fixed"/>
          <w:tblCellMar>
            <w:top w:w="0" w:type="dxa"/>
            <w:left w:w="108" w:type="dxa"/>
            <w:bottom w:w="0" w:type="dxa"/>
            <w:right w:w="108" w:type="dxa"/>
          </w:tblCellMar>
        </w:tblPrEx>
        <w:trPr>
          <w:trHeight w:val="440" w:hRule="exact"/>
        </w:trPr>
        <w:tc>
          <w:tcPr>
            <w:tcW w:w="9360" w:type="dxa"/>
          </w:tcPr>
          <w:p>
            <w:pPr>
              <w:widowControl/>
              <w:autoSpaceDE w:val="0"/>
              <w:autoSpaceDN w:val="0"/>
              <w:spacing w:before="0" w:after="0" w:line="240" w:lineRule="auto"/>
              <w:ind w:left="502" w:right="0" w:firstLine="0"/>
              <w:jc w:val="left"/>
            </w:pPr>
            <w:r>
              <w:rPr>
                <w:rFonts w:ascii="FangSong_GB2312" w:hAnsi="FangSong_GB2312" w:eastAsia="FangSong_GB2312"/>
                <w:b w:val="0"/>
                <w:i w:val="0"/>
                <w:color w:val="000000"/>
                <w:sz w:val="32"/>
              </w:rPr>
              <w:t>2022年度本年支出1,553.32万元，其中：基本支出1,533.54</w:t>
            </w:r>
          </w:p>
        </w:tc>
      </w:tr>
    </w:tbl>
    <w:p>
      <w:pPr>
        <w:widowControl/>
        <w:autoSpaceDE w:val="0"/>
        <w:autoSpaceDN w:val="0"/>
        <w:spacing w:before="244" w:after="0" w:line="302" w:lineRule="auto"/>
        <w:ind w:left="360" w:right="360" w:firstLine="0"/>
        <w:jc w:val="both"/>
      </w:pPr>
      <w:r>
        <w:rPr>
          <w:rFonts w:ascii="FangSong_GB2312" w:hAnsi="FangSong_GB2312" w:eastAsia="FangSong_GB2312"/>
          <w:b w:val="0"/>
          <w:i w:val="0"/>
          <w:color w:val="000000"/>
          <w:sz w:val="32"/>
        </w:rPr>
        <w:t>万元，占98.73%；项目支出19.78万元，占1.27%；上缴上级支出0.00万元，占0.00%；经营支出0.00万元，占0.00%；对附属单位补助支出0.00万元，占0.00%。</w:t>
      </w:r>
    </w:p>
    <w:p>
      <w:pPr>
        <w:widowControl/>
        <w:autoSpaceDE w:val="0"/>
        <w:autoSpaceDN w:val="0"/>
        <w:spacing w:before="306" w:after="246" w:line="274" w:lineRule="auto"/>
        <w:ind w:left="1002" w:right="288" w:firstLine="0"/>
        <w:jc w:val="left"/>
      </w:pPr>
      <w:r>
        <w:rPr>
          <w:rFonts w:ascii="黑体" w:hAnsi="黑体" w:eastAsia="黑体"/>
          <w:b w:val="0"/>
          <w:i w:val="0"/>
          <w:color w:val="000000"/>
          <w:sz w:val="32"/>
        </w:rPr>
        <w:t>四、财政拨款收入支出决算总体情况说明</w:t>
      </w:r>
      <w:r>
        <w:br w:type="textWrapping"/>
      </w:r>
      <w:r>
        <w:rPr>
          <w:rFonts w:ascii="FangSong_GB2312" w:hAnsi="FangSong_GB2312" w:eastAsia="FangSong_GB2312"/>
          <w:b w:val="0"/>
          <w:i w:val="0"/>
          <w:color w:val="000000"/>
          <w:sz w:val="32"/>
        </w:rPr>
        <w:t>2022年度财政拨款收入总计1,533.41万元，其中：年初财</w:t>
      </w:r>
    </w:p>
    <w:tbl>
      <w:tblPr>
        <w:tblStyle w:val="35"/>
        <w:tblW w:w="9360" w:type="dxa"/>
        <w:tblInd w:w="180" w:type="dxa"/>
        <w:tblLayout w:type="fixed"/>
        <w:tblCellMar>
          <w:top w:w="0" w:type="dxa"/>
          <w:left w:w="108" w:type="dxa"/>
          <w:bottom w:w="0" w:type="dxa"/>
          <w:right w:w="108" w:type="dxa"/>
        </w:tblCellMar>
      </w:tblPr>
      <w:tblGrid>
        <w:gridCol w:w="9360"/>
      </w:tblGrid>
      <w:tr>
        <w:tblPrEx>
          <w:tblLayout w:type="fixed"/>
          <w:tblCellMar>
            <w:top w:w="0" w:type="dxa"/>
            <w:left w:w="108" w:type="dxa"/>
            <w:bottom w:w="0" w:type="dxa"/>
            <w:right w:w="108" w:type="dxa"/>
          </w:tblCellMar>
        </w:tblPrEx>
        <w:trPr>
          <w:trHeight w:val="438" w:hRule="exact"/>
        </w:trPr>
        <w:tc>
          <w:tcPr>
            <w:tcW w:w="9360" w:type="dxa"/>
          </w:tcPr>
          <w:p>
            <w:pPr>
              <w:widowControl/>
              <w:autoSpaceDE w:val="0"/>
              <w:autoSpaceDN w:val="0"/>
              <w:spacing w:before="0" w:after="0" w:line="240" w:lineRule="auto"/>
              <w:ind w:left="180" w:right="0" w:firstLine="0"/>
              <w:jc w:val="left"/>
            </w:pPr>
            <w:r>
              <w:rPr>
                <w:rFonts w:ascii="FangSong_GB2312" w:hAnsi="FangSong_GB2312" w:eastAsia="FangSong_GB2312"/>
                <w:b w:val="0"/>
                <w:i w:val="0"/>
                <w:color w:val="000000"/>
                <w:sz w:val="32"/>
              </w:rPr>
              <w:t>政拨款结转和结余0.00万元，财政拨款本年收入1,533.41万元。</w:t>
            </w:r>
          </w:p>
        </w:tc>
      </w:tr>
    </w:tbl>
    <w:p>
      <w:pPr>
        <w:widowControl/>
        <w:autoSpaceDE w:val="0"/>
        <w:autoSpaceDN w:val="0"/>
        <w:spacing w:before="246" w:after="0" w:line="302" w:lineRule="auto"/>
        <w:ind w:left="360" w:right="144" w:firstLine="0"/>
        <w:jc w:val="left"/>
      </w:pPr>
      <w:r>
        <w:rPr>
          <w:rFonts w:ascii="FangSong_GB2312" w:hAnsi="FangSong_GB2312" w:eastAsia="FangSong_GB2312"/>
          <w:b w:val="0"/>
          <w:i w:val="0"/>
          <w:color w:val="000000"/>
          <w:sz w:val="32"/>
        </w:rPr>
        <w:t xml:space="preserve">财政拨款收入总计与上年相比，增加325.87万元，增长26.99%，主要原因是：本年单位新增人员，人员工资、社保基数调增，人员经费收入较上年增加。 </w:t>
      </w:r>
    </w:p>
    <w:p>
      <w:pPr>
        <w:widowControl/>
        <w:autoSpaceDE w:val="0"/>
        <w:autoSpaceDN w:val="0"/>
        <w:spacing w:before="306" w:after="0" w:line="317" w:lineRule="auto"/>
        <w:ind w:left="360" w:right="358" w:firstLine="642"/>
        <w:jc w:val="both"/>
      </w:pPr>
      <w:r>
        <w:rPr>
          <w:rFonts w:ascii="FangSong_GB2312" w:hAnsi="FangSong_GB2312" w:eastAsia="FangSong_GB2312"/>
          <w:b w:val="0"/>
          <w:i w:val="0"/>
          <w:color w:val="000000"/>
          <w:sz w:val="32"/>
        </w:rPr>
        <w:t>财政拨款支出总计1,533.41万元，其中：年末财政拨款结转和结余0.00万元，财政拨款本年支出1,533.41万元。财政拨款支出总计与上年相比，增加325.87万元，增长26.99%，主要原因是：本年单位新增人员，人员工资、社保基数调增，人员</w:t>
      </w:r>
    </w:p>
    <w:p>
      <w:pPr>
        <w:sectPr>
          <w:pgSz w:w="12240" w:h="15840"/>
          <w:pgMar w:top="744" w:right="1440" w:bottom="648" w:left="1440" w:header="720" w:footer="720" w:gutter="0"/>
          <w:cols w:space="720" w:num="1"/>
          <w:docGrid w:linePitch="360" w:charSpace="0"/>
        </w:sectPr>
      </w:pPr>
    </w:p>
    <w:p>
      <w:pPr>
        <w:widowControl/>
        <w:autoSpaceDE w:val="0"/>
        <w:autoSpaceDN w:val="0"/>
        <w:spacing w:before="0" w:after="500" w:line="220" w:lineRule="exact"/>
        <w:ind w:left="0" w:right="0"/>
      </w:pPr>
    </w:p>
    <w:p>
      <w:pPr>
        <w:widowControl/>
        <w:autoSpaceDE w:val="0"/>
        <w:autoSpaceDN w:val="0"/>
        <w:spacing w:before="50" w:after="0" w:line="185" w:lineRule="auto"/>
        <w:ind w:left="360" w:right="0" w:firstLine="0"/>
        <w:jc w:val="left"/>
      </w:pPr>
      <w:r>
        <w:rPr>
          <w:rFonts w:ascii="FangSong_GB2312" w:hAnsi="FangSong_GB2312" w:eastAsia="FangSong_GB2312"/>
          <w:b w:val="0"/>
          <w:i w:val="0"/>
          <w:color w:val="000000"/>
          <w:sz w:val="32"/>
        </w:rPr>
        <w:t>经费支出较上年增加。</w:t>
      </w:r>
    </w:p>
    <w:p>
      <w:pPr>
        <w:widowControl/>
        <w:autoSpaceDE w:val="0"/>
        <w:autoSpaceDN w:val="0"/>
        <w:spacing w:before="304" w:after="0" w:line="336" w:lineRule="auto"/>
        <w:ind w:left="360" w:right="200" w:firstLine="642"/>
        <w:jc w:val="both"/>
      </w:pPr>
      <w:r>
        <w:rPr>
          <w:rFonts w:ascii="FangSong_GB2312" w:hAnsi="FangSong_GB2312" w:eastAsia="FangSong_GB2312"/>
          <w:b w:val="0"/>
          <w:i w:val="0"/>
          <w:color w:val="000000"/>
          <w:sz w:val="32"/>
        </w:rPr>
        <w:t>与年初预算数相比情况：财政拨款收入总计年初预算数1,395.34万元，决算数1,533.41万元，预决算差异率9.90%，主要原因是：本年单位新增人员，人员工资、社保基数调增，年中追加人员经费，与年初预算相比，导致差异。财政拨款支出总计年初预算数1,395.34万元，决算数1,533.41万元，预决算差异率9.90%，主要原因是：本年单位新增人员，人员工资、社保基数调增，年中追加人员经费，与年初预算相比，导致差异。</w:t>
      </w:r>
    </w:p>
    <w:p>
      <w:pPr>
        <w:widowControl/>
        <w:tabs>
          <w:tab w:val="left" w:pos="1002"/>
        </w:tabs>
        <w:autoSpaceDE w:val="0"/>
        <w:autoSpaceDN w:val="0"/>
        <w:spacing w:before="304" w:after="0" w:line="319" w:lineRule="auto"/>
        <w:ind w:left="360" w:right="288" w:firstLine="0"/>
        <w:jc w:val="left"/>
      </w:pPr>
      <w:r>
        <w:rPr>
          <w:rFonts w:ascii="黑体" w:hAnsi="黑体" w:eastAsia="黑体"/>
          <w:b w:val="0"/>
          <w:i w:val="0"/>
          <w:color w:val="000000"/>
          <w:sz w:val="32"/>
        </w:rPr>
        <w:t>五、一般公共预算财政拨款支出决算情况说明</w:t>
      </w:r>
      <w:r>
        <w:br w:type="textWrapping"/>
      </w:r>
      <w:r>
        <w:rPr>
          <w:rFonts w:ascii="黑体" w:hAnsi="黑体" w:eastAsia="黑体"/>
          <w:b w:val="0"/>
          <w:i w:val="0"/>
          <w:color w:val="000000"/>
          <w:sz w:val="32"/>
        </w:rPr>
        <w:t>（一）一般公共预算财政拨款支出决算总体情况</w:t>
      </w:r>
      <w:r>
        <w:br w:type="textWrapping"/>
      </w:r>
      <w:r>
        <w:rPr>
          <w:rFonts w:ascii="FangSong_GB2312" w:hAnsi="FangSong_GB2312" w:eastAsia="FangSong_GB2312"/>
          <w:b w:val="0"/>
          <w:i w:val="0"/>
          <w:color w:val="000000"/>
          <w:sz w:val="32"/>
        </w:rPr>
        <w:t xml:space="preserve">2022年度一般公共预算财政拨款支出1,533.41万元，占本年支出合计的98.72%，与上年相比，增加325.87万元，增长26.99%，主要原因是：本年单位新增人员，人员工资、社保基数调增，人员经费支出较上年增加。 </w:t>
      </w:r>
    </w:p>
    <w:p>
      <w:pPr>
        <w:widowControl/>
        <w:autoSpaceDE w:val="0"/>
        <w:autoSpaceDN w:val="0"/>
        <w:spacing w:before="124" w:after="0" w:line="302" w:lineRule="auto"/>
        <w:ind w:left="1002" w:right="432" w:firstLine="0"/>
        <w:jc w:val="left"/>
      </w:pPr>
      <w:r>
        <w:rPr>
          <w:rFonts w:ascii="黑体" w:hAnsi="黑体" w:eastAsia="黑体"/>
          <w:b w:val="0"/>
          <w:i w:val="0"/>
          <w:color w:val="000000"/>
          <w:sz w:val="32"/>
        </w:rPr>
        <w:t xml:space="preserve">（二）一般公共预算财政拨款支出决算结构情况 </w:t>
      </w:r>
      <w:r>
        <w:br w:type="textWrapping"/>
      </w:r>
      <w:r>
        <w:rPr>
          <w:rFonts w:ascii="FangSong_GB2312" w:hAnsi="FangSong_GB2312" w:eastAsia="FangSong_GB2312"/>
          <w:b w:val="0"/>
          <w:i w:val="0"/>
          <w:color w:val="000000"/>
          <w:sz w:val="32"/>
        </w:rPr>
        <w:t xml:space="preserve">1.社会保障和就业支出（类）165.05万元，占10.76%； 2.城乡社区支出（类）1,368.36万元，占89.24%。 </w:t>
      </w:r>
    </w:p>
    <w:p>
      <w:pPr>
        <w:widowControl/>
        <w:tabs>
          <w:tab w:val="left" w:pos="1002"/>
          <w:tab w:val="left" w:pos="2228"/>
          <w:tab w:val="left" w:pos="4146"/>
          <w:tab w:val="left" w:pos="5052"/>
          <w:tab w:val="left" w:pos="6014"/>
          <w:tab w:val="left" w:pos="7722"/>
          <w:tab w:val="left" w:pos="8198"/>
        </w:tabs>
        <w:autoSpaceDE w:val="0"/>
        <w:autoSpaceDN w:val="0"/>
        <w:spacing w:before="304" w:after="0" w:line="317" w:lineRule="auto"/>
        <w:ind w:left="360" w:right="144" w:firstLine="0"/>
        <w:jc w:val="left"/>
      </w:pPr>
      <w:r>
        <w:rPr>
          <w:rFonts w:ascii="黑体" w:hAnsi="黑体" w:eastAsia="黑体"/>
          <w:b w:val="0"/>
          <w:i w:val="0"/>
          <w:color w:val="000000"/>
          <w:sz w:val="32"/>
        </w:rPr>
        <w:t xml:space="preserve">（三）一般公共预算财政拨款支出决算具体情况 </w:t>
      </w:r>
      <w:r>
        <w:br w:type="textWrapping"/>
      </w:r>
      <w:r>
        <w:rPr>
          <w:rFonts w:ascii="FangSong_GB2312" w:hAnsi="FangSong_GB2312" w:eastAsia="FangSong_GB2312"/>
          <w:b w:val="0"/>
          <w:i w:val="0"/>
          <w:color w:val="000000"/>
          <w:sz w:val="32"/>
        </w:rPr>
        <w:t>1.社会保障和就业支出（类）行政事业单位养老支出（款）机关事业单位基本养老保险缴费支出（项）:支出决算数为107.90万元，比上年决算增加8.49万元，增长8.54%，主要原因</w:t>
      </w:r>
    </w:p>
    <w:p>
      <w:pPr>
        <w:sectPr>
          <w:pgSz w:w="12240" w:h="15840"/>
          <w:pgMar w:top="720" w:right="1440" w:bottom="928" w:left="1440" w:header="720" w:footer="720" w:gutter="0"/>
          <w:cols w:space="720" w:num="1"/>
          <w:docGrid w:linePitch="360" w:charSpace="0"/>
        </w:sectPr>
      </w:pPr>
    </w:p>
    <w:p>
      <w:pPr>
        <w:widowControl/>
        <w:autoSpaceDE w:val="0"/>
        <w:autoSpaceDN w:val="0"/>
        <w:spacing w:before="0" w:after="526" w:line="220" w:lineRule="exact"/>
        <w:ind w:left="0" w:right="0"/>
      </w:pPr>
    </w:p>
    <w:p>
      <w:pPr>
        <w:widowControl/>
        <w:tabs>
          <w:tab w:val="left" w:pos="1002"/>
          <w:tab w:val="left" w:pos="1584"/>
          <w:tab w:val="left" w:pos="2492"/>
          <w:tab w:val="left" w:pos="2866"/>
          <w:tab w:val="left" w:pos="3772"/>
          <w:tab w:val="left" w:pos="4146"/>
          <w:tab w:val="left" w:pos="5052"/>
          <w:tab w:val="left" w:pos="6762"/>
          <w:tab w:val="left" w:pos="7400"/>
          <w:tab w:val="left" w:pos="8198"/>
        </w:tabs>
        <w:autoSpaceDE w:val="0"/>
        <w:autoSpaceDN w:val="0"/>
        <w:spacing w:before="0" w:after="0" w:line="348" w:lineRule="auto"/>
        <w:ind w:left="360" w:right="144" w:firstLine="0"/>
        <w:jc w:val="left"/>
      </w:pPr>
      <w:r>
        <w:rPr>
          <w:rFonts w:ascii="FangSong_GB2312" w:hAnsi="FangSong_GB2312" w:eastAsia="FangSong_GB2312"/>
          <w:b w:val="0"/>
          <w:i w:val="0"/>
          <w:color w:val="000000"/>
          <w:sz w:val="32"/>
        </w:rPr>
        <w:t xml:space="preserve">是：本年人员工资调增，社保基数调增，经费增加； </w:t>
      </w:r>
      <w:r>
        <w:br w:type="textWrapping"/>
      </w:r>
      <w:r>
        <w:rPr>
          <w:rFonts w:ascii="FangSong_GB2312" w:hAnsi="FangSong_GB2312" w:eastAsia="FangSong_GB2312"/>
          <w:b w:val="0"/>
          <w:i w:val="0"/>
          <w:color w:val="000000"/>
          <w:sz w:val="32"/>
        </w:rPr>
        <w:t xml:space="preserve">2.社会保障和就业支出（类）行政事业单位养老支出（款）机关事业单位职业年金缴费支出（项）:支出决算数为57.15万元，比上年决算增加8.55万元，增长17.59%，主要原因是：本年单位新增退休人员4人，故支出较上年增加； </w:t>
      </w:r>
      <w:r>
        <w:br w:type="textWrapping"/>
      </w:r>
      <w:r>
        <w:rPr>
          <w:rFonts w:ascii="FangSong_GB2312" w:hAnsi="FangSong_GB2312" w:eastAsia="FangSong_GB2312"/>
          <w:b w:val="0"/>
          <w:i w:val="0"/>
          <w:color w:val="000000"/>
          <w:sz w:val="32"/>
        </w:rPr>
        <w:t xml:space="preserve">3.城乡社区支出（类）城乡社区公共设施（款）其他城乡社区公共设施支出（项）:支出决算数为0.00万元，比上年决算减少41.34万元，下降100.00%，主要原因是：本年单位无此项支出； </w:t>
      </w:r>
      <w:r>
        <w:br w:type="textWrapping"/>
      </w:r>
      <w:r>
        <w:rPr>
          <w:rFonts w:ascii="FangSong_GB2312" w:hAnsi="FangSong_GB2312" w:eastAsia="FangSong_GB2312"/>
          <w:b w:val="0"/>
          <w:i w:val="0"/>
          <w:color w:val="000000"/>
          <w:sz w:val="32"/>
        </w:rPr>
        <w:t xml:space="preserve">4.城乡社区支出（类）城乡社区环境卫生（款）城乡社区环境卫生（项）:支出决算数为1,368.36万元，比上年决算增加350.17万元，增长34.39%，主要原因是：本年单位新增人员，人员工资、社保基数调增，人员经费支出较上年增加。 </w:t>
      </w:r>
    </w:p>
    <w:p>
      <w:pPr>
        <w:widowControl/>
        <w:tabs>
          <w:tab w:val="left" w:pos="1002"/>
        </w:tabs>
        <w:autoSpaceDE w:val="0"/>
        <w:autoSpaceDN w:val="0"/>
        <w:spacing w:before="306" w:after="0" w:line="338" w:lineRule="auto"/>
        <w:ind w:left="360" w:right="288" w:firstLine="0"/>
        <w:jc w:val="left"/>
      </w:pPr>
      <w:r>
        <w:rPr>
          <w:rFonts w:ascii="黑体" w:hAnsi="黑体" w:eastAsia="黑体"/>
          <w:b w:val="0"/>
          <w:i w:val="0"/>
          <w:color w:val="000000"/>
          <w:sz w:val="32"/>
        </w:rPr>
        <w:t>六、一般公共预算财政拨款基本支出决算情况说明</w:t>
      </w:r>
      <w:r>
        <w:br w:type="textWrapping"/>
      </w:r>
      <w:r>
        <w:rPr>
          <w:rFonts w:ascii="FangSong_GB2312" w:hAnsi="FangSong_GB2312" w:eastAsia="FangSong_GB2312"/>
          <w:b w:val="0"/>
          <w:i w:val="0"/>
          <w:color w:val="000000"/>
          <w:sz w:val="32"/>
        </w:rPr>
        <w:t>2022年度一般公共预算财政拨款基本支出1,533.41万元，其中：</w:t>
      </w:r>
      <w:r>
        <w:br w:type="textWrapping"/>
      </w:r>
      <w:r>
        <w:rPr>
          <w:rFonts w:ascii="FangSong_GB2312" w:hAnsi="FangSong_GB2312" w:eastAsia="FangSong_GB2312"/>
          <w:b w:val="0"/>
          <w:i w:val="0"/>
          <w:color w:val="000000"/>
          <w:sz w:val="32"/>
        </w:rPr>
        <w:t>人员经费1,481.72万元，包括：基本工资、津贴补贴、奖金、绩效工资、机关事业单位基本养老保险缴费、职业年金缴费、职工基本医疗保险缴费、公务员医疗补助缴费、其他社会保障缴费、住房公积金、退休费、生活补助、医疗费补助、奖励金。</w:t>
      </w:r>
    </w:p>
    <w:p>
      <w:pPr>
        <w:sectPr>
          <w:pgSz w:w="12240" w:h="15840"/>
          <w:pgMar w:top="744" w:right="1440" w:bottom="648" w:left="1440" w:header="720" w:footer="720" w:gutter="0"/>
          <w:cols w:space="720" w:num="1"/>
          <w:docGrid w:linePitch="360" w:charSpace="0"/>
        </w:sectPr>
      </w:pPr>
    </w:p>
    <w:p>
      <w:pPr>
        <w:widowControl/>
        <w:autoSpaceDE w:val="0"/>
        <w:autoSpaceDN w:val="0"/>
        <w:spacing w:before="0" w:after="526" w:line="220" w:lineRule="exact"/>
        <w:ind w:left="0" w:right="0"/>
      </w:pPr>
    </w:p>
    <w:p>
      <w:pPr>
        <w:widowControl/>
        <w:autoSpaceDE w:val="0"/>
        <w:autoSpaceDN w:val="0"/>
        <w:spacing w:before="0" w:after="0" w:line="302" w:lineRule="auto"/>
        <w:ind w:left="360" w:right="144" w:firstLine="642"/>
        <w:jc w:val="left"/>
      </w:pPr>
      <w:r>
        <w:rPr>
          <w:rFonts w:ascii="FangSong_GB2312" w:hAnsi="FangSong_GB2312" w:eastAsia="FangSong_GB2312"/>
          <w:b w:val="0"/>
          <w:i w:val="0"/>
          <w:color w:val="000000"/>
          <w:sz w:val="32"/>
        </w:rPr>
        <w:t xml:space="preserve">公用经费51.69万元，包括：办公费、水费、电费、邮电费、维修（护）费、专用材料费、工会经费、福利费、公务用车运行维护费、其他交通费用、其他商品和服务支出。 </w:t>
      </w:r>
    </w:p>
    <w:p>
      <w:pPr>
        <w:widowControl/>
        <w:tabs>
          <w:tab w:val="left" w:pos="1002"/>
          <w:tab w:val="left" w:pos="2494"/>
          <w:tab w:val="left" w:pos="2866"/>
          <w:tab w:val="left" w:pos="4150"/>
          <w:tab w:val="left" w:pos="4256"/>
          <w:tab w:val="left" w:pos="7242"/>
          <w:tab w:val="left" w:pos="7400"/>
        </w:tabs>
        <w:autoSpaceDE w:val="0"/>
        <w:autoSpaceDN w:val="0"/>
        <w:spacing w:before="26" w:after="0" w:line="622" w:lineRule="exact"/>
        <w:ind w:left="360" w:right="144" w:firstLine="0"/>
        <w:jc w:val="left"/>
      </w:pPr>
      <w:r>
        <w:rPr>
          <w:rFonts w:ascii="黑体" w:hAnsi="黑体" w:eastAsia="黑体"/>
          <w:b w:val="0"/>
          <w:i w:val="0"/>
          <w:color w:val="000000"/>
          <w:sz w:val="32"/>
        </w:rPr>
        <w:t>七、财政拨款</w:t>
      </w:r>
      <w:r>
        <w:rPr>
          <w:rFonts w:ascii="TimesNewRomanPSMT" w:hAnsi="TimesNewRomanPSMT" w:eastAsia="TimesNewRomanPSMT"/>
          <w:b w:val="0"/>
          <w:i w:val="0"/>
          <w:color w:val="000000"/>
          <w:sz w:val="32"/>
        </w:rPr>
        <w:t>“</w:t>
      </w:r>
      <w:r>
        <w:rPr>
          <w:rFonts w:ascii="黑体" w:hAnsi="黑体" w:eastAsia="黑体"/>
          <w:b w:val="0"/>
          <w:i w:val="0"/>
          <w:color w:val="000000"/>
          <w:sz w:val="32"/>
        </w:rPr>
        <w:t>三公</w:t>
      </w:r>
      <w:r>
        <w:rPr>
          <w:rFonts w:ascii="TimesNewRomanPSMT" w:hAnsi="TimesNewRomanPSMT" w:eastAsia="TimesNewRomanPSMT"/>
          <w:b w:val="0"/>
          <w:i w:val="0"/>
          <w:color w:val="000000"/>
          <w:sz w:val="32"/>
        </w:rPr>
        <w:t>”</w:t>
      </w:r>
      <w:r>
        <w:rPr>
          <w:rFonts w:ascii="黑体" w:hAnsi="黑体" w:eastAsia="黑体"/>
          <w:b w:val="0"/>
          <w:i w:val="0"/>
          <w:color w:val="000000"/>
          <w:sz w:val="32"/>
        </w:rPr>
        <w:t>经费支出决算情况说明</w:t>
      </w:r>
      <w:r>
        <w:br w:type="textWrapping"/>
      </w:r>
      <w:r>
        <w:rPr>
          <w:rFonts w:ascii="FangSong_GB2312" w:hAnsi="FangSong_GB2312" w:eastAsia="FangSong_GB2312"/>
          <w:b w:val="0"/>
          <w:i w:val="0"/>
          <w:color w:val="000000"/>
          <w:sz w:val="32"/>
        </w:rPr>
        <w:t>2022年度财政拨款</w:t>
      </w:r>
      <w:r>
        <w:rPr>
          <w:rFonts w:ascii="TimesNewRomanPSMT" w:hAnsi="TimesNewRomanPSMT" w:eastAsia="TimesNewRomanPSMT"/>
          <w:b w:val="0"/>
          <w:i w:val="0"/>
          <w:color w:val="000000"/>
          <w:sz w:val="32"/>
        </w:rPr>
        <w:t>“</w:t>
      </w:r>
      <w:r>
        <w:rPr>
          <w:rFonts w:ascii="FangSong_GB2312" w:hAnsi="FangSong_GB2312" w:eastAsia="FangSong_GB2312"/>
          <w:b w:val="0"/>
          <w:i w:val="0"/>
          <w:color w:val="000000"/>
          <w:sz w:val="32"/>
        </w:rPr>
        <w:t>三公</w:t>
      </w:r>
      <w:r>
        <w:rPr>
          <w:rFonts w:ascii="TimesNewRomanPSMT" w:hAnsi="TimesNewRomanPSMT" w:eastAsia="TimesNewRomanPSMT"/>
          <w:b w:val="0"/>
          <w:i w:val="0"/>
          <w:color w:val="000000"/>
          <w:sz w:val="32"/>
        </w:rPr>
        <w:t>”</w:t>
      </w:r>
      <w:r>
        <w:rPr>
          <w:rFonts w:ascii="FangSong_GB2312" w:hAnsi="FangSong_GB2312" w:eastAsia="FangSong_GB2312"/>
          <w:b w:val="0"/>
          <w:i w:val="0"/>
          <w:color w:val="000000"/>
          <w:sz w:val="32"/>
        </w:rPr>
        <w:t>经费支出决算6.61万元，比上年增加1.60万元，增长31.94%，主要原因是：本年单位车辆维修费支出较上年增加。其中：因公出国（境）费支出0.00万元，占0.00%，比上年增加0.00万元，增长0.00%，主要原因是：本年单位无因公出国（境）费支出；公务用车购置及运行维护费支出6.61万元，占100.00%，</w:t>
      </w:r>
      <w:r>
        <w:br w:type="textWrapping"/>
      </w:r>
      <w:r>
        <w:rPr>
          <w:rFonts w:ascii="FangSong_GB2312" w:hAnsi="FangSong_GB2312" w:eastAsia="FangSong_GB2312"/>
          <w:b w:val="0"/>
          <w:i w:val="0"/>
          <w:color w:val="000000"/>
          <w:sz w:val="32"/>
        </w:rPr>
        <w:t>比上年增加1.60万元，增长31.94%，主要原因是：本年单位车辆维修费支出较上年增加；公务接待费支出0.00万元，占0.00%，比上年增加0.00万元，增长0.00%，主要原因是：本年单位无此项支出。具体情况如下：</w:t>
      </w:r>
      <w:r>
        <w:br w:type="textWrapping"/>
      </w:r>
      <w:r>
        <w:rPr>
          <w:rFonts w:ascii="FangSong_GB2312" w:hAnsi="FangSong_GB2312" w:eastAsia="FangSong_GB2312"/>
          <w:b w:val="0"/>
          <w:i w:val="0"/>
          <w:color w:val="000000"/>
          <w:sz w:val="32"/>
        </w:rPr>
        <w:t>因公出国（境）费支出0.00万元，开支内容包括本年单位无因公出国（境）费支出。单位全年安排的因公出国（境）团组0个，因公出国（境）0人次。</w:t>
      </w:r>
    </w:p>
    <w:p>
      <w:pPr>
        <w:widowControl/>
        <w:autoSpaceDE w:val="0"/>
        <w:autoSpaceDN w:val="0"/>
        <w:spacing w:before="306" w:after="0" w:line="317" w:lineRule="auto"/>
        <w:ind w:left="360" w:right="364" w:firstLine="642"/>
        <w:jc w:val="both"/>
      </w:pPr>
      <w:r>
        <w:rPr>
          <w:rFonts w:ascii="FangSong_GB2312" w:hAnsi="FangSong_GB2312" w:eastAsia="FangSong_GB2312"/>
          <w:b w:val="0"/>
          <w:i w:val="0"/>
          <w:color w:val="000000"/>
          <w:sz w:val="32"/>
        </w:rPr>
        <w:t>公务用车购置及运行维护费6.61万元，其中：公务用车购置费0.00万元，公务用车运行维护费6.61万元。公务用车运行维护费开支内容包括公务用车燃油费、保险费、过路费等。公务用车购置数0辆，公务用车保有量5辆。</w:t>
      </w:r>
    </w:p>
    <w:p>
      <w:pPr>
        <w:widowControl/>
        <w:autoSpaceDE w:val="0"/>
        <w:autoSpaceDN w:val="0"/>
        <w:spacing w:before="306" w:after="0" w:line="185" w:lineRule="auto"/>
        <w:ind w:left="1002" w:right="0" w:firstLine="0"/>
        <w:jc w:val="left"/>
      </w:pPr>
      <w:r>
        <w:rPr>
          <w:rFonts w:ascii="FangSong_GB2312" w:hAnsi="FangSong_GB2312" w:eastAsia="FangSong_GB2312"/>
          <w:b w:val="0"/>
          <w:i w:val="0"/>
          <w:color w:val="000000"/>
          <w:sz w:val="32"/>
        </w:rPr>
        <w:t>公务接待费0.00万元，开支内容包括本年单位无此项支出。</w:t>
      </w:r>
    </w:p>
    <w:p>
      <w:pPr>
        <w:sectPr>
          <w:pgSz w:w="12240" w:h="15840"/>
          <w:pgMar w:top="744" w:right="1440" w:bottom="648" w:left="1440" w:header="720" w:footer="720" w:gutter="0"/>
          <w:cols w:space="720" w:num="1"/>
          <w:docGrid w:linePitch="360" w:charSpace="0"/>
        </w:sectPr>
      </w:pPr>
    </w:p>
    <w:p>
      <w:pPr>
        <w:widowControl/>
        <w:autoSpaceDE w:val="0"/>
        <w:autoSpaceDN w:val="0"/>
        <w:spacing w:before="0" w:after="500" w:line="220" w:lineRule="exact"/>
        <w:ind w:left="0" w:right="0"/>
      </w:pPr>
    </w:p>
    <w:p>
      <w:pPr>
        <w:widowControl/>
        <w:autoSpaceDE w:val="0"/>
        <w:autoSpaceDN w:val="0"/>
        <w:spacing w:before="50" w:after="0" w:line="185" w:lineRule="auto"/>
        <w:ind w:left="360" w:right="0" w:firstLine="0"/>
        <w:jc w:val="left"/>
      </w:pPr>
      <w:r>
        <w:rPr>
          <w:rFonts w:ascii="FangSong_GB2312" w:hAnsi="FangSong_GB2312" w:eastAsia="FangSong_GB2312"/>
          <w:b w:val="0"/>
          <w:i w:val="0"/>
          <w:color w:val="000000"/>
          <w:sz w:val="32"/>
        </w:rPr>
        <w:t>单位全年安排的国内公务接待0批次，0人次。</w:t>
      </w:r>
    </w:p>
    <w:p>
      <w:pPr>
        <w:widowControl/>
        <w:autoSpaceDE w:val="0"/>
        <w:autoSpaceDN w:val="0"/>
        <w:spacing w:before="32" w:after="244" w:line="616" w:lineRule="exact"/>
        <w:ind w:left="360" w:right="144" w:firstLine="642"/>
        <w:jc w:val="left"/>
      </w:pPr>
      <w:r>
        <w:rPr>
          <w:rFonts w:ascii="FangSong_GB2312" w:hAnsi="FangSong_GB2312" w:eastAsia="FangSong_GB2312"/>
          <w:b w:val="0"/>
          <w:i w:val="0"/>
          <w:color w:val="000000"/>
          <w:sz w:val="32"/>
        </w:rPr>
        <w:t>与全年预算数相比情况：</w:t>
      </w:r>
      <w:r>
        <w:rPr>
          <w:rFonts w:ascii="TimesNewRomanPSMT" w:hAnsi="TimesNewRomanPSMT" w:eastAsia="TimesNewRomanPSMT"/>
          <w:b w:val="0"/>
          <w:i w:val="0"/>
          <w:color w:val="000000"/>
          <w:sz w:val="32"/>
        </w:rPr>
        <w:t>“</w:t>
      </w:r>
      <w:r>
        <w:rPr>
          <w:rFonts w:ascii="FangSong_GB2312" w:hAnsi="FangSong_GB2312" w:eastAsia="FangSong_GB2312"/>
          <w:b w:val="0"/>
          <w:i w:val="0"/>
          <w:color w:val="000000"/>
          <w:sz w:val="32"/>
        </w:rPr>
        <w:t>三公</w:t>
      </w:r>
      <w:r>
        <w:rPr>
          <w:rFonts w:ascii="TimesNewRomanPSMT" w:hAnsi="TimesNewRomanPSMT" w:eastAsia="TimesNewRomanPSMT"/>
          <w:b w:val="0"/>
          <w:i w:val="0"/>
          <w:color w:val="000000"/>
          <w:sz w:val="32"/>
        </w:rPr>
        <w:t>”</w:t>
      </w:r>
      <w:r>
        <w:rPr>
          <w:rFonts w:ascii="FangSong_GB2312" w:hAnsi="FangSong_GB2312" w:eastAsia="FangSong_GB2312"/>
          <w:b w:val="0"/>
          <w:i w:val="0"/>
          <w:color w:val="000000"/>
          <w:sz w:val="32"/>
        </w:rPr>
        <w:t>经费支出全年预算数6.68万元，决算数6.61万元，预决算差异率-1.05%，主要原因是：本年单位公务用车次数减少，车辆燃油、维修保养等支出减少。其中：因公出国（境）费全年预算数0.00万元，决算数0.00万</w:t>
      </w:r>
    </w:p>
    <w:tbl>
      <w:tblPr>
        <w:tblStyle w:val="35"/>
        <w:tblW w:w="9360" w:type="dxa"/>
        <w:tblInd w:w="180" w:type="dxa"/>
        <w:tblLayout w:type="fixed"/>
        <w:tblCellMar>
          <w:top w:w="0" w:type="dxa"/>
          <w:left w:w="108" w:type="dxa"/>
          <w:bottom w:w="0" w:type="dxa"/>
          <w:right w:w="108" w:type="dxa"/>
        </w:tblCellMar>
      </w:tblPr>
      <w:tblGrid>
        <w:gridCol w:w="9360"/>
      </w:tblGrid>
      <w:tr>
        <w:tblPrEx>
          <w:tblLayout w:type="fixed"/>
          <w:tblCellMar>
            <w:top w:w="0" w:type="dxa"/>
            <w:left w:w="108" w:type="dxa"/>
            <w:bottom w:w="0" w:type="dxa"/>
            <w:right w:w="108" w:type="dxa"/>
          </w:tblCellMar>
        </w:tblPrEx>
        <w:trPr>
          <w:trHeight w:val="440" w:hRule="exact"/>
        </w:trPr>
        <w:tc>
          <w:tcPr>
            <w:tcW w:w="9360" w:type="dxa"/>
          </w:tcPr>
          <w:p>
            <w:pPr>
              <w:widowControl/>
              <w:autoSpaceDE w:val="0"/>
              <w:autoSpaceDN w:val="0"/>
              <w:spacing w:before="0" w:after="0" w:line="240" w:lineRule="auto"/>
              <w:ind w:left="180" w:right="0" w:firstLine="0"/>
              <w:jc w:val="left"/>
            </w:pPr>
            <w:r>
              <w:rPr>
                <w:rFonts w:ascii="FangSong_GB2312" w:hAnsi="FangSong_GB2312" w:eastAsia="FangSong_GB2312"/>
                <w:b w:val="0"/>
                <w:i w:val="0"/>
                <w:color w:val="000000"/>
                <w:sz w:val="32"/>
              </w:rPr>
              <w:t>元，预决算差异率0.00%，主要原因是：本年单位无因公出国（境）</w:t>
            </w:r>
          </w:p>
        </w:tc>
      </w:tr>
    </w:tbl>
    <w:p>
      <w:pPr>
        <w:widowControl/>
        <w:autoSpaceDE w:val="0"/>
        <w:autoSpaceDN w:val="0"/>
        <w:spacing w:before="244" w:after="0" w:line="336" w:lineRule="auto"/>
        <w:ind w:left="360" w:right="144" w:firstLine="0"/>
        <w:jc w:val="left"/>
      </w:pPr>
      <w:r>
        <w:rPr>
          <w:rFonts w:ascii="FangSong_GB2312" w:hAnsi="FangSong_GB2312" w:eastAsia="FangSong_GB2312"/>
          <w:b w:val="0"/>
          <w:i w:val="0"/>
          <w:color w:val="000000"/>
          <w:sz w:val="32"/>
        </w:rPr>
        <w:t>费支出；公务用车购置费全年预算数0.00万元，决算数0.00万元，预决算差异率0.00%，主要原因是：本年单位无此项支出；公务用车运行费全年预算数6.68万元，决算数6.61万元，预决算差异率-1.05%，主要原因是：本年单位公务用车次数减少，车辆燃油、维修保养等支出减少；公务接待费全年预算数0.00万元，决算数0.00万元，预决算差异率0.00%，主要原因是：本年单位无此项支出。</w:t>
      </w:r>
    </w:p>
    <w:p>
      <w:pPr>
        <w:widowControl/>
        <w:tabs>
          <w:tab w:val="left" w:pos="1002"/>
        </w:tabs>
        <w:autoSpaceDE w:val="0"/>
        <w:autoSpaceDN w:val="0"/>
        <w:spacing w:before="306" w:after="0" w:line="302" w:lineRule="auto"/>
        <w:ind w:left="360" w:right="144" w:firstLine="0"/>
        <w:jc w:val="left"/>
      </w:pPr>
      <w:r>
        <w:rPr>
          <w:rFonts w:ascii="黑体" w:hAnsi="黑体" w:eastAsia="黑体"/>
          <w:b w:val="0"/>
          <w:i w:val="0"/>
          <w:color w:val="000000"/>
          <w:sz w:val="32"/>
        </w:rPr>
        <w:t>八、政府性基金预算财政拨款收入支出决算情况说明</w:t>
      </w:r>
      <w:r>
        <w:rPr>
          <w:rFonts w:ascii="FangSong_GB2312" w:hAnsi="FangSong_GB2312" w:eastAsia="FangSong_GB2312"/>
          <w:b w:val="0"/>
          <w:i w:val="0"/>
          <w:color w:val="000000"/>
          <w:sz w:val="32"/>
        </w:rPr>
        <w:t xml:space="preserve">我单位本年度无政府性基金预算财政拨款收入、支出及结转和结余，政府性基金预算财政拨款收入支出决算表为空表。 </w:t>
      </w:r>
    </w:p>
    <w:p>
      <w:pPr>
        <w:widowControl/>
        <w:tabs>
          <w:tab w:val="left" w:pos="1002"/>
        </w:tabs>
        <w:autoSpaceDE w:val="0"/>
        <w:autoSpaceDN w:val="0"/>
        <w:spacing w:before="306" w:after="0" w:line="317" w:lineRule="auto"/>
        <w:ind w:left="360" w:right="288" w:firstLine="0"/>
        <w:jc w:val="left"/>
      </w:pPr>
      <w:r>
        <w:rPr>
          <w:rFonts w:ascii="黑体" w:hAnsi="黑体" w:eastAsia="黑体"/>
          <w:b w:val="0"/>
          <w:i w:val="0"/>
          <w:color w:val="000000"/>
          <w:sz w:val="32"/>
        </w:rPr>
        <w:t>九、国有资本经营预算财政拨款收入支出决算情况说明</w:t>
      </w:r>
      <w:r>
        <w:rPr>
          <w:rFonts w:ascii="FangSong_GB2312" w:hAnsi="FangSong_GB2312" w:eastAsia="FangSong_GB2312"/>
          <w:b w:val="0"/>
          <w:i w:val="0"/>
          <w:color w:val="000000"/>
          <w:sz w:val="32"/>
        </w:rPr>
        <w:t>我单位本年度无国有资本经营预算财政拨款收入、支出及结转和结余，国有资本经营预算财政拨款收入支出决算表为空表。</w:t>
      </w:r>
    </w:p>
    <w:p>
      <w:pPr>
        <w:widowControl/>
        <w:autoSpaceDE w:val="0"/>
        <w:autoSpaceDN w:val="0"/>
        <w:spacing w:before="306" w:after="0" w:line="185" w:lineRule="auto"/>
        <w:ind w:left="1002" w:right="0" w:firstLine="0"/>
        <w:jc w:val="left"/>
      </w:pPr>
      <w:r>
        <w:rPr>
          <w:rFonts w:ascii="黑体" w:hAnsi="黑体" w:eastAsia="黑体"/>
          <w:b w:val="0"/>
          <w:i w:val="0"/>
          <w:color w:val="000000"/>
          <w:sz w:val="32"/>
        </w:rPr>
        <w:t>十、其他重要事项的情况说明</w:t>
      </w:r>
    </w:p>
    <w:p>
      <w:pPr>
        <w:sectPr>
          <w:pgSz w:w="12240" w:h="15840"/>
          <w:pgMar w:top="720" w:right="1440" w:bottom="776" w:left="1440" w:header="720" w:footer="720" w:gutter="0"/>
          <w:cols w:space="720" w:num="1"/>
          <w:docGrid w:linePitch="360" w:charSpace="0"/>
        </w:sectPr>
      </w:pPr>
    </w:p>
    <w:p>
      <w:pPr>
        <w:widowControl/>
        <w:autoSpaceDE w:val="0"/>
        <w:autoSpaceDN w:val="0"/>
        <w:spacing w:before="0" w:after="526" w:line="220" w:lineRule="exact"/>
        <w:ind w:left="0" w:right="0"/>
      </w:pPr>
    </w:p>
    <w:p>
      <w:pPr>
        <w:widowControl/>
        <w:tabs>
          <w:tab w:val="left" w:pos="1002"/>
          <w:tab w:val="left" w:pos="3346"/>
          <w:tab w:val="left" w:pos="5214"/>
          <w:tab w:val="left" w:pos="7080"/>
          <w:tab w:val="left" w:pos="8680"/>
        </w:tabs>
        <w:autoSpaceDE w:val="0"/>
        <w:autoSpaceDN w:val="0"/>
        <w:spacing w:before="0" w:after="0" w:line="317" w:lineRule="auto"/>
        <w:ind w:left="360" w:right="288" w:firstLine="0"/>
        <w:jc w:val="left"/>
      </w:pPr>
      <w:r>
        <w:rPr>
          <w:rFonts w:ascii="黑体" w:hAnsi="黑体" w:eastAsia="黑体"/>
          <w:b w:val="0"/>
          <w:i w:val="0"/>
          <w:color w:val="000000"/>
          <w:sz w:val="32"/>
        </w:rPr>
        <w:t>（一）机关运行经费支出情况</w:t>
      </w:r>
      <w:r>
        <w:br w:type="textWrapping"/>
      </w:r>
      <w:r>
        <w:rPr>
          <w:rFonts w:ascii="FangSong_GB2312" w:hAnsi="FangSong_GB2312" w:eastAsia="FangSong_GB2312"/>
          <w:b w:val="0"/>
          <w:i w:val="0"/>
          <w:color w:val="000000"/>
          <w:sz w:val="32"/>
        </w:rPr>
        <w:t>2022年度乌鲁木齐市儿童公园单位公用经费51.69万元，比上年增加10.73万元，增长26.20%，主要原因是：本年单位办公费、水费、电费、邮电费、工会经费支出较上年增加。</w:t>
      </w:r>
    </w:p>
    <w:p>
      <w:pPr>
        <w:widowControl/>
        <w:tabs>
          <w:tab w:val="left" w:pos="1002"/>
        </w:tabs>
        <w:autoSpaceDE w:val="0"/>
        <w:autoSpaceDN w:val="0"/>
        <w:spacing w:before="304" w:after="0" w:line="317" w:lineRule="auto"/>
        <w:ind w:left="360" w:right="288" w:firstLine="0"/>
        <w:jc w:val="left"/>
      </w:pPr>
      <w:r>
        <w:rPr>
          <w:rFonts w:ascii="黑体" w:hAnsi="黑体" w:eastAsia="黑体"/>
          <w:b w:val="0"/>
          <w:i w:val="0"/>
          <w:color w:val="000000"/>
          <w:sz w:val="32"/>
        </w:rPr>
        <w:t>（二）政府采购情况</w:t>
      </w:r>
      <w:r>
        <w:br w:type="textWrapping"/>
      </w:r>
      <w:r>
        <w:rPr>
          <w:rFonts w:ascii="FangSong_GB2312" w:hAnsi="FangSong_GB2312" w:eastAsia="FangSong_GB2312"/>
          <w:b w:val="0"/>
          <w:i w:val="0"/>
          <w:color w:val="000000"/>
          <w:sz w:val="32"/>
        </w:rPr>
        <w:t>2022年度政府采购支出总额3.76万元，其中：政府采购货物支出0.07万元、政府采购工程支出0.00万元、政府采购服务支出3.68万元。</w:t>
      </w:r>
    </w:p>
    <w:p>
      <w:pPr>
        <w:widowControl/>
        <w:autoSpaceDE w:val="0"/>
        <w:autoSpaceDN w:val="0"/>
        <w:spacing w:before="304" w:after="0" w:line="302" w:lineRule="auto"/>
        <w:ind w:left="360" w:right="364" w:firstLine="642"/>
        <w:jc w:val="both"/>
      </w:pPr>
      <w:r>
        <w:rPr>
          <w:rFonts w:ascii="FangSong_GB2312" w:hAnsi="FangSong_GB2312" w:eastAsia="FangSong_GB2312"/>
          <w:b w:val="0"/>
          <w:i w:val="0"/>
          <w:color w:val="000000"/>
          <w:sz w:val="32"/>
        </w:rPr>
        <w:t>授予中小企业合同金额2.83万元，占政府采购支出总额的75.27%，其中：授予小微企业合同金额0.07万元，占政府采购支出总额的1.86%。</w:t>
      </w:r>
    </w:p>
    <w:p>
      <w:pPr>
        <w:widowControl/>
        <w:autoSpaceDE w:val="0"/>
        <w:autoSpaceDN w:val="0"/>
        <w:spacing w:before="306" w:after="246" w:line="274" w:lineRule="auto"/>
        <w:ind w:left="1002" w:right="288" w:firstLine="0"/>
        <w:jc w:val="left"/>
      </w:pPr>
      <w:r>
        <w:rPr>
          <w:rFonts w:ascii="黑体" w:hAnsi="黑体" w:eastAsia="黑体"/>
          <w:b w:val="0"/>
          <w:i w:val="0"/>
          <w:color w:val="000000"/>
          <w:sz w:val="32"/>
        </w:rPr>
        <w:t>（三）国有资产占用情况说明</w:t>
      </w:r>
      <w:r>
        <w:br w:type="textWrapping"/>
      </w:r>
      <w:bookmarkStart w:id="0" w:name="_GoBack"/>
      <w:bookmarkEnd w:id="0"/>
      <w:r>
        <w:rPr>
          <w:rFonts w:ascii="FangSong_GB2312" w:hAnsi="FangSong_GB2312" w:eastAsia="FangSong_GB2312"/>
          <w:b w:val="0"/>
          <w:i w:val="0"/>
          <w:color w:val="000000"/>
          <w:sz w:val="32"/>
        </w:rPr>
        <w:t>截</w:t>
      </w:r>
      <w:r>
        <w:rPr>
          <w:rFonts w:hint="eastAsia" w:ascii="FangSong_GB2312" w:hAnsi="FangSong_GB2312" w:eastAsia="FangSong_GB2312"/>
          <w:b w:val="0"/>
          <w:i w:val="0"/>
          <w:color w:val="000000"/>
          <w:sz w:val="32"/>
          <w:lang w:eastAsia="zh-CN"/>
        </w:rPr>
        <w:t>至</w:t>
      </w:r>
      <w:r>
        <w:rPr>
          <w:rFonts w:ascii="FangSong_GB2312" w:hAnsi="FangSong_GB2312" w:eastAsia="FangSong_GB2312"/>
          <w:b w:val="0"/>
          <w:i w:val="0"/>
          <w:color w:val="000000"/>
          <w:sz w:val="32"/>
        </w:rPr>
        <w:t>2022年12月31日，固定资产原值1,250.80万元，房屋</w:t>
      </w:r>
    </w:p>
    <w:tbl>
      <w:tblPr>
        <w:tblStyle w:val="35"/>
        <w:tblW w:w="9360" w:type="dxa"/>
        <w:tblInd w:w="180" w:type="dxa"/>
        <w:tblLayout w:type="fixed"/>
        <w:tblCellMar>
          <w:top w:w="0" w:type="dxa"/>
          <w:left w:w="108" w:type="dxa"/>
          <w:bottom w:w="0" w:type="dxa"/>
          <w:right w:w="108" w:type="dxa"/>
        </w:tblCellMar>
      </w:tblPr>
      <w:tblGrid>
        <w:gridCol w:w="9360"/>
      </w:tblGrid>
      <w:tr>
        <w:tblPrEx>
          <w:tblLayout w:type="fixed"/>
          <w:tblCellMar>
            <w:top w:w="0" w:type="dxa"/>
            <w:left w:w="108" w:type="dxa"/>
            <w:bottom w:w="0" w:type="dxa"/>
            <w:right w:w="108" w:type="dxa"/>
          </w:tblCellMar>
        </w:tblPrEx>
        <w:trPr>
          <w:trHeight w:val="438" w:hRule="exact"/>
        </w:trPr>
        <w:tc>
          <w:tcPr>
            <w:tcW w:w="9360" w:type="dxa"/>
          </w:tcPr>
          <w:p>
            <w:pPr>
              <w:widowControl/>
              <w:autoSpaceDE w:val="0"/>
              <w:autoSpaceDN w:val="0"/>
              <w:spacing w:before="0" w:after="0" w:line="240" w:lineRule="auto"/>
              <w:ind w:left="180" w:right="0" w:firstLine="0"/>
              <w:jc w:val="left"/>
            </w:pPr>
            <w:r>
              <w:rPr>
                <w:rFonts w:ascii="FangSong_GB2312" w:hAnsi="FangSong_GB2312" w:eastAsia="FangSong_GB2312"/>
                <w:b w:val="0"/>
                <w:i w:val="0"/>
                <w:color w:val="000000"/>
                <w:sz w:val="32"/>
              </w:rPr>
              <w:t>4,608.98平方米，价值578.01万元。车辆5辆，价值121.95万元，</w:t>
            </w:r>
          </w:p>
        </w:tc>
      </w:tr>
    </w:tbl>
    <w:p>
      <w:pPr>
        <w:widowControl/>
        <w:autoSpaceDE w:val="0"/>
        <w:autoSpaceDN w:val="0"/>
        <w:spacing w:before="246" w:after="246" w:line="274" w:lineRule="auto"/>
        <w:ind w:left="360" w:right="144" w:firstLine="0"/>
        <w:jc w:val="left"/>
      </w:pPr>
      <w:r>
        <w:rPr>
          <w:rFonts w:ascii="FangSong_GB2312" w:hAnsi="FangSong_GB2312" w:eastAsia="FangSong_GB2312"/>
          <w:b w:val="0"/>
          <w:i w:val="0"/>
          <w:color w:val="000000"/>
          <w:sz w:val="32"/>
        </w:rPr>
        <w:t>其中：副部（省）级及以上领导用车0辆、主要领导干部用车0辆、机要通信用车0辆、应急保障用车0辆、执法执勤用车0辆、</w:t>
      </w:r>
    </w:p>
    <w:tbl>
      <w:tblPr>
        <w:tblStyle w:val="35"/>
        <w:tblW w:w="9360" w:type="dxa"/>
        <w:tblInd w:w="180" w:type="dxa"/>
        <w:tblLayout w:type="fixed"/>
        <w:tblCellMar>
          <w:top w:w="0" w:type="dxa"/>
          <w:left w:w="108" w:type="dxa"/>
          <w:bottom w:w="0" w:type="dxa"/>
          <w:right w:w="108" w:type="dxa"/>
        </w:tblCellMar>
      </w:tblPr>
      <w:tblGrid>
        <w:gridCol w:w="9360"/>
      </w:tblGrid>
      <w:tr>
        <w:tblPrEx>
          <w:tblLayout w:type="fixed"/>
          <w:tblCellMar>
            <w:top w:w="0" w:type="dxa"/>
            <w:left w:w="108" w:type="dxa"/>
            <w:bottom w:w="0" w:type="dxa"/>
            <w:right w:w="108" w:type="dxa"/>
          </w:tblCellMar>
        </w:tblPrEx>
        <w:trPr>
          <w:trHeight w:val="438" w:hRule="exact"/>
        </w:trPr>
        <w:tc>
          <w:tcPr>
            <w:tcW w:w="9360" w:type="dxa"/>
          </w:tcPr>
          <w:p>
            <w:pPr>
              <w:widowControl/>
              <w:autoSpaceDE w:val="0"/>
              <w:autoSpaceDN w:val="0"/>
              <w:spacing w:before="0" w:after="0" w:line="240" w:lineRule="auto"/>
              <w:ind w:left="0" w:right="0" w:firstLine="0"/>
              <w:jc w:val="left"/>
            </w:pPr>
            <w:r>
              <w:rPr>
                <w:rFonts w:ascii="FangSong_GB2312" w:hAnsi="FangSong_GB2312" w:eastAsia="FangSong_GB2312"/>
                <w:b w:val="0"/>
                <w:i w:val="0"/>
                <w:color w:val="000000"/>
                <w:sz w:val="32"/>
              </w:rPr>
              <w:t>特种专业技术用车0辆、离退休干部用车0辆、其他用车5辆，其</w:t>
            </w:r>
          </w:p>
        </w:tc>
      </w:tr>
    </w:tbl>
    <w:p>
      <w:pPr>
        <w:widowControl/>
        <w:autoSpaceDE w:val="0"/>
        <w:autoSpaceDN w:val="0"/>
        <w:spacing w:before="246" w:after="0" w:line="274" w:lineRule="auto"/>
        <w:ind w:left="360" w:right="288" w:firstLine="0"/>
        <w:jc w:val="left"/>
      </w:pPr>
      <w:r>
        <w:rPr>
          <w:rFonts w:ascii="FangSong_GB2312" w:hAnsi="FangSong_GB2312" w:eastAsia="FangSong_GB2312"/>
          <w:b w:val="0"/>
          <w:i w:val="0"/>
          <w:color w:val="000000"/>
          <w:sz w:val="32"/>
        </w:rPr>
        <w:t>他用车主要是：单位业务用车和清洁卫生用车；单价100万元（含）以上设备（不含车辆）0台（套）。</w:t>
      </w:r>
    </w:p>
    <w:p>
      <w:pPr>
        <w:widowControl/>
        <w:autoSpaceDE w:val="0"/>
        <w:autoSpaceDN w:val="0"/>
        <w:spacing w:before="306" w:after="0" w:line="274" w:lineRule="auto"/>
        <w:ind w:left="1002" w:right="288" w:firstLine="0"/>
        <w:jc w:val="left"/>
      </w:pPr>
      <w:r>
        <w:rPr>
          <w:rFonts w:ascii="黑体" w:hAnsi="黑体" w:eastAsia="黑体"/>
          <w:b w:val="0"/>
          <w:i w:val="0"/>
          <w:color w:val="000000"/>
          <w:sz w:val="32"/>
        </w:rPr>
        <w:t>十一、预算绩效的情况说明</w:t>
      </w:r>
      <w:r>
        <w:br w:type="textWrapping"/>
      </w:r>
      <w:r>
        <w:rPr>
          <w:rFonts w:ascii="FangSong_GB2312" w:hAnsi="FangSong_GB2312" w:eastAsia="FangSong_GB2312"/>
          <w:b w:val="0"/>
          <w:i w:val="0"/>
          <w:color w:val="000000"/>
          <w:sz w:val="32"/>
        </w:rPr>
        <w:t>根据预算绩效管理要求，我单位2022年度开展预算绩效评</w:t>
      </w:r>
    </w:p>
    <w:p>
      <w:pPr>
        <w:sectPr>
          <w:pgSz w:w="12240" w:h="15840"/>
          <w:pgMar w:top="744" w:right="1440" w:bottom="648" w:left="1440" w:header="720" w:footer="720" w:gutter="0"/>
          <w:cols w:space="720" w:num="1"/>
          <w:docGrid w:linePitch="360" w:charSpace="0"/>
        </w:sectPr>
      </w:pPr>
    </w:p>
    <w:p>
      <w:pPr>
        <w:widowControl/>
        <w:autoSpaceDE w:val="0"/>
        <w:autoSpaceDN w:val="0"/>
        <w:spacing w:before="0" w:after="500" w:line="220" w:lineRule="exact"/>
        <w:ind w:left="0" w:right="0"/>
      </w:pPr>
    </w:p>
    <w:p>
      <w:pPr>
        <w:widowControl/>
        <w:autoSpaceDE w:val="0"/>
        <w:autoSpaceDN w:val="0"/>
        <w:spacing w:before="50" w:after="872" w:line="343" w:lineRule="auto"/>
        <w:ind w:left="360" w:right="358" w:firstLine="0"/>
        <w:jc w:val="both"/>
      </w:pPr>
      <w:r>
        <w:rPr>
          <w:rFonts w:ascii="FangSong_GB2312" w:hAnsi="FangSong_GB2312" w:eastAsia="FangSong_GB2312"/>
          <w:b w:val="0"/>
          <w:i w:val="0"/>
          <w:color w:val="000000"/>
          <w:sz w:val="32"/>
        </w:rPr>
        <w:t>价项目1个，全年预算数43.66万元，全年执行数11.93万元。预算绩效管理取得的成效：一是维护公园绿地；二是改善居民休闲环境。发现的问题及原因：一是因疫情原因资金未支付完；二是科学合理编制预算，严格执行预算因我部财务管理人力不足和临时性的中心工作比较多，导致部门项目支出与基本支出不准或预算支出实际出现较小的偏差。下一步改进措施：一是2023年将明确分工，提高效率，加快支付速度；二是要落实预算执行分析，及时了解预算执行差异，合理调整、纠正预算执行偏差，切实提高部门预算收支管理水平。具体项目自评情况附项目支出绩效自评表。</w:t>
      </w:r>
    </w:p>
    <w:tbl>
      <w:tblPr>
        <w:tblStyle w:val="35"/>
        <w:tblW w:w="9366" w:type="dxa"/>
        <w:tblInd w:w="254" w:type="dxa"/>
        <w:tblLayout w:type="fixed"/>
        <w:tblCellMar>
          <w:top w:w="0" w:type="dxa"/>
          <w:left w:w="108" w:type="dxa"/>
          <w:bottom w:w="0" w:type="dxa"/>
          <w:right w:w="108" w:type="dxa"/>
        </w:tblCellMar>
      </w:tblPr>
      <w:tblGrid>
        <w:gridCol w:w="669"/>
        <w:gridCol w:w="669"/>
        <w:gridCol w:w="1338"/>
        <w:gridCol w:w="669"/>
        <w:gridCol w:w="1338"/>
        <w:gridCol w:w="1338"/>
        <w:gridCol w:w="1338"/>
        <w:gridCol w:w="1338"/>
        <w:gridCol w:w="669"/>
      </w:tblGrid>
      <w:tr>
        <w:tblPrEx>
          <w:tblLayout w:type="fixed"/>
          <w:tblCellMar>
            <w:top w:w="0" w:type="dxa"/>
            <w:left w:w="108" w:type="dxa"/>
            <w:bottom w:w="0" w:type="dxa"/>
            <w:right w:w="108" w:type="dxa"/>
          </w:tblCellMar>
        </w:tblPrEx>
        <w:trPr>
          <w:trHeight w:val="292" w:hRule="exact"/>
        </w:trPr>
        <w:tc>
          <w:tcPr>
            <w:tcW w:w="9366" w:type="dxa"/>
            <w:gridSpan w:val="9"/>
            <w:tcBorders>
              <w:top w:val="single" w:color="000000" w:sz="4" w:space="0"/>
              <w:bottom w:val="single" w:color="000000" w:sz="2" w:space="0"/>
            </w:tcBorders>
          </w:tcPr>
          <w:p>
            <w:pPr>
              <w:widowControl/>
              <w:autoSpaceDE w:val="0"/>
              <w:autoSpaceDN w:val="0"/>
              <w:spacing w:before="0" w:after="0" w:line="240" w:lineRule="auto"/>
              <w:ind w:left="0" w:right="3316" w:firstLine="0"/>
              <w:jc w:val="left"/>
            </w:pPr>
            <w:r>
              <w:rPr>
                <w:rFonts w:ascii="宋体" w:hAnsi="宋体" w:eastAsia="宋体"/>
                <w:b w:val="0"/>
                <w:i w:val="0"/>
                <w:color w:val="000000"/>
                <w:sz w:val="20"/>
              </w:rPr>
              <w:t xml:space="preserve">项目支出绩效自评表 </w:t>
            </w:r>
          </w:p>
        </w:tc>
      </w:tr>
      <w:tr>
        <w:tblPrEx>
          <w:tblLayout w:type="fixed"/>
          <w:tblCellMar>
            <w:top w:w="0" w:type="dxa"/>
            <w:left w:w="108" w:type="dxa"/>
            <w:bottom w:w="0" w:type="dxa"/>
            <w:right w:w="108" w:type="dxa"/>
          </w:tblCellMar>
        </w:tblPrEx>
        <w:trPr>
          <w:trHeight w:val="292" w:hRule="exact"/>
        </w:trPr>
        <w:tc>
          <w:tcPr>
            <w:tcW w:w="9366" w:type="dxa"/>
            <w:gridSpan w:val="9"/>
            <w:tcBorders>
              <w:top w:val="single" w:color="000000" w:sz="2" w:space="0"/>
              <w:bottom w:val="single" w:color="000000" w:sz="4" w:space="0"/>
            </w:tcBorders>
          </w:tcPr>
          <w:p>
            <w:pPr>
              <w:widowControl/>
              <w:autoSpaceDE w:val="0"/>
              <w:autoSpaceDN w:val="0"/>
              <w:spacing w:before="0" w:after="0" w:line="240" w:lineRule="auto"/>
              <w:ind w:left="0" w:right="3690" w:firstLine="0"/>
              <w:jc w:val="left"/>
            </w:pPr>
            <w:r>
              <w:rPr>
                <w:rFonts w:ascii="宋体" w:hAnsi="宋体" w:eastAsia="宋体"/>
                <w:b w:val="0"/>
                <w:i w:val="0"/>
                <w:color w:val="000000"/>
                <w:sz w:val="20"/>
              </w:rPr>
              <w:t xml:space="preserve">(2022 年度) </w:t>
            </w:r>
          </w:p>
        </w:tc>
      </w:tr>
      <w:tr>
        <w:tblPrEx>
          <w:tblLayout w:type="fixed"/>
          <w:tblCellMar>
            <w:top w:w="0" w:type="dxa"/>
            <w:left w:w="108" w:type="dxa"/>
            <w:bottom w:w="0" w:type="dxa"/>
            <w:right w:w="108" w:type="dxa"/>
          </w:tblCellMar>
        </w:tblPrEx>
        <w:trPr>
          <w:trHeight w:val="290" w:hRule="exact"/>
        </w:trPr>
        <w:tc>
          <w:tcPr>
            <w:tcW w:w="1338" w:type="dxa"/>
            <w:gridSpan w:val="2"/>
            <w:tcBorders>
              <w:top w:val="single" w:color="000000" w:sz="4" w:space="0"/>
              <w:bottom w:val="single" w:color="000000" w:sz="4" w:space="0"/>
            </w:tcBorders>
          </w:tcPr>
          <w:p>
            <w:pPr>
              <w:widowControl/>
              <w:autoSpaceDE w:val="0"/>
              <w:autoSpaceDN w:val="0"/>
              <w:spacing w:before="0" w:after="0" w:line="240" w:lineRule="auto"/>
              <w:ind w:left="190" w:right="0" w:firstLine="0"/>
              <w:jc w:val="left"/>
            </w:pPr>
            <w:r>
              <w:rPr>
                <w:rFonts w:ascii="宋体" w:hAnsi="宋体" w:eastAsia="宋体"/>
                <w:b w:val="0"/>
                <w:i w:val="0"/>
                <w:color w:val="000000"/>
                <w:sz w:val="20"/>
              </w:rPr>
              <w:t xml:space="preserve">项目名称 </w:t>
            </w:r>
          </w:p>
        </w:tc>
        <w:tc>
          <w:tcPr>
            <w:tcW w:w="8028" w:type="dxa"/>
            <w:gridSpan w:val="7"/>
            <w:tcBorders>
              <w:top w:val="single" w:color="000000" w:sz="4" w:space="0"/>
              <w:bottom w:val="single" w:color="000000" w:sz="4" w:space="0"/>
            </w:tcBorders>
          </w:tcPr>
          <w:p>
            <w:pPr>
              <w:widowControl/>
              <w:autoSpaceDE w:val="0"/>
              <w:autoSpaceDN w:val="0"/>
              <w:spacing w:before="0" w:after="0" w:line="240" w:lineRule="auto"/>
              <w:ind w:left="468" w:right="0" w:firstLine="0"/>
              <w:jc w:val="left"/>
            </w:pPr>
            <w:r>
              <w:rPr>
                <w:rFonts w:ascii="宋体" w:hAnsi="宋体" w:eastAsia="宋体"/>
                <w:b w:val="0"/>
                <w:i w:val="0"/>
                <w:color w:val="000000"/>
                <w:sz w:val="20"/>
              </w:rPr>
              <w:t xml:space="preserve">乌财建[2020]345 号-2020 年城市基础设施维护项目第八批经费[门票补助] </w:t>
            </w:r>
          </w:p>
        </w:tc>
      </w:tr>
      <w:tr>
        <w:tblPrEx>
          <w:tblLayout w:type="fixed"/>
          <w:tblCellMar>
            <w:top w:w="0" w:type="dxa"/>
            <w:left w:w="108" w:type="dxa"/>
            <w:bottom w:w="0" w:type="dxa"/>
            <w:right w:w="108" w:type="dxa"/>
          </w:tblCellMar>
        </w:tblPrEx>
        <w:trPr>
          <w:trHeight w:val="290" w:hRule="exact"/>
        </w:trPr>
        <w:tc>
          <w:tcPr>
            <w:tcW w:w="1338" w:type="dxa"/>
            <w:gridSpan w:val="2"/>
            <w:tcBorders>
              <w:top w:val="single" w:color="000000" w:sz="4" w:space="0"/>
              <w:bottom w:val="single" w:color="000000" w:sz="4" w:space="0"/>
            </w:tcBorders>
          </w:tcPr>
          <w:p>
            <w:pPr>
              <w:widowControl/>
              <w:autoSpaceDE w:val="0"/>
              <w:autoSpaceDN w:val="0"/>
              <w:spacing w:before="0" w:after="0" w:line="240" w:lineRule="auto"/>
              <w:ind w:left="190" w:right="0" w:firstLine="0"/>
              <w:jc w:val="left"/>
            </w:pPr>
            <w:r>
              <w:rPr>
                <w:rFonts w:ascii="宋体" w:hAnsi="宋体" w:eastAsia="宋体"/>
                <w:b w:val="0"/>
                <w:i w:val="0"/>
                <w:color w:val="000000"/>
                <w:sz w:val="20"/>
              </w:rPr>
              <w:t xml:space="preserve">主管部门 </w:t>
            </w:r>
          </w:p>
        </w:tc>
        <w:tc>
          <w:tcPr>
            <w:tcW w:w="3345" w:type="dxa"/>
            <w:gridSpan w:val="3"/>
            <w:tcBorders>
              <w:top w:val="single" w:color="000000" w:sz="4" w:space="0"/>
              <w:bottom w:val="single" w:color="000000" w:sz="4" w:space="0"/>
            </w:tcBorders>
          </w:tcPr>
          <w:p>
            <w:pPr>
              <w:widowControl/>
              <w:autoSpaceDE w:val="0"/>
              <w:autoSpaceDN w:val="0"/>
              <w:spacing w:before="0" w:after="0" w:line="240" w:lineRule="auto"/>
              <w:ind w:left="0" w:right="1418" w:firstLine="0"/>
              <w:jc w:val="left"/>
            </w:pPr>
            <w:r>
              <w:rPr>
                <w:rFonts w:ascii="宋体" w:hAnsi="宋体" w:eastAsia="宋体"/>
                <w:b w:val="0"/>
                <w:i w:val="0"/>
                <w:color w:val="000000"/>
                <w:sz w:val="20"/>
              </w:rPr>
              <w:t xml:space="preserve">儿童公园 </w:t>
            </w:r>
          </w:p>
        </w:tc>
        <w:tc>
          <w:tcPr>
            <w:tcW w:w="1338" w:type="dxa"/>
            <w:tcBorders>
              <w:top w:val="single" w:color="000000" w:sz="4" w:space="0"/>
              <w:bottom w:val="single" w:color="000000" w:sz="4" w:space="0"/>
            </w:tcBorders>
          </w:tcPr>
          <w:p>
            <w:pPr>
              <w:widowControl/>
              <w:autoSpaceDE w:val="0"/>
              <w:autoSpaceDN w:val="0"/>
              <w:spacing w:before="0" w:after="0" w:line="240" w:lineRule="auto"/>
              <w:ind w:left="164" w:right="0" w:firstLine="0"/>
              <w:jc w:val="left"/>
            </w:pPr>
            <w:r>
              <w:rPr>
                <w:rFonts w:ascii="宋体" w:hAnsi="宋体" w:eastAsia="宋体"/>
                <w:b w:val="0"/>
                <w:i w:val="0"/>
                <w:color w:val="000000"/>
                <w:sz w:val="20"/>
              </w:rPr>
              <w:t xml:space="preserve">实施单位 </w:t>
            </w:r>
          </w:p>
        </w:tc>
        <w:tc>
          <w:tcPr>
            <w:tcW w:w="3345" w:type="dxa"/>
            <w:gridSpan w:val="3"/>
            <w:tcBorders>
              <w:top w:val="single" w:color="000000" w:sz="4" w:space="0"/>
              <w:bottom w:val="single" w:color="000000" w:sz="4" w:space="0"/>
            </w:tcBorders>
          </w:tcPr>
          <w:p>
            <w:pPr>
              <w:widowControl/>
              <w:autoSpaceDE w:val="0"/>
              <w:autoSpaceDN w:val="0"/>
              <w:spacing w:before="0" w:after="0" w:line="240" w:lineRule="auto"/>
              <w:ind w:left="0" w:right="730" w:firstLine="0"/>
              <w:jc w:val="left"/>
            </w:pPr>
            <w:r>
              <w:rPr>
                <w:rFonts w:ascii="宋体" w:hAnsi="宋体" w:eastAsia="宋体"/>
                <w:b w:val="0"/>
                <w:i w:val="0"/>
                <w:color w:val="000000"/>
                <w:sz w:val="20"/>
              </w:rPr>
              <w:t xml:space="preserve">儿童公园 </w:t>
            </w:r>
          </w:p>
        </w:tc>
      </w:tr>
      <w:tr>
        <w:tblPrEx>
          <w:tblLayout w:type="fixed"/>
          <w:tblCellMar>
            <w:top w:w="0" w:type="dxa"/>
            <w:left w:w="108" w:type="dxa"/>
            <w:bottom w:w="0" w:type="dxa"/>
            <w:right w:w="108" w:type="dxa"/>
          </w:tblCellMar>
        </w:tblPrEx>
        <w:trPr>
          <w:trHeight w:val="530" w:hRule="exact"/>
        </w:trPr>
        <w:tc>
          <w:tcPr>
            <w:tcW w:w="1338" w:type="dxa"/>
            <w:gridSpan w:val="2"/>
            <w:vMerge w:val="restart"/>
            <w:tcBorders>
              <w:top w:val="single" w:color="000000" w:sz="4" w:space="0"/>
              <w:bottom w:val="single" w:color="000000" w:sz="4" w:space="0"/>
            </w:tcBorders>
          </w:tcPr>
          <w:p>
            <w:pPr>
              <w:widowControl/>
              <w:autoSpaceDE w:val="0"/>
              <w:autoSpaceDN w:val="0"/>
              <w:spacing w:before="0" w:after="0" w:line="240" w:lineRule="auto"/>
              <w:ind w:left="190" w:right="0" w:firstLine="0"/>
              <w:jc w:val="left"/>
            </w:pPr>
            <w:r>
              <w:rPr>
                <w:rFonts w:ascii="宋体" w:hAnsi="宋体" w:eastAsia="宋体"/>
                <w:b w:val="0"/>
                <w:i w:val="0"/>
                <w:color w:val="000000"/>
                <w:sz w:val="20"/>
              </w:rPr>
              <w:t xml:space="preserve">项目资金 （万元） </w:t>
            </w:r>
          </w:p>
        </w:tc>
        <w:tc>
          <w:tcPr>
            <w:tcW w:w="1338" w:type="dxa"/>
            <w:tcBorders>
              <w:top w:val="single" w:color="000000" w:sz="4" w:space="0"/>
              <w:bottom w:val="single" w:color="000000" w:sz="4" w:space="0"/>
            </w:tcBorders>
          </w:tcPr>
          <w:p/>
        </w:tc>
        <w:tc>
          <w:tcPr>
            <w:tcW w:w="669" w:type="dxa"/>
            <w:tcBorders>
              <w:top w:val="single" w:color="000000" w:sz="4" w:space="0"/>
              <w:bottom w:val="single" w:color="000000" w:sz="4" w:space="0"/>
            </w:tcBorders>
          </w:tcPr>
          <w:p>
            <w:pPr>
              <w:widowControl/>
              <w:autoSpaceDE w:val="0"/>
              <w:autoSpaceDN w:val="0"/>
              <w:spacing w:before="0" w:after="0" w:line="240" w:lineRule="auto"/>
              <w:ind w:left="240" w:right="0" w:hanging="102"/>
              <w:jc w:val="left"/>
            </w:pPr>
            <w:r>
              <w:rPr>
                <w:rFonts w:ascii="宋体" w:hAnsi="宋体" w:eastAsia="宋体"/>
                <w:b w:val="0"/>
                <w:i w:val="0"/>
                <w:color w:val="000000"/>
                <w:sz w:val="20"/>
              </w:rPr>
              <w:t xml:space="preserve">年初预算数 </w:t>
            </w:r>
          </w:p>
        </w:tc>
        <w:tc>
          <w:tcPr>
            <w:tcW w:w="1338" w:type="dxa"/>
            <w:tcBorders>
              <w:top w:val="single" w:color="000000" w:sz="4" w:space="0"/>
              <w:bottom w:val="single" w:color="000000" w:sz="4" w:space="0"/>
            </w:tcBorders>
          </w:tcPr>
          <w:p>
            <w:pPr>
              <w:widowControl/>
              <w:autoSpaceDE w:val="0"/>
              <w:autoSpaceDN w:val="0"/>
              <w:spacing w:before="0" w:after="0" w:line="240" w:lineRule="auto"/>
              <w:ind w:left="180" w:right="0" w:firstLine="0"/>
              <w:jc w:val="left"/>
            </w:pPr>
            <w:r>
              <w:rPr>
                <w:rFonts w:ascii="宋体" w:hAnsi="宋体" w:eastAsia="宋体"/>
                <w:b w:val="0"/>
                <w:i w:val="0"/>
                <w:color w:val="000000"/>
                <w:sz w:val="20"/>
              </w:rPr>
              <w:t xml:space="preserve">全年预算数 </w:t>
            </w:r>
          </w:p>
        </w:tc>
        <w:tc>
          <w:tcPr>
            <w:tcW w:w="1338" w:type="dxa"/>
            <w:tcBorders>
              <w:top w:val="single" w:color="000000" w:sz="4" w:space="0"/>
              <w:bottom w:val="single" w:color="000000" w:sz="4" w:space="0"/>
            </w:tcBorders>
          </w:tcPr>
          <w:p>
            <w:pPr>
              <w:widowControl/>
              <w:tabs>
                <w:tab w:val="left" w:pos="464"/>
              </w:tabs>
              <w:autoSpaceDE w:val="0"/>
              <w:autoSpaceDN w:val="0"/>
              <w:spacing w:before="0" w:after="0" w:line="240" w:lineRule="auto"/>
              <w:ind w:left="164" w:right="144" w:firstLine="0"/>
              <w:jc w:val="left"/>
            </w:pPr>
            <w:r>
              <w:rPr>
                <w:rFonts w:ascii="宋体" w:hAnsi="宋体" w:eastAsia="宋体"/>
                <w:b w:val="0"/>
                <w:i w:val="0"/>
                <w:color w:val="000000"/>
                <w:sz w:val="20"/>
              </w:rPr>
              <w:t>全年执行</w:t>
            </w:r>
            <w:r>
              <w:tab/>
            </w:r>
            <w:r>
              <w:rPr>
                <w:rFonts w:ascii="宋体" w:hAnsi="宋体" w:eastAsia="宋体"/>
                <w:b w:val="0"/>
                <w:i w:val="0"/>
                <w:color w:val="000000"/>
                <w:sz w:val="20"/>
              </w:rPr>
              <w:t xml:space="preserve">数 </w:t>
            </w:r>
          </w:p>
        </w:tc>
        <w:tc>
          <w:tcPr>
            <w:tcW w:w="1338" w:type="dxa"/>
            <w:tcBorders>
              <w:top w:val="single" w:color="000000" w:sz="4" w:space="0"/>
              <w:bottom w:val="single" w:color="000000" w:sz="4" w:space="0"/>
            </w:tcBorders>
          </w:tcPr>
          <w:p>
            <w:pPr>
              <w:widowControl/>
              <w:autoSpaceDE w:val="0"/>
              <w:autoSpaceDN w:val="0"/>
              <w:spacing w:before="0" w:after="0" w:line="240" w:lineRule="auto"/>
              <w:ind w:left="0" w:right="132" w:firstLine="0"/>
              <w:jc w:val="left"/>
            </w:pPr>
            <w:r>
              <w:rPr>
                <w:rFonts w:ascii="宋体" w:hAnsi="宋体" w:eastAsia="宋体"/>
                <w:b w:val="0"/>
                <w:i w:val="0"/>
                <w:color w:val="000000"/>
                <w:sz w:val="20"/>
              </w:rPr>
              <w:t xml:space="preserve">分值 </w:t>
            </w:r>
          </w:p>
        </w:tc>
        <w:tc>
          <w:tcPr>
            <w:tcW w:w="1338" w:type="dxa"/>
            <w:tcBorders>
              <w:top w:val="single" w:color="000000" w:sz="4" w:space="0"/>
              <w:bottom w:val="single" w:color="000000" w:sz="4" w:space="0"/>
            </w:tcBorders>
          </w:tcPr>
          <w:p>
            <w:pPr>
              <w:widowControl/>
              <w:autoSpaceDE w:val="0"/>
              <w:autoSpaceDN w:val="0"/>
              <w:spacing w:before="0" w:after="0" w:line="240" w:lineRule="auto"/>
              <w:ind w:left="104" w:right="0" w:firstLine="0"/>
              <w:jc w:val="left"/>
            </w:pPr>
            <w:r>
              <w:rPr>
                <w:rFonts w:ascii="宋体" w:hAnsi="宋体" w:eastAsia="宋体"/>
                <w:b w:val="0"/>
                <w:i w:val="0"/>
                <w:color w:val="000000"/>
                <w:sz w:val="20"/>
              </w:rPr>
              <w:t xml:space="preserve">执行率 </w:t>
            </w:r>
          </w:p>
        </w:tc>
        <w:tc>
          <w:tcPr>
            <w:tcW w:w="669" w:type="dxa"/>
            <w:tcBorders>
              <w:top w:val="single" w:color="000000" w:sz="4" w:space="0"/>
              <w:bottom w:val="single" w:color="000000" w:sz="4" w:space="0"/>
            </w:tcBorders>
          </w:tcPr>
          <w:p>
            <w:pPr>
              <w:widowControl/>
              <w:autoSpaceDE w:val="0"/>
              <w:autoSpaceDN w:val="0"/>
              <w:spacing w:before="0" w:after="0" w:line="240" w:lineRule="auto"/>
              <w:ind w:left="180" w:right="0" w:firstLine="0"/>
              <w:jc w:val="left"/>
            </w:pPr>
            <w:r>
              <w:rPr>
                <w:rFonts w:ascii="宋体" w:hAnsi="宋体" w:eastAsia="宋体"/>
                <w:b w:val="0"/>
                <w:i w:val="0"/>
                <w:color w:val="000000"/>
                <w:sz w:val="20"/>
              </w:rPr>
              <w:t xml:space="preserve">得分 </w:t>
            </w:r>
          </w:p>
        </w:tc>
      </w:tr>
      <w:tr>
        <w:tblPrEx>
          <w:tblLayout w:type="fixed"/>
          <w:tblCellMar>
            <w:top w:w="0" w:type="dxa"/>
            <w:left w:w="108" w:type="dxa"/>
            <w:bottom w:w="0" w:type="dxa"/>
            <w:right w:w="108" w:type="dxa"/>
          </w:tblCellMar>
        </w:tblPrEx>
        <w:trPr>
          <w:trHeight w:val="526" w:hRule="exact"/>
        </w:trPr>
        <w:tc>
          <w:tcPr>
            <w:tcW w:w="1338" w:type="dxa"/>
            <w:gridSpan w:val="2"/>
            <w:vMerge w:val="continue"/>
            <w:tcBorders>
              <w:top w:val="single" w:color="000000" w:sz="4" w:space="0"/>
              <w:bottom w:val="single" w:color="000000" w:sz="4" w:space="0"/>
            </w:tcBorders>
          </w:tcPr>
          <w:p/>
        </w:tc>
        <w:tc>
          <w:tcPr>
            <w:tcW w:w="1338" w:type="dxa"/>
            <w:tcBorders>
              <w:top w:val="single" w:color="000000" w:sz="4" w:space="0"/>
              <w:bottom w:val="single" w:color="000000" w:sz="4" w:space="0"/>
            </w:tcBorders>
          </w:tcPr>
          <w:p>
            <w:pPr>
              <w:widowControl/>
              <w:autoSpaceDE w:val="0"/>
              <w:autoSpaceDN w:val="0"/>
              <w:spacing w:before="0" w:after="0" w:line="240" w:lineRule="auto"/>
              <w:ind w:left="184" w:right="0" w:firstLine="0"/>
              <w:jc w:val="left"/>
            </w:pPr>
            <w:r>
              <w:rPr>
                <w:rFonts w:ascii="宋体" w:hAnsi="宋体" w:eastAsia="宋体"/>
                <w:b w:val="0"/>
                <w:i w:val="0"/>
                <w:color w:val="000000"/>
                <w:sz w:val="20"/>
              </w:rPr>
              <w:t xml:space="preserve">年度资金总额 </w:t>
            </w:r>
          </w:p>
        </w:tc>
        <w:tc>
          <w:tcPr>
            <w:tcW w:w="669" w:type="dxa"/>
            <w:tcBorders>
              <w:top w:val="single" w:color="000000" w:sz="4" w:space="0"/>
              <w:bottom w:val="single" w:color="000000" w:sz="4" w:space="0"/>
            </w:tcBorders>
          </w:tcPr>
          <w:p>
            <w:pPr>
              <w:widowControl/>
              <w:autoSpaceDE w:val="0"/>
              <w:autoSpaceDN w:val="0"/>
              <w:spacing w:before="0" w:after="0" w:line="240" w:lineRule="auto"/>
              <w:ind w:left="190" w:right="0" w:firstLine="0"/>
              <w:jc w:val="left"/>
            </w:pPr>
            <w:r>
              <w:rPr>
                <w:rFonts w:ascii="宋体" w:hAnsi="宋体" w:eastAsia="宋体"/>
                <w:b w:val="0"/>
                <w:i w:val="0"/>
                <w:color w:val="000000"/>
                <w:sz w:val="20"/>
              </w:rPr>
              <w:t xml:space="preserve">43.66 </w:t>
            </w:r>
          </w:p>
        </w:tc>
        <w:tc>
          <w:tcPr>
            <w:tcW w:w="1338" w:type="dxa"/>
            <w:tcBorders>
              <w:top w:val="single" w:color="000000" w:sz="4" w:space="0"/>
              <w:bottom w:val="single" w:color="000000" w:sz="4" w:space="0"/>
            </w:tcBorders>
          </w:tcPr>
          <w:p>
            <w:pPr>
              <w:widowControl/>
              <w:autoSpaceDE w:val="0"/>
              <w:autoSpaceDN w:val="0"/>
              <w:spacing w:before="0" w:after="0" w:line="240" w:lineRule="auto"/>
              <w:ind w:left="0" w:right="334" w:firstLine="0"/>
              <w:jc w:val="left"/>
            </w:pPr>
            <w:r>
              <w:rPr>
                <w:rFonts w:ascii="宋体" w:hAnsi="宋体" w:eastAsia="宋体"/>
                <w:b w:val="0"/>
                <w:i w:val="0"/>
                <w:color w:val="000000"/>
                <w:sz w:val="20"/>
              </w:rPr>
              <w:t xml:space="preserve">43.66 </w:t>
            </w:r>
          </w:p>
        </w:tc>
        <w:tc>
          <w:tcPr>
            <w:tcW w:w="1338" w:type="dxa"/>
            <w:tcBorders>
              <w:top w:val="single" w:color="000000" w:sz="4" w:space="0"/>
              <w:bottom w:val="single" w:color="000000" w:sz="4" w:space="0"/>
            </w:tcBorders>
          </w:tcPr>
          <w:p>
            <w:pPr>
              <w:widowControl/>
              <w:autoSpaceDE w:val="0"/>
              <w:autoSpaceDN w:val="0"/>
              <w:spacing w:before="0" w:after="0" w:line="240" w:lineRule="auto"/>
              <w:ind w:left="0" w:right="214" w:firstLine="0"/>
              <w:jc w:val="left"/>
            </w:pPr>
            <w:r>
              <w:rPr>
                <w:rFonts w:ascii="宋体" w:hAnsi="宋体" w:eastAsia="宋体"/>
                <w:b w:val="0"/>
                <w:i w:val="0"/>
                <w:color w:val="000000"/>
                <w:sz w:val="20"/>
              </w:rPr>
              <w:t xml:space="preserve">11.93 </w:t>
            </w:r>
          </w:p>
        </w:tc>
        <w:tc>
          <w:tcPr>
            <w:tcW w:w="1338" w:type="dxa"/>
            <w:tcBorders>
              <w:top w:val="single" w:color="000000" w:sz="4" w:space="0"/>
              <w:bottom w:val="single" w:color="000000" w:sz="4" w:space="0"/>
            </w:tcBorders>
          </w:tcPr>
          <w:p>
            <w:pPr>
              <w:widowControl/>
              <w:autoSpaceDE w:val="0"/>
              <w:autoSpaceDN w:val="0"/>
              <w:spacing w:before="0" w:after="0" w:line="240" w:lineRule="auto"/>
              <w:ind w:left="0" w:right="234" w:firstLine="0"/>
              <w:jc w:val="left"/>
            </w:pPr>
            <w:r>
              <w:rPr>
                <w:rFonts w:ascii="宋体" w:hAnsi="宋体" w:eastAsia="宋体"/>
                <w:b w:val="0"/>
                <w:i w:val="0"/>
                <w:color w:val="000000"/>
                <w:sz w:val="20"/>
              </w:rPr>
              <w:t xml:space="preserve">10 </w:t>
            </w:r>
          </w:p>
        </w:tc>
        <w:tc>
          <w:tcPr>
            <w:tcW w:w="1338" w:type="dxa"/>
            <w:tcBorders>
              <w:top w:val="single" w:color="000000" w:sz="4" w:space="0"/>
              <w:bottom w:val="single" w:color="000000" w:sz="4" w:space="0"/>
            </w:tcBorders>
          </w:tcPr>
          <w:p>
            <w:pPr>
              <w:widowControl/>
              <w:autoSpaceDE w:val="0"/>
              <w:autoSpaceDN w:val="0"/>
              <w:spacing w:before="0" w:after="0" w:line="240" w:lineRule="auto"/>
              <w:ind w:left="104" w:right="0" w:firstLine="0"/>
              <w:jc w:val="left"/>
            </w:pPr>
            <w:r>
              <w:rPr>
                <w:rFonts w:ascii="宋体" w:hAnsi="宋体" w:eastAsia="宋体"/>
                <w:b w:val="0"/>
                <w:i w:val="0"/>
                <w:color w:val="000000"/>
                <w:sz w:val="20"/>
              </w:rPr>
              <w:t xml:space="preserve">27.32% </w:t>
            </w:r>
          </w:p>
        </w:tc>
        <w:tc>
          <w:tcPr>
            <w:tcW w:w="669" w:type="dxa"/>
            <w:tcBorders>
              <w:top w:val="single" w:color="000000" w:sz="4" w:space="0"/>
              <w:bottom w:val="single" w:color="000000" w:sz="4" w:space="0"/>
            </w:tcBorders>
          </w:tcPr>
          <w:p>
            <w:pPr>
              <w:widowControl/>
              <w:autoSpaceDE w:val="0"/>
              <w:autoSpaceDN w:val="0"/>
              <w:spacing w:before="0" w:after="0" w:line="240" w:lineRule="auto"/>
              <w:ind w:left="282" w:right="144" w:hanging="102"/>
              <w:jc w:val="left"/>
            </w:pPr>
            <w:r>
              <w:rPr>
                <w:rFonts w:ascii="宋体" w:hAnsi="宋体" w:eastAsia="宋体"/>
                <w:b w:val="0"/>
                <w:i w:val="0"/>
                <w:color w:val="000000"/>
                <w:sz w:val="20"/>
              </w:rPr>
              <w:t xml:space="preserve">2.73分 </w:t>
            </w:r>
          </w:p>
        </w:tc>
      </w:tr>
      <w:tr>
        <w:tblPrEx>
          <w:tblLayout w:type="fixed"/>
          <w:tblCellMar>
            <w:top w:w="0" w:type="dxa"/>
            <w:left w:w="108" w:type="dxa"/>
            <w:bottom w:w="0" w:type="dxa"/>
            <w:right w:w="108" w:type="dxa"/>
          </w:tblCellMar>
        </w:tblPrEx>
        <w:trPr>
          <w:trHeight w:val="532" w:hRule="exact"/>
        </w:trPr>
        <w:tc>
          <w:tcPr>
            <w:tcW w:w="1338" w:type="dxa"/>
            <w:gridSpan w:val="2"/>
            <w:vMerge w:val="continue"/>
            <w:tcBorders>
              <w:top w:val="single" w:color="000000" w:sz="4" w:space="0"/>
              <w:bottom w:val="single" w:color="000000" w:sz="4" w:space="0"/>
            </w:tcBorders>
          </w:tcPr>
          <w:p/>
        </w:tc>
        <w:tc>
          <w:tcPr>
            <w:tcW w:w="1338" w:type="dxa"/>
            <w:tcBorders>
              <w:top w:val="single" w:color="000000" w:sz="4" w:space="0"/>
              <w:bottom w:val="single" w:color="000000" w:sz="4" w:space="0"/>
            </w:tcBorders>
          </w:tcPr>
          <w:p>
            <w:pPr>
              <w:widowControl/>
              <w:autoSpaceDE w:val="0"/>
              <w:autoSpaceDN w:val="0"/>
              <w:spacing w:before="0" w:after="0" w:line="240" w:lineRule="auto"/>
              <w:ind w:left="0" w:right="0" w:firstLine="0"/>
              <w:jc w:val="left"/>
            </w:pPr>
            <w:r>
              <w:rPr>
                <w:rFonts w:ascii="宋体" w:hAnsi="宋体" w:eastAsia="宋体"/>
                <w:b w:val="0"/>
                <w:i w:val="0"/>
                <w:color w:val="000000"/>
                <w:sz w:val="20"/>
              </w:rPr>
              <w:t>其中：当年财政</w:t>
            </w:r>
          </w:p>
          <w:p>
            <w:pPr>
              <w:widowControl/>
              <w:autoSpaceDE w:val="0"/>
              <w:autoSpaceDN w:val="0"/>
              <w:spacing w:before="0" w:after="0" w:line="240" w:lineRule="auto"/>
              <w:ind w:left="0" w:right="484" w:firstLine="0"/>
              <w:jc w:val="left"/>
            </w:pPr>
            <w:r>
              <w:rPr>
                <w:rFonts w:ascii="宋体" w:hAnsi="宋体" w:eastAsia="宋体"/>
                <w:b w:val="0"/>
                <w:i w:val="0"/>
                <w:color w:val="000000"/>
                <w:sz w:val="20"/>
              </w:rPr>
              <w:t xml:space="preserve">拨款 </w:t>
            </w:r>
          </w:p>
        </w:tc>
        <w:tc>
          <w:tcPr>
            <w:tcW w:w="669" w:type="dxa"/>
            <w:tcBorders>
              <w:top w:val="single" w:color="000000" w:sz="4" w:space="0"/>
              <w:bottom w:val="single" w:color="000000" w:sz="4" w:space="0"/>
            </w:tcBorders>
          </w:tcPr>
          <w:p>
            <w:pPr>
              <w:widowControl/>
              <w:autoSpaceDE w:val="0"/>
              <w:autoSpaceDN w:val="0"/>
              <w:spacing w:before="0" w:after="0" w:line="240" w:lineRule="auto"/>
              <w:ind w:left="190" w:right="0" w:firstLine="0"/>
              <w:jc w:val="left"/>
            </w:pPr>
            <w:r>
              <w:rPr>
                <w:rFonts w:ascii="宋体" w:hAnsi="宋体" w:eastAsia="宋体"/>
                <w:b w:val="0"/>
                <w:i w:val="0"/>
                <w:color w:val="000000"/>
                <w:sz w:val="20"/>
              </w:rPr>
              <w:t xml:space="preserve">43.66 </w:t>
            </w:r>
          </w:p>
        </w:tc>
        <w:tc>
          <w:tcPr>
            <w:tcW w:w="1338" w:type="dxa"/>
            <w:tcBorders>
              <w:top w:val="single" w:color="000000" w:sz="4" w:space="0"/>
              <w:bottom w:val="single" w:color="000000" w:sz="4" w:space="0"/>
            </w:tcBorders>
          </w:tcPr>
          <w:p>
            <w:pPr>
              <w:widowControl/>
              <w:autoSpaceDE w:val="0"/>
              <w:autoSpaceDN w:val="0"/>
              <w:spacing w:before="0" w:after="0" w:line="240" w:lineRule="auto"/>
              <w:ind w:left="0" w:right="334" w:firstLine="0"/>
              <w:jc w:val="left"/>
            </w:pPr>
            <w:r>
              <w:rPr>
                <w:rFonts w:ascii="宋体" w:hAnsi="宋体" w:eastAsia="宋体"/>
                <w:b w:val="0"/>
                <w:i w:val="0"/>
                <w:color w:val="000000"/>
                <w:sz w:val="20"/>
              </w:rPr>
              <w:t xml:space="preserve">43.66 </w:t>
            </w:r>
          </w:p>
        </w:tc>
        <w:tc>
          <w:tcPr>
            <w:tcW w:w="1338" w:type="dxa"/>
            <w:tcBorders>
              <w:top w:val="single" w:color="000000" w:sz="4" w:space="0"/>
              <w:bottom w:val="single" w:color="000000" w:sz="4" w:space="0"/>
            </w:tcBorders>
          </w:tcPr>
          <w:p>
            <w:pPr>
              <w:widowControl/>
              <w:autoSpaceDE w:val="0"/>
              <w:autoSpaceDN w:val="0"/>
              <w:spacing w:before="0" w:after="0" w:line="240" w:lineRule="auto"/>
              <w:ind w:left="0" w:right="214" w:firstLine="0"/>
              <w:jc w:val="left"/>
            </w:pPr>
            <w:r>
              <w:rPr>
                <w:rFonts w:ascii="宋体" w:hAnsi="宋体" w:eastAsia="宋体"/>
                <w:b w:val="0"/>
                <w:i w:val="0"/>
                <w:color w:val="000000"/>
                <w:sz w:val="20"/>
              </w:rPr>
              <w:t xml:space="preserve">11.93 </w:t>
            </w:r>
          </w:p>
        </w:tc>
        <w:tc>
          <w:tcPr>
            <w:tcW w:w="1338" w:type="dxa"/>
            <w:tcBorders>
              <w:top w:val="single" w:color="000000" w:sz="4" w:space="0"/>
              <w:bottom w:val="single" w:color="000000" w:sz="4" w:space="0"/>
            </w:tcBorders>
          </w:tcPr>
          <w:p>
            <w:pPr>
              <w:widowControl/>
              <w:autoSpaceDE w:val="0"/>
              <w:autoSpaceDN w:val="0"/>
              <w:spacing w:before="0" w:after="0" w:line="240" w:lineRule="auto"/>
              <w:ind w:left="0" w:right="234" w:firstLine="0"/>
              <w:jc w:val="left"/>
            </w:pPr>
            <w:r>
              <w:rPr>
                <w:rFonts w:ascii="宋体" w:hAnsi="宋体" w:eastAsia="宋体"/>
                <w:b w:val="0"/>
                <w:i w:val="0"/>
                <w:color w:val="000000"/>
                <w:sz w:val="20"/>
              </w:rPr>
              <w:t xml:space="preserve">— </w:t>
            </w:r>
          </w:p>
        </w:tc>
        <w:tc>
          <w:tcPr>
            <w:tcW w:w="1338" w:type="dxa"/>
            <w:tcBorders>
              <w:top w:val="single" w:color="000000" w:sz="4" w:space="0"/>
              <w:bottom w:val="single" w:color="000000" w:sz="4" w:space="0"/>
            </w:tcBorders>
          </w:tcPr>
          <w:p>
            <w:pPr>
              <w:widowControl/>
              <w:autoSpaceDE w:val="0"/>
              <w:autoSpaceDN w:val="0"/>
              <w:spacing w:before="0" w:after="0" w:line="240" w:lineRule="auto"/>
              <w:ind w:left="0" w:right="206" w:firstLine="0"/>
              <w:jc w:val="left"/>
            </w:pPr>
            <w:r>
              <w:rPr>
                <w:rFonts w:ascii="宋体" w:hAnsi="宋体" w:eastAsia="宋体"/>
                <w:b w:val="0"/>
                <w:i w:val="0"/>
                <w:color w:val="000000"/>
                <w:sz w:val="20"/>
              </w:rPr>
              <w:t xml:space="preserve">— </w:t>
            </w:r>
          </w:p>
        </w:tc>
        <w:tc>
          <w:tcPr>
            <w:tcW w:w="669" w:type="dxa"/>
            <w:tcBorders>
              <w:top w:val="single" w:color="000000" w:sz="4" w:space="0"/>
              <w:bottom w:val="single" w:color="000000" w:sz="4" w:space="0"/>
            </w:tcBorders>
          </w:tcPr>
          <w:p>
            <w:pPr>
              <w:widowControl/>
              <w:autoSpaceDE w:val="0"/>
              <w:autoSpaceDN w:val="0"/>
              <w:spacing w:before="0" w:after="0" w:line="240" w:lineRule="auto"/>
              <w:ind w:left="0" w:right="186" w:firstLine="0"/>
              <w:jc w:val="left"/>
            </w:pPr>
            <w:r>
              <w:rPr>
                <w:rFonts w:ascii="宋体" w:hAnsi="宋体" w:eastAsia="宋体"/>
                <w:b w:val="0"/>
                <w:i w:val="0"/>
                <w:color w:val="000000"/>
                <w:sz w:val="20"/>
              </w:rPr>
              <w:t xml:space="preserve">— </w:t>
            </w:r>
          </w:p>
        </w:tc>
      </w:tr>
      <w:tr>
        <w:tblPrEx>
          <w:tblLayout w:type="fixed"/>
          <w:tblCellMar>
            <w:top w:w="0" w:type="dxa"/>
            <w:left w:w="108" w:type="dxa"/>
            <w:bottom w:w="0" w:type="dxa"/>
            <w:right w:w="108" w:type="dxa"/>
          </w:tblCellMar>
        </w:tblPrEx>
        <w:trPr>
          <w:trHeight w:val="290" w:hRule="exact"/>
        </w:trPr>
        <w:tc>
          <w:tcPr>
            <w:tcW w:w="1338" w:type="dxa"/>
            <w:gridSpan w:val="2"/>
            <w:vMerge w:val="continue"/>
            <w:tcBorders>
              <w:top w:val="single" w:color="000000" w:sz="4" w:space="0"/>
              <w:bottom w:val="single" w:color="000000" w:sz="4" w:space="0"/>
            </w:tcBorders>
          </w:tcPr>
          <w:p/>
        </w:tc>
        <w:tc>
          <w:tcPr>
            <w:tcW w:w="1338" w:type="dxa"/>
            <w:tcBorders>
              <w:top w:val="single" w:color="000000" w:sz="4" w:space="0"/>
              <w:bottom w:val="single" w:color="000000" w:sz="2" w:space="0"/>
            </w:tcBorders>
          </w:tcPr>
          <w:p>
            <w:pPr>
              <w:widowControl/>
              <w:autoSpaceDE w:val="0"/>
              <w:autoSpaceDN w:val="0"/>
              <w:spacing w:before="0" w:after="0" w:line="240" w:lineRule="auto"/>
              <w:ind w:left="184" w:right="0" w:firstLine="0"/>
              <w:jc w:val="left"/>
            </w:pPr>
            <w:r>
              <w:rPr>
                <w:rFonts w:ascii="宋体" w:hAnsi="宋体" w:eastAsia="宋体"/>
                <w:b w:val="0"/>
                <w:i w:val="0"/>
                <w:color w:val="000000"/>
                <w:sz w:val="20"/>
              </w:rPr>
              <w:t xml:space="preserve">上年结转资金 </w:t>
            </w:r>
          </w:p>
        </w:tc>
        <w:tc>
          <w:tcPr>
            <w:tcW w:w="669" w:type="dxa"/>
            <w:tcBorders>
              <w:top w:val="single" w:color="000000" w:sz="4" w:space="0"/>
              <w:bottom w:val="single" w:color="000000" w:sz="2" w:space="0"/>
            </w:tcBorders>
          </w:tcPr>
          <w:p>
            <w:pPr>
              <w:widowControl/>
              <w:autoSpaceDE w:val="0"/>
              <w:autoSpaceDN w:val="0"/>
              <w:spacing w:before="0" w:after="0" w:line="240" w:lineRule="auto"/>
              <w:ind w:left="0" w:right="292" w:firstLine="0"/>
              <w:jc w:val="left"/>
            </w:pPr>
            <w:r>
              <w:rPr>
                <w:rFonts w:ascii="宋体" w:hAnsi="宋体" w:eastAsia="宋体"/>
                <w:b w:val="0"/>
                <w:i w:val="0"/>
                <w:color w:val="000000"/>
                <w:sz w:val="20"/>
              </w:rPr>
              <w:t xml:space="preserve">0 </w:t>
            </w:r>
          </w:p>
        </w:tc>
        <w:tc>
          <w:tcPr>
            <w:tcW w:w="1338" w:type="dxa"/>
            <w:tcBorders>
              <w:top w:val="single" w:color="000000" w:sz="4" w:space="0"/>
              <w:bottom w:val="single" w:color="000000" w:sz="2" w:space="0"/>
            </w:tcBorders>
          </w:tcPr>
          <w:p>
            <w:pPr>
              <w:widowControl/>
              <w:autoSpaceDE w:val="0"/>
              <w:autoSpaceDN w:val="0"/>
              <w:spacing w:before="0" w:after="0" w:line="240" w:lineRule="auto"/>
              <w:ind w:left="0" w:right="532" w:firstLine="0"/>
              <w:jc w:val="left"/>
            </w:pPr>
            <w:r>
              <w:rPr>
                <w:rFonts w:ascii="宋体" w:hAnsi="宋体" w:eastAsia="宋体"/>
                <w:b w:val="0"/>
                <w:i w:val="0"/>
                <w:color w:val="000000"/>
                <w:sz w:val="20"/>
              </w:rPr>
              <w:t xml:space="preserve">0 </w:t>
            </w:r>
          </w:p>
        </w:tc>
        <w:tc>
          <w:tcPr>
            <w:tcW w:w="1338" w:type="dxa"/>
            <w:tcBorders>
              <w:top w:val="single" w:color="000000" w:sz="4" w:space="0"/>
              <w:bottom w:val="single" w:color="000000" w:sz="2" w:space="0"/>
            </w:tcBorders>
          </w:tcPr>
          <w:p>
            <w:pPr>
              <w:widowControl/>
              <w:autoSpaceDE w:val="0"/>
              <w:autoSpaceDN w:val="0"/>
              <w:spacing w:before="0" w:after="0" w:line="240" w:lineRule="auto"/>
              <w:ind w:left="0" w:right="414" w:firstLine="0"/>
              <w:jc w:val="left"/>
            </w:pPr>
            <w:r>
              <w:rPr>
                <w:rFonts w:ascii="宋体" w:hAnsi="宋体" w:eastAsia="宋体"/>
                <w:b w:val="0"/>
                <w:i w:val="0"/>
                <w:color w:val="000000"/>
                <w:sz w:val="20"/>
              </w:rPr>
              <w:t xml:space="preserve">0 </w:t>
            </w:r>
          </w:p>
        </w:tc>
        <w:tc>
          <w:tcPr>
            <w:tcW w:w="1338" w:type="dxa"/>
            <w:tcBorders>
              <w:top w:val="single" w:color="000000" w:sz="4" w:space="0"/>
              <w:bottom w:val="single" w:color="000000" w:sz="2" w:space="0"/>
            </w:tcBorders>
          </w:tcPr>
          <w:p>
            <w:pPr>
              <w:widowControl/>
              <w:autoSpaceDE w:val="0"/>
              <w:autoSpaceDN w:val="0"/>
              <w:spacing w:before="0" w:after="0" w:line="240" w:lineRule="auto"/>
              <w:ind w:left="0" w:right="234" w:firstLine="0"/>
              <w:jc w:val="left"/>
            </w:pPr>
            <w:r>
              <w:rPr>
                <w:rFonts w:ascii="宋体" w:hAnsi="宋体" w:eastAsia="宋体"/>
                <w:b w:val="0"/>
                <w:i w:val="0"/>
                <w:color w:val="000000"/>
                <w:sz w:val="20"/>
              </w:rPr>
              <w:t xml:space="preserve">— </w:t>
            </w:r>
          </w:p>
        </w:tc>
        <w:tc>
          <w:tcPr>
            <w:tcW w:w="1338" w:type="dxa"/>
            <w:tcBorders>
              <w:top w:val="single" w:color="000000" w:sz="4" w:space="0"/>
              <w:bottom w:val="single" w:color="000000" w:sz="2" w:space="0"/>
            </w:tcBorders>
          </w:tcPr>
          <w:p>
            <w:pPr>
              <w:widowControl/>
              <w:autoSpaceDE w:val="0"/>
              <w:autoSpaceDN w:val="0"/>
              <w:spacing w:before="0" w:after="0" w:line="240" w:lineRule="auto"/>
              <w:ind w:left="0" w:right="206" w:firstLine="0"/>
              <w:jc w:val="left"/>
            </w:pPr>
            <w:r>
              <w:rPr>
                <w:rFonts w:ascii="宋体" w:hAnsi="宋体" w:eastAsia="宋体"/>
                <w:b w:val="0"/>
                <w:i w:val="0"/>
                <w:color w:val="000000"/>
                <w:sz w:val="20"/>
              </w:rPr>
              <w:t xml:space="preserve">— </w:t>
            </w:r>
          </w:p>
        </w:tc>
        <w:tc>
          <w:tcPr>
            <w:tcW w:w="669" w:type="dxa"/>
            <w:tcBorders>
              <w:top w:val="single" w:color="000000" w:sz="4" w:space="0"/>
              <w:bottom w:val="single" w:color="000000" w:sz="2" w:space="0"/>
            </w:tcBorders>
          </w:tcPr>
          <w:p>
            <w:pPr>
              <w:widowControl/>
              <w:autoSpaceDE w:val="0"/>
              <w:autoSpaceDN w:val="0"/>
              <w:spacing w:before="0" w:after="0" w:line="240" w:lineRule="auto"/>
              <w:ind w:left="0" w:right="186" w:firstLine="0"/>
              <w:jc w:val="left"/>
            </w:pPr>
            <w:r>
              <w:rPr>
                <w:rFonts w:ascii="宋体" w:hAnsi="宋体" w:eastAsia="宋体"/>
                <w:b w:val="0"/>
                <w:i w:val="0"/>
                <w:color w:val="000000"/>
                <w:sz w:val="20"/>
              </w:rPr>
              <w:t xml:space="preserve">— </w:t>
            </w:r>
          </w:p>
        </w:tc>
      </w:tr>
      <w:tr>
        <w:tblPrEx>
          <w:tblLayout w:type="fixed"/>
          <w:tblCellMar>
            <w:top w:w="0" w:type="dxa"/>
            <w:left w:w="108" w:type="dxa"/>
            <w:bottom w:w="0" w:type="dxa"/>
            <w:right w:w="108" w:type="dxa"/>
          </w:tblCellMar>
        </w:tblPrEx>
        <w:trPr>
          <w:trHeight w:val="292" w:hRule="exact"/>
        </w:trPr>
        <w:tc>
          <w:tcPr>
            <w:tcW w:w="1338" w:type="dxa"/>
            <w:gridSpan w:val="2"/>
            <w:vMerge w:val="continue"/>
            <w:tcBorders>
              <w:top w:val="single" w:color="000000" w:sz="4" w:space="0"/>
              <w:bottom w:val="single" w:color="000000" w:sz="4" w:space="0"/>
            </w:tcBorders>
          </w:tcPr>
          <w:p/>
        </w:tc>
        <w:tc>
          <w:tcPr>
            <w:tcW w:w="1338" w:type="dxa"/>
            <w:tcBorders>
              <w:top w:val="single" w:color="000000" w:sz="2" w:space="0"/>
              <w:bottom w:val="single" w:color="000000" w:sz="4" w:space="0"/>
            </w:tcBorders>
          </w:tcPr>
          <w:p>
            <w:pPr>
              <w:widowControl/>
              <w:autoSpaceDE w:val="0"/>
              <w:autoSpaceDN w:val="0"/>
              <w:spacing w:before="0" w:after="0" w:line="240" w:lineRule="auto"/>
              <w:ind w:left="386" w:right="0" w:firstLine="0"/>
              <w:jc w:val="left"/>
            </w:pPr>
            <w:r>
              <w:rPr>
                <w:rFonts w:ascii="宋体" w:hAnsi="宋体" w:eastAsia="宋体"/>
                <w:b w:val="0"/>
                <w:i w:val="0"/>
                <w:color w:val="000000"/>
                <w:sz w:val="20"/>
              </w:rPr>
              <w:t xml:space="preserve">其他资金 </w:t>
            </w:r>
          </w:p>
        </w:tc>
        <w:tc>
          <w:tcPr>
            <w:tcW w:w="669" w:type="dxa"/>
            <w:tcBorders>
              <w:top w:val="single" w:color="000000" w:sz="2" w:space="0"/>
              <w:bottom w:val="single" w:color="000000" w:sz="4" w:space="0"/>
            </w:tcBorders>
          </w:tcPr>
          <w:p>
            <w:pPr>
              <w:widowControl/>
              <w:autoSpaceDE w:val="0"/>
              <w:autoSpaceDN w:val="0"/>
              <w:spacing w:before="0" w:after="0" w:line="240" w:lineRule="auto"/>
              <w:ind w:left="0" w:right="292" w:firstLine="0"/>
              <w:jc w:val="left"/>
            </w:pPr>
            <w:r>
              <w:rPr>
                <w:rFonts w:ascii="宋体" w:hAnsi="宋体" w:eastAsia="宋体"/>
                <w:b w:val="0"/>
                <w:i w:val="0"/>
                <w:color w:val="000000"/>
                <w:sz w:val="20"/>
              </w:rPr>
              <w:t xml:space="preserve">0 </w:t>
            </w:r>
          </w:p>
        </w:tc>
        <w:tc>
          <w:tcPr>
            <w:tcW w:w="1338" w:type="dxa"/>
            <w:tcBorders>
              <w:top w:val="single" w:color="000000" w:sz="2" w:space="0"/>
              <w:bottom w:val="single" w:color="000000" w:sz="4" w:space="0"/>
            </w:tcBorders>
          </w:tcPr>
          <w:p>
            <w:pPr>
              <w:widowControl/>
              <w:autoSpaceDE w:val="0"/>
              <w:autoSpaceDN w:val="0"/>
              <w:spacing w:before="0" w:after="0" w:line="240" w:lineRule="auto"/>
              <w:ind w:left="0" w:right="532" w:firstLine="0"/>
              <w:jc w:val="left"/>
            </w:pPr>
            <w:r>
              <w:rPr>
                <w:rFonts w:ascii="宋体" w:hAnsi="宋体" w:eastAsia="宋体"/>
                <w:b w:val="0"/>
                <w:i w:val="0"/>
                <w:color w:val="000000"/>
                <w:sz w:val="20"/>
              </w:rPr>
              <w:t xml:space="preserve">0 </w:t>
            </w:r>
          </w:p>
        </w:tc>
        <w:tc>
          <w:tcPr>
            <w:tcW w:w="1338" w:type="dxa"/>
            <w:tcBorders>
              <w:top w:val="single" w:color="000000" w:sz="2" w:space="0"/>
              <w:bottom w:val="single" w:color="000000" w:sz="4" w:space="0"/>
            </w:tcBorders>
          </w:tcPr>
          <w:p>
            <w:pPr>
              <w:widowControl/>
              <w:autoSpaceDE w:val="0"/>
              <w:autoSpaceDN w:val="0"/>
              <w:spacing w:before="0" w:after="0" w:line="240" w:lineRule="auto"/>
              <w:ind w:left="0" w:right="414" w:firstLine="0"/>
              <w:jc w:val="left"/>
            </w:pPr>
            <w:r>
              <w:rPr>
                <w:rFonts w:ascii="宋体" w:hAnsi="宋体" w:eastAsia="宋体"/>
                <w:b w:val="0"/>
                <w:i w:val="0"/>
                <w:color w:val="000000"/>
                <w:sz w:val="20"/>
              </w:rPr>
              <w:t xml:space="preserve">0 </w:t>
            </w:r>
          </w:p>
        </w:tc>
        <w:tc>
          <w:tcPr>
            <w:tcW w:w="1338" w:type="dxa"/>
            <w:tcBorders>
              <w:top w:val="single" w:color="000000" w:sz="2" w:space="0"/>
              <w:bottom w:val="single" w:color="000000" w:sz="4" w:space="0"/>
            </w:tcBorders>
          </w:tcPr>
          <w:p>
            <w:pPr>
              <w:widowControl/>
              <w:autoSpaceDE w:val="0"/>
              <w:autoSpaceDN w:val="0"/>
              <w:spacing w:before="0" w:after="0" w:line="240" w:lineRule="auto"/>
              <w:ind w:left="0" w:right="234" w:firstLine="0"/>
              <w:jc w:val="left"/>
            </w:pPr>
            <w:r>
              <w:rPr>
                <w:rFonts w:ascii="宋体" w:hAnsi="宋体" w:eastAsia="宋体"/>
                <w:b w:val="0"/>
                <w:i w:val="0"/>
                <w:color w:val="000000"/>
                <w:sz w:val="20"/>
              </w:rPr>
              <w:t xml:space="preserve">— </w:t>
            </w:r>
          </w:p>
        </w:tc>
        <w:tc>
          <w:tcPr>
            <w:tcW w:w="1338" w:type="dxa"/>
            <w:tcBorders>
              <w:top w:val="single" w:color="000000" w:sz="2" w:space="0"/>
              <w:bottom w:val="single" w:color="000000" w:sz="4" w:space="0"/>
            </w:tcBorders>
          </w:tcPr>
          <w:p>
            <w:pPr>
              <w:widowControl/>
              <w:autoSpaceDE w:val="0"/>
              <w:autoSpaceDN w:val="0"/>
              <w:spacing w:before="0" w:after="0" w:line="240" w:lineRule="auto"/>
              <w:ind w:left="0" w:right="206" w:firstLine="0"/>
              <w:jc w:val="left"/>
            </w:pPr>
            <w:r>
              <w:rPr>
                <w:rFonts w:ascii="宋体" w:hAnsi="宋体" w:eastAsia="宋体"/>
                <w:b w:val="0"/>
                <w:i w:val="0"/>
                <w:color w:val="000000"/>
                <w:sz w:val="20"/>
              </w:rPr>
              <w:t xml:space="preserve">— </w:t>
            </w:r>
          </w:p>
        </w:tc>
        <w:tc>
          <w:tcPr>
            <w:tcW w:w="669" w:type="dxa"/>
            <w:tcBorders>
              <w:top w:val="single" w:color="000000" w:sz="2" w:space="0"/>
              <w:bottom w:val="single" w:color="000000" w:sz="4" w:space="0"/>
            </w:tcBorders>
          </w:tcPr>
          <w:p>
            <w:pPr>
              <w:widowControl/>
              <w:autoSpaceDE w:val="0"/>
              <w:autoSpaceDN w:val="0"/>
              <w:spacing w:before="0" w:after="0" w:line="240" w:lineRule="auto"/>
              <w:ind w:left="0" w:right="186" w:firstLine="0"/>
              <w:jc w:val="left"/>
            </w:pPr>
            <w:r>
              <w:rPr>
                <w:rFonts w:ascii="宋体" w:hAnsi="宋体" w:eastAsia="宋体"/>
                <w:b w:val="0"/>
                <w:i w:val="0"/>
                <w:color w:val="000000"/>
                <w:sz w:val="20"/>
              </w:rPr>
              <w:t xml:space="preserve">— </w:t>
            </w:r>
          </w:p>
        </w:tc>
      </w:tr>
      <w:tr>
        <w:tblPrEx>
          <w:tblLayout w:type="fixed"/>
          <w:tblCellMar>
            <w:top w:w="0" w:type="dxa"/>
            <w:left w:w="108" w:type="dxa"/>
            <w:bottom w:w="0" w:type="dxa"/>
            <w:right w:w="108" w:type="dxa"/>
          </w:tblCellMar>
        </w:tblPrEx>
        <w:trPr>
          <w:trHeight w:val="290" w:hRule="exact"/>
        </w:trPr>
        <w:tc>
          <w:tcPr>
            <w:tcW w:w="669" w:type="dxa"/>
            <w:vMerge w:val="restart"/>
            <w:tcBorders>
              <w:top w:val="single" w:color="000000" w:sz="4" w:space="0"/>
              <w:bottom w:val="single" w:color="000000" w:sz="4" w:space="0"/>
            </w:tcBorders>
          </w:tcPr>
          <w:p>
            <w:pPr>
              <w:widowControl/>
              <w:autoSpaceDE w:val="0"/>
              <w:autoSpaceDN w:val="0"/>
              <w:spacing w:before="0" w:after="0" w:line="240" w:lineRule="auto"/>
              <w:ind w:left="192" w:right="96" w:firstLine="0"/>
              <w:jc w:val="left"/>
            </w:pPr>
            <w:r>
              <w:rPr>
                <w:rFonts w:ascii="宋体" w:hAnsi="宋体" w:eastAsia="宋体"/>
                <w:b w:val="0"/>
                <w:i w:val="0"/>
                <w:color w:val="000000"/>
                <w:sz w:val="20"/>
              </w:rPr>
              <w:t>年</w:t>
            </w:r>
            <w:r>
              <w:br w:type="textWrapping"/>
            </w:r>
            <w:r>
              <w:rPr>
                <w:rFonts w:ascii="宋体" w:hAnsi="宋体" w:eastAsia="宋体"/>
                <w:b w:val="0"/>
                <w:i w:val="0"/>
                <w:color w:val="000000"/>
                <w:sz w:val="20"/>
              </w:rPr>
              <w:t>度</w:t>
            </w:r>
            <w:r>
              <w:br w:type="textWrapping"/>
            </w:r>
            <w:r>
              <w:rPr>
                <w:rFonts w:ascii="宋体" w:hAnsi="宋体" w:eastAsia="宋体"/>
                <w:b w:val="0"/>
                <w:i w:val="0"/>
                <w:color w:val="000000"/>
                <w:sz w:val="20"/>
              </w:rPr>
              <w:t>总</w:t>
            </w:r>
            <w:r>
              <w:br w:type="textWrapping"/>
            </w:r>
            <w:r>
              <w:rPr>
                <w:rFonts w:ascii="宋体" w:hAnsi="宋体" w:eastAsia="宋体"/>
                <w:b w:val="0"/>
                <w:i w:val="0"/>
                <w:color w:val="000000"/>
                <w:sz w:val="20"/>
              </w:rPr>
              <w:t>体</w:t>
            </w:r>
            <w:r>
              <w:br w:type="textWrapping"/>
            </w:r>
            <w:r>
              <w:rPr>
                <w:rFonts w:ascii="宋体" w:hAnsi="宋体" w:eastAsia="宋体"/>
                <w:b w:val="0"/>
                <w:i w:val="0"/>
                <w:color w:val="000000"/>
                <w:sz w:val="20"/>
              </w:rPr>
              <w:t>目</w:t>
            </w:r>
            <w:r>
              <w:br w:type="textWrapping"/>
            </w:r>
            <w:r>
              <w:rPr>
                <w:rFonts w:ascii="宋体" w:hAnsi="宋体" w:eastAsia="宋体"/>
                <w:b w:val="0"/>
                <w:i w:val="0"/>
                <w:color w:val="000000"/>
                <w:sz w:val="20"/>
              </w:rPr>
              <w:t xml:space="preserve">标 </w:t>
            </w:r>
          </w:p>
        </w:tc>
        <w:tc>
          <w:tcPr>
            <w:tcW w:w="4014" w:type="dxa"/>
            <w:gridSpan w:val="4"/>
            <w:tcBorders>
              <w:top w:val="single" w:color="000000" w:sz="4" w:space="0"/>
              <w:bottom w:val="single" w:color="000000" w:sz="4" w:space="0"/>
            </w:tcBorders>
          </w:tcPr>
          <w:p>
            <w:pPr>
              <w:widowControl/>
              <w:autoSpaceDE w:val="0"/>
              <w:autoSpaceDN w:val="0"/>
              <w:spacing w:before="0" w:after="0" w:line="240" w:lineRule="auto"/>
              <w:ind w:left="0" w:right="1716" w:firstLine="0"/>
              <w:jc w:val="left"/>
            </w:pPr>
            <w:r>
              <w:rPr>
                <w:rFonts w:ascii="宋体" w:hAnsi="宋体" w:eastAsia="宋体"/>
                <w:b w:val="0"/>
                <w:i w:val="0"/>
                <w:color w:val="000000"/>
                <w:sz w:val="20"/>
              </w:rPr>
              <w:t xml:space="preserve">预期目标 </w:t>
            </w:r>
          </w:p>
        </w:tc>
        <w:tc>
          <w:tcPr>
            <w:tcW w:w="4683" w:type="dxa"/>
            <w:gridSpan w:val="4"/>
            <w:tcBorders>
              <w:top w:val="single" w:color="000000" w:sz="4" w:space="0"/>
              <w:bottom w:val="single" w:color="000000" w:sz="4" w:space="0"/>
            </w:tcBorders>
          </w:tcPr>
          <w:p>
            <w:pPr>
              <w:widowControl/>
              <w:autoSpaceDE w:val="0"/>
              <w:autoSpaceDN w:val="0"/>
              <w:spacing w:before="0" w:after="0" w:line="240" w:lineRule="auto"/>
              <w:ind w:left="0" w:right="1098" w:firstLine="0"/>
              <w:jc w:val="left"/>
            </w:pPr>
            <w:r>
              <w:rPr>
                <w:rFonts w:ascii="宋体" w:hAnsi="宋体" w:eastAsia="宋体"/>
                <w:b w:val="0"/>
                <w:i w:val="0"/>
                <w:color w:val="000000"/>
                <w:sz w:val="20"/>
              </w:rPr>
              <w:t xml:space="preserve">实际完成情况 </w:t>
            </w:r>
          </w:p>
        </w:tc>
      </w:tr>
      <w:tr>
        <w:tblPrEx>
          <w:tblLayout w:type="fixed"/>
          <w:tblCellMar>
            <w:top w:w="0" w:type="dxa"/>
            <w:left w:w="108" w:type="dxa"/>
            <w:bottom w:w="0" w:type="dxa"/>
            <w:right w:w="108" w:type="dxa"/>
          </w:tblCellMar>
        </w:tblPrEx>
        <w:trPr>
          <w:trHeight w:val="1570" w:hRule="exact"/>
        </w:trPr>
        <w:tc>
          <w:tcPr>
            <w:tcW w:w="669" w:type="dxa"/>
            <w:vMerge w:val="continue"/>
            <w:tcBorders>
              <w:top w:val="single" w:color="000000" w:sz="4" w:space="0"/>
              <w:bottom w:val="single" w:color="000000" w:sz="4" w:space="0"/>
            </w:tcBorders>
          </w:tcPr>
          <w:p/>
        </w:tc>
        <w:tc>
          <w:tcPr>
            <w:tcW w:w="4014" w:type="dxa"/>
            <w:gridSpan w:val="4"/>
            <w:tcBorders>
              <w:top w:val="single" w:color="000000" w:sz="4" w:space="0"/>
              <w:bottom w:val="single" w:color="000000" w:sz="4" w:space="0"/>
            </w:tcBorders>
          </w:tcPr>
          <w:p>
            <w:pPr>
              <w:widowControl/>
              <w:autoSpaceDE w:val="0"/>
              <w:autoSpaceDN w:val="0"/>
              <w:spacing w:before="0" w:after="0" w:line="240" w:lineRule="auto"/>
              <w:ind w:left="104" w:right="108" w:firstLine="0"/>
              <w:jc w:val="left"/>
            </w:pPr>
            <w:r>
              <w:rPr>
                <w:rFonts w:ascii="宋体" w:hAnsi="宋体" w:eastAsia="宋体"/>
                <w:b w:val="0"/>
                <w:i w:val="0"/>
                <w:color w:val="000000"/>
                <w:sz w:val="20"/>
              </w:rPr>
              <w:t xml:space="preserve">进行公园绿地管养养护，公园基础设施管理与维护，园林病虫害防治，园容卫生及附属设施管理等工作,公园游览与游乐项目组织管理，少年儿童科普教育,植物的栽培等,为市民提供休闲场所，丰富人民群众的文化生活。 </w:t>
            </w:r>
          </w:p>
        </w:tc>
        <w:tc>
          <w:tcPr>
            <w:tcW w:w="4683" w:type="dxa"/>
            <w:gridSpan w:val="4"/>
            <w:tcBorders>
              <w:top w:val="single" w:color="000000" w:sz="4" w:space="0"/>
              <w:bottom w:val="single" w:color="000000" w:sz="4" w:space="0"/>
            </w:tcBorders>
          </w:tcPr>
          <w:p>
            <w:pPr>
              <w:widowControl/>
              <w:autoSpaceDE w:val="0"/>
              <w:autoSpaceDN w:val="0"/>
              <w:spacing w:before="0" w:after="0" w:line="240" w:lineRule="auto"/>
              <w:ind w:left="102" w:right="0" w:firstLine="0"/>
              <w:jc w:val="left"/>
            </w:pPr>
            <w:r>
              <w:rPr>
                <w:rFonts w:ascii="宋体" w:hAnsi="宋体" w:eastAsia="宋体"/>
                <w:b w:val="0"/>
                <w:i w:val="0"/>
                <w:color w:val="000000"/>
                <w:sz w:val="20"/>
              </w:rPr>
              <w:t xml:space="preserve">按时养护了公园绿地，管理维护了公园基础设施，进行了园林病虫害防治，组织管理了公园游览与游乐项目，为少年儿童进行科普教育,栽培了植物,为市民提供了休闲场所，丰富了人民群众的文化生活 </w:t>
            </w:r>
          </w:p>
        </w:tc>
      </w:tr>
    </w:tbl>
    <w:p>
      <w:pPr>
        <w:widowControl/>
        <w:autoSpaceDE w:val="0"/>
        <w:autoSpaceDN w:val="0"/>
        <w:spacing w:before="0" w:after="0" w:line="20" w:lineRule="exact"/>
        <w:ind w:left="0" w:right="0"/>
      </w:pPr>
    </w:p>
    <w:tbl>
      <w:tblPr>
        <w:tblStyle w:val="35"/>
        <w:tblW w:w="9360" w:type="dxa"/>
        <w:tblInd w:w="520" w:type="dxa"/>
        <w:tblLayout w:type="fixed"/>
        <w:tblCellMar>
          <w:top w:w="0" w:type="dxa"/>
          <w:left w:w="108" w:type="dxa"/>
          <w:bottom w:w="0" w:type="dxa"/>
          <w:right w:w="108" w:type="dxa"/>
        </w:tblCellMar>
      </w:tblPr>
      <w:tblGrid>
        <w:gridCol w:w="1170"/>
        <w:gridCol w:w="1170"/>
        <w:gridCol w:w="1170"/>
        <w:gridCol w:w="1170"/>
        <w:gridCol w:w="1170"/>
        <w:gridCol w:w="1170"/>
        <w:gridCol w:w="1170"/>
        <w:gridCol w:w="1170"/>
      </w:tblGrid>
      <w:tr>
        <w:tblPrEx>
          <w:tblLayout w:type="fixed"/>
          <w:tblCellMar>
            <w:top w:w="0" w:type="dxa"/>
            <w:left w:w="108" w:type="dxa"/>
            <w:bottom w:w="0" w:type="dxa"/>
            <w:right w:w="108" w:type="dxa"/>
          </w:tblCellMar>
        </w:tblPrEx>
        <w:trPr>
          <w:trHeight w:val="242" w:hRule="exact"/>
        </w:trPr>
        <w:tc>
          <w:tcPr>
            <w:tcW w:w="1170" w:type="dxa"/>
          </w:tcPr>
          <w:p>
            <w:pPr>
              <w:widowControl/>
              <w:autoSpaceDE w:val="0"/>
              <w:autoSpaceDN w:val="0"/>
              <w:spacing w:before="0" w:after="0" w:line="240" w:lineRule="auto"/>
              <w:ind w:left="0" w:right="194" w:firstLine="0"/>
              <w:jc w:val="left"/>
            </w:pPr>
            <w:r>
              <w:rPr>
                <w:rFonts w:ascii="宋体" w:hAnsi="宋体" w:eastAsia="宋体"/>
                <w:b w:val="0"/>
                <w:i w:val="0"/>
                <w:color w:val="000000"/>
                <w:sz w:val="20"/>
              </w:rPr>
              <w:t>一</w:t>
            </w:r>
          </w:p>
        </w:tc>
        <w:tc>
          <w:tcPr>
            <w:tcW w:w="1170" w:type="dxa"/>
          </w:tcPr>
          <w:p>
            <w:pPr>
              <w:widowControl/>
              <w:autoSpaceDE w:val="0"/>
              <w:autoSpaceDN w:val="0"/>
              <w:spacing w:before="0" w:after="0" w:line="240" w:lineRule="auto"/>
              <w:ind w:left="210" w:right="0" w:firstLine="0"/>
              <w:jc w:val="left"/>
            </w:pPr>
            <w:r>
              <w:rPr>
                <w:rFonts w:ascii="宋体" w:hAnsi="宋体" w:eastAsia="宋体"/>
                <w:b w:val="0"/>
                <w:i w:val="0"/>
                <w:color w:val="000000"/>
                <w:sz w:val="20"/>
              </w:rPr>
              <w:t>二</w:t>
            </w:r>
          </w:p>
        </w:tc>
        <w:tc>
          <w:tcPr>
            <w:tcW w:w="1170" w:type="dxa"/>
            <w:vMerge w:val="restart"/>
          </w:tcPr>
          <w:p>
            <w:pPr>
              <w:widowControl/>
              <w:autoSpaceDE w:val="0"/>
              <w:autoSpaceDN w:val="0"/>
              <w:spacing w:before="0" w:after="0" w:line="240" w:lineRule="auto"/>
              <w:ind w:left="0" w:right="400" w:firstLine="0"/>
              <w:jc w:val="left"/>
            </w:pPr>
            <w:r>
              <w:rPr>
                <w:rFonts w:ascii="宋体" w:hAnsi="宋体" w:eastAsia="宋体"/>
                <w:b w:val="0"/>
                <w:i w:val="0"/>
                <w:color w:val="000000"/>
                <w:sz w:val="20"/>
              </w:rPr>
              <w:t xml:space="preserve">三级指标 </w:t>
            </w:r>
          </w:p>
        </w:tc>
        <w:tc>
          <w:tcPr>
            <w:tcW w:w="1170" w:type="dxa"/>
            <w:vMerge w:val="restart"/>
          </w:tcPr>
          <w:p>
            <w:pPr>
              <w:widowControl/>
              <w:autoSpaceDE w:val="0"/>
              <w:autoSpaceDN w:val="0"/>
              <w:spacing w:before="0" w:after="0" w:line="240" w:lineRule="auto"/>
              <w:ind w:left="0" w:right="104" w:firstLine="0"/>
              <w:jc w:val="left"/>
            </w:pPr>
            <w:r>
              <w:rPr>
                <w:rFonts w:ascii="宋体" w:hAnsi="宋体" w:eastAsia="宋体"/>
                <w:b w:val="0"/>
                <w:i w:val="0"/>
                <w:color w:val="000000"/>
                <w:sz w:val="20"/>
              </w:rPr>
              <w:t>年度指</w:t>
            </w:r>
          </w:p>
        </w:tc>
        <w:tc>
          <w:tcPr>
            <w:tcW w:w="1170" w:type="dxa"/>
            <w:vMerge w:val="restart"/>
          </w:tcPr>
          <w:p>
            <w:pPr>
              <w:widowControl/>
              <w:autoSpaceDE w:val="0"/>
              <w:autoSpaceDN w:val="0"/>
              <w:spacing w:before="0" w:after="0" w:line="240" w:lineRule="auto"/>
              <w:ind w:left="0" w:right="0" w:firstLine="0"/>
              <w:jc w:val="left"/>
            </w:pPr>
            <w:r>
              <w:rPr>
                <w:rFonts w:ascii="宋体" w:hAnsi="宋体" w:eastAsia="宋体"/>
                <w:b w:val="0"/>
                <w:i w:val="0"/>
                <w:color w:val="000000"/>
                <w:sz w:val="20"/>
              </w:rPr>
              <w:t>实际完</w:t>
            </w:r>
          </w:p>
        </w:tc>
        <w:tc>
          <w:tcPr>
            <w:tcW w:w="1170" w:type="dxa"/>
            <w:vMerge w:val="restart"/>
          </w:tcPr>
          <w:p>
            <w:pPr>
              <w:widowControl/>
              <w:autoSpaceDE w:val="0"/>
              <w:autoSpaceDN w:val="0"/>
              <w:spacing w:before="0" w:after="0" w:line="240" w:lineRule="auto"/>
              <w:ind w:left="0" w:right="0" w:firstLine="0"/>
              <w:jc w:val="left"/>
            </w:pPr>
            <w:r>
              <w:rPr>
                <w:rFonts w:ascii="宋体" w:hAnsi="宋体" w:eastAsia="宋体"/>
                <w:b w:val="0"/>
                <w:i w:val="0"/>
                <w:color w:val="000000"/>
                <w:sz w:val="20"/>
              </w:rPr>
              <w:t xml:space="preserve">分值 </w:t>
            </w:r>
          </w:p>
        </w:tc>
        <w:tc>
          <w:tcPr>
            <w:tcW w:w="1170" w:type="dxa"/>
            <w:vMerge w:val="restart"/>
          </w:tcPr>
          <w:p>
            <w:pPr>
              <w:widowControl/>
              <w:autoSpaceDE w:val="0"/>
              <w:autoSpaceDN w:val="0"/>
              <w:spacing w:before="0" w:after="0" w:line="240" w:lineRule="auto"/>
              <w:ind w:left="0" w:right="0" w:firstLine="0"/>
              <w:jc w:val="left"/>
            </w:pPr>
            <w:r>
              <w:rPr>
                <w:rFonts w:ascii="宋体" w:hAnsi="宋体" w:eastAsia="宋体"/>
                <w:b w:val="0"/>
                <w:i w:val="0"/>
                <w:color w:val="000000"/>
                <w:sz w:val="20"/>
              </w:rPr>
              <w:t xml:space="preserve">得分 </w:t>
            </w:r>
          </w:p>
        </w:tc>
        <w:tc>
          <w:tcPr>
            <w:tcW w:w="1170" w:type="dxa"/>
          </w:tcPr>
          <w:p>
            <w:pPr>
              <w:widowControl/>
              <w:autoSpaceDE w:val="0"/>
              <w:autoSpaceDN w:val="0"/>
              <w:spacing w:before="0" w:after="0" w:line="240" w:lineRule="auto"/>
              <w:ind w:left="184" w:right="0" w:firstLine="0"/>
              <w:jc w:val="left"/>
            </w:pPr>
            <w:r>
              <w:rPr>
                <w:rFonts w:ascii="宋体" w:hAnsi="宋体" w:eastAsia="宋体"/>
                <w:b w:val="0"/>
                <w:i w:val="0"/>
                <w:color w:val="000000"/>
                <w:sz w:val="20"/>
              </w:rPr>
              <w:t>偏差原因</w:t>
            </w:r>
          </w:p>
        </w:tc>
      </w:tr>
      <w:tr>
        <w:tblPrEx>
          <w:tblLayout w:type="fixed"/>
          <w:tblCellMar>
            <w:top w:w="0" w:type="dxa"/>
            <w:left w:w="108" w:type="dxa"/>
            <w:bottom w:w="0" w:type="dxa"/>
            <w:right w:w="108" w:type="dxa"/>
          </w:tblCellMar>
        </w:tblPrEx>
        <w:trPr>
          <w:trHeight w:val="120" w:hRule="exact"/>
        </w:trPr>
        <w:tc>
          <w:tcPr>
            <w:tcW w:w="1170" w:type="dxa"/>
            <w:vMerge w:val="restart"/>
          </w:tcPr>
          <w:p>
            <w:pPr>
              <w:widowControl/>
              <w:autoSpaceDE w:val="0"/>
              <w:autoSpaceDN w:val="0"/>
              <w:spacing w:before="0" w:after="0" w:line="240" w:lineRule="auto"/>
              <w:ind w:left="0" w:right="194" w:firstLine="0"/>
              <w:jc w:val="left"/>
            </w:pPr>
            <w:r>
              <w:rPr>
                <w:rFonts w:ascii="宋体" w:hAnsi="宋体" w:eastAsia="宋体"/>
                <w:b w:val="0"/>
                <w:i w:val="0"/>
                <w:color w:val="000000"/>
                <w:sz w:val="20"/>
              </w:rPr>
              <w:t>级</w:t>
            </w:r>
          </w:p>
        </w:tc>
        <w:tc>
          <w:tcPr>
            <w:tcW w:w="1170" w:type="dxa"/>
            <w:vMerge w:val="restart"/>
          </w:tcPr>
          <w:p>
            <w:pPr>
              <w:widowControl/>
              <w:autoSpaceDE w:val="0"/>
              <w:autoSpaceDN w:val="0"/>
              <w:spacing w:before="0" w:after="0" w:line="240" w:lineRule="auto"/>
              <w:ind w:left="210" w:right="0" w:firstLine="0"/>
              <w:jc w:val="left"/>
            </w:pPr>
            <w:r>
              <w:rPr>
                <w:rFonts w:ascii="宋体" w:hAnsi="宋体" w:eastAsia="宋体"/>
                <w:b w:val="0"/>
                <w:i w:val="0"/>
                <w:color w:val="000000"/>
                <w:sz w:val="20"/>
              </w:rPr>
              <w:t>级</w:t>
            </w:r>
          </w:p>
        </w:tc>
        <w:tc>
          <w:tcPr>
            <w:tcW w:w="1170" w:type="dxa"/>
            <w:vMerge w:val="continue"/>
          </w:tcPr>
          <w:p/>
        </w:tc>
        <w:tc>
          <w:tcPr>
            <w:tcW w:w="1170" w:type="dxa"/>
            <w:vMerge w:val="continue"/>
          </w:tcPr>
          <w:p/>
        </w:tc>
        <w:tc>
          <w:tcPr>
            <w:tcW w:w="1170" w:type="dxa"/>
            <w:vMerge w:val="continue"/>
          </w:tcPr>
          <w:p/>
        </w:tc>
        <w:tc>
          <w:tcPr>
            <w:tcW w:w="1170" w:type="dxa"/>
            <w:vMerge w:val="continue"/>
          </w:tcPr>
          <w:p/>
        </w:tc>
        <w:tc>
          <w:tcPr>
            <w:tcW w:w="1170" w:type="dxa"/>
            <w:vMerge w:val="continue"/>
          </w:tcPr>
          <w:p/>
        </w:tc>
        <w:tc>
          <w:tcPr>
            <w:tcW w:w="1170" w:type="dxa"/>
            <w:vMerge w:val="restart"/>
          </w:tcPr>
          <w:p>
            <w:pPr>
              <w:widowControl/>
              <w:autoSpaceDE w:val="0"/>
              <w:autoSpaceDN w:val="0"/>
              <w:spacing w:before="0" w:after="0" w:line="240" w:lineRule="auto"/>
              <w:ind w:left="184" w:right="0" w:firstLine="0"/>
              <w:jc w:val="left"/>
            </w:pPr>
            <w:r>
              <w:rPr>
                <w:rFonts w:ascii="宋体" w:hAnsi="宋体" w:eastAsia="宋体"/>
                <w:b w:val="0"/>
                <w:i w:val="0"/>
                <w:color w:val="000000"/>
                <w:sz w:val="20"/>
              </w:rPr>
              <w:t>分析及改</w:t>
            </w:r>
          </w:p>
        </w:tc>
      </w:tr>
      <w:tr>
        <w:tblPrEx>
          <w:tblLayout w:type="fixed"/>
          <w:tblCellMar>
            <w:top w:w="0" w:type="dxa"/>
            <w:left w:w="108" w:type="dxa"/>
            <w:bottom w:w="0" w:type="dxa"/>
            <w:right w:w="108" w:type="dxa"/>
          </w:tblCellMar>
        </w:tblPrEx>
        <w:trPr>
          <w:trHeight w:val="140" w:hRule="exact"/>
        </w:trPr>
        <w:tc>
          <w:tcPr>
            <w:tcW w:w="1170" w:type="dxa"/>
            <w:vMerge w:val="continue"/>
          </w:tcPr>
          <w:p/>
        </w:tc>
        <w:tc>
          <w:tcPr>
            <w:tcW w:w="1170" w:type="dxa"/>
            <w:vMerge w:val="continue"/>
          </w:tcPr>
          <w:p/>
        </w:tc>
        <w:tc>
          <w:tcPr>
            <w:tcW w:w="1170" w:type="dxa"/>
            <w:vMerge w:val="continue"/>
          </w:tcPr>
          <w:p/>
        </w:tc>
        <w:tc>
          <w:tcPr>
            <w:tcW w:w="1170" w:type="dxa"/>
            <w:vMerge w:val="restart"/>
          </w:tcPr>
          <w:p>
            <w:pPr>
              <w:widowControl/>
              <w:autoSpaceDE w:val="0"/>
              <w:autoSpaceDN w:val="0"/>
              <w:spacing w:before="0" w:after="0" w:line="240" w:lineRule="auto"/>
              <w:ind w:left="0" w:right="102" w:firstLine="0"/>
              <w:jc w:val="left"/>
            </w:pPr>
            <w:r>
              <w:rPr>
                <w:rFonts w:ascii="宋体" w:hAnsi="宋体" w:eastAsia="宋体"/>
                <w:b w:val="0"/>
                <w:i w:val="0"/>
                <w:color w:val="000000"/>
                <w:sz w:val="20"/>
              </w:rPr>
              <w:t xml:space="preserve">标值 </w:t>
            </w:r>
          </w:p>
        </w:tc>
        <w:tc>
          <w:tcPr>
            <w:tcW w:w="1170" w:type="dxa"/>
            <w:vMerge w:val="restart"/>
          </w:tcPr>
          <w:p>
            <w:pPr>
              <w:widowControl/>
              <w:autoSpaceDE w:val="0"/>
              <w:autoSpaceDN w:val="0"/>
              <w:spacing w:before="0" w:after="0" w:line="240" w:lineRule="auto"/>
              <w:ind w:left="0" w:right="126" w:firstLine="0"/>
              <w:jc w:val="left"/>
            </w:pPr>
            <w:r>
              <w:rPr>
                <w:rFonts w:ascii="宋体" w:hAnsi="宋体" w:eastAsia="宋体"/>
                <w:b w:val="0"/>
                <w:i w:val="0"/>
                <w:color w:val="000000"/>
                <w:sz w:val="20"/>
              </w:rPr>
              <w:t xml:space="preserve">成值 </w:t>
            </w:r>
          </w:p>
        </w:tc>
        <w:tc>
          <w:tcPr>
            <w:tcW w:w="1170" w:type="dxa"/>
            <w:vMerge w:val="continue"/>
          </w:tcPr>
          <w:p/>
        </w:tc>
        <w:tc>
          <w:tcPr>
            <w:tcW w:w="1170" w:type="dxa"/>
            <w:vMerge w:val="continue"/>
          </w:tcPr>
          <w:p/>
        </w:tc>
        <w:tc>
          <w:tcPr>
            <w:tcW w:w="1170" w:type="dxa"/>
            <w:vMerge w:val="continue"/>
          </w:tcPr>
          <w:p/>
        </w:tc>
      </w:tr>
      <w:tr>
        <w:tblPrEx>
          <w:tblLayout w:type="fixed"/>
          <w:tblCellMar>
            <w:top w:w="0" w:type="dxa"/>
            <w:left w:w="108" w:type="dxa"/>
            <w:bottom w:w="0" w:type="dxa"/>
            <w:right w:w="108" w:type="dxa"/>
          </w:tblCellMar>
        </w:tblPrEx>
        <w:trPr>
          <w:trHeight w:val="240" w:hRule="exact"/>
        </w:trPr>
        <w:tc>
          <w:tcPr>
            <w:tcW w:w="1170" w:type="dxa"/>
          </w:tcPr>
          <w:p>
            <w:pPr>
              <w:widowControl/>
              <w:autoSpaceDE w:val="0"/>
              <w:autoSpaceDN w:val="0"/>
              <w:spacing w:before="0" w:after="0" w:line="240" w:lineRule="auto"/>
              <w:ind w:left="0" w:right="194" w:firstLine="0"/>
              <w:jc w:val="left"/>
            </w:pPr>
            <w:r>
              <w:rPr>
                <w:rFonts w:ascii="宋体" w:hAnsi="宋体" w:eastAsia="宋体"/>
                <w:b w:val="0"/>
                <w:i w:val="0"/>
                <w:color w:val="000000"/>
                <w:sz w:val="20"/>
              </w:rPr>
              <w:t>指</w:t>
            </w:r>
          </w:p>
        </w:tc>
        <w:tc>
          <w:tcPr>
            <w:tcW w:w="1170" w:type="dxa"/>
          </w:tcPr>
          <w:p>
            <w:pPr>
              <w:widowControl/>
              <w:autoSpaceDE w:val="0"/>
              <w:autoSpaceDN w:val="0"/>
              <w:spacing w:before="0" w:after="0" w:line="240" w:lineRule="auto"/>
              <w:ind w:left="210" w:right="0" w:firstLine="0"/>
              <w:jc w:val="left"/>
            </w:pPr>
            <w:r>
              <w:rPr>
                <w:rFonts w:ascii="宋体" w:hAnsi="宋体" w:eastAsia="宋体"/>
                <w:b w:val="0"/>
                <w:i w:val="0"/>
                <w:color w:val="000000"/>
                <w:sz w:val="20"/>
              </w:rPr>
              <w:t>指</w:t>
            </w:r>
          </w:p>
        </w:tc>
        <w:tc>
          <w:tcPr>
            <w:tcW w:w="1170" w:type="dxa"/>
            <w:vMerge w:val="continue"/>
          </w:tcPr>
          <w:p/>
        </w:tc>
        <w:tc>
          <w:tcPr>
            <w:tcW w:w="1170" w:type="dxa"/>
            <w:vMerge w:val="continue"/>
          </w:tcPr>
          <w:p/>
        </w:tc>
        <w:tc>
          <w:tcPr>
            <w:tcW w:w="1170" w:type="dxa"/>
            <w:vMerge w:val="continue"/>
          </w:tcPr>
          <w:p/>
        </w:tc>
        <w:tc>
          <w:tcPr>
            <w:tcW w:w="1170" w:type="dxa"/>
            <w:vMerge w:val="continue"/>
          </w:tcPr>
          <w:p/>
        </w:tc>
        <w:tc>
          <w:tcPr>
            <w:tcW w:w="1170" w:type="dxa"/>
            <w:vMerge w:val="continue"/>
          </w:tcPr>
          <w:p/>
        </w:tc>
        <w:tc>
          <w:tcPr>
            <w:tcW w:w="1170" w:type="dxa"/>
          </w:tcPr>
          <w:p>
            <w:pPr>
              <w:widowControl/>
              <w:autoSpaceDE w:val="0"/>
              <w:autoSpaceDN w:val="0"/>
              <w:spacing w:before="0" w:after="0" w:line="240" w:lineRule="auto"/>
              <w:ind w:left="0" w:right="0" w:firstLine="0"/>
              <w:jc w:val="left"/>
            </w:pPr>
            <w:r>
              <w:rPr>
                <w:rFonts w:ascii="宋体" w:hAnsi="宋体" w:eastAsia="宋体"/>
                <w:b w:val="0"/>
                <w:i w:val="0"/>
                <w:color w:val="000000"/>
                <w:sz w:val="20"/>
              </w:rPr>
              <w:t xml:space="preserve">进措施 </w:t>
            </w:r>
          </w:p>
        </w:tc>
      </w:tr>
    </w:tbl>
    <w:p>
      <w:pPr>
        <w:widowControl/>
        <w:autoSpaceDE w:val="0"/>
        <w:autoSpaceDN w:val="0"/>
        <w:spacing w:before="0" w:after="0" w:line="14" w:lineRule="exact"/>
        <w:ind w:left="0" w:right="0"/>
      </w:pPr>
    </w:p>
    <w:p>
      <w:pPr>
        <w:widowControl/>
        <w:autoSpaceDE w:val="0"/>
        <w:autoSpaceDN w:val="0"/>
        <w:spacing w:before="0" w:after="0" w:line="14" w:lineRule="exact"/>
        <w:ind w:left="0" w:right="0"/>
      </w:pPr>
    </w:p>
    <w:p>
      <w:pPr>
        <w:sectPr>
          <w:pgSz w:w="12240" w:h="15840"/>
          <w:pgMar w:top="720" w:right="1440" w:bottom="770" w:left="1440" w:header="720" w:footer="720" w:gutter="0"/>
          <w:cols w:space="720" w:num="1"/>
          <w:docGrid w:linePitch="360" w:charSpace="0"/>
        </w:sectPr>
      </w:pPr>
    </w:p>
    <w:p>
      <w:pPr>
        <w:widowControl/>
        <w:autoSpaceDE w:val="0"/>
        <w:autoSpaceDN w:val="0"/>
        <w:spacing w:before="0" w:after="500" w:line="220" w:lineRule="exact"/>
        <w:ind w:left="0" w:right="0"/>
      </w:pPr>
    </w:p>
    <w:tbl>
      <w:tblPr>
        <w:tblStyle w:val="35"/>
        <w:tblW w:w="9360" w:type="dxa"/>
        <w:tblInd w:w="254" w:type="dxa"/>
        <w:tblLayout w:type="fixed"/>
        <w:tblCellMar>
          <w:top w:w="0" w:type="dxa"/>
          <w:left w:w="108" w:type="dxa"/>
          <w:bottom w:w="0" w:type="dxa"/>
          <w:right w:w="108" w:type="dxa"/>
        </w:tblCellMar>
      </w:tblPr>
      <w:tblGrid>
        <w:gridCol w:w="1040"/>
        <w:gridCol w:w="1040"/>
        <w:gridCol w:w="1040"/>
        <w:gridCol w:w="1040"/>
        <w:gridCol w:w="1040"/>
        <w:gridCol w:w="1040"/>
        <w:gridCol w:w="1040"/>
        <w:gridCol w:w="1040"/>
        <w:gridCol w:w="1040"/>
      </w:tblGrid>
      <w:tr>
        <w:tblPrEx>
          <w:tblLayout w:type="fixed"/>
          <w:tblCellMar>
            <w:top w:w="0" w:type="dxa"/>
            <w:left w:w="108" w:type="dxa"/>
            <w:bottom w:w="0" w:type="dxa"/>
            <w:right w:w="108" w:type="dxa"/>
          </w:tblCellMar>
        </w:tblPrEx>
        <w:trPr>
          <w:trHeight w:val="402" w:hRule="exact"/>
        </w:trPr>
        <w:tc>
          <w:tcPr>
            <w:tcW w:w="1040" w:type="dxa"/>
            <w:tcBorders>
              <w:top w:val="single" w:color="000000" w:sz="4" w:space="0"/>
              <w:bottom w:val="single" w:color="000000" w:sz="2" w:space="0"/>
            </w:tcBorders>
          </w:tcPr>
          <w:p/>
        </w:tc>
        <w:tc>
          <w:tcPr>
            <w:tcW w:w="1040" w:type="dxa"/>
            <w:tcBorders>
              <w:top w:val="single" w:color="000000" w:sz="4" w:space="0"/>
              <w:bottom w:val="single" w:color="000000" w:sz="2" w:space="0"/>
            </w:tcBorders>
          </w:tcPr>
          <w:p>
            <w:pPr>
              <w:widowControl/>
              <w:autoSpaceDE w:val="0"/>
              <w:autoSpaceDN w:val="0"/>
              <w:spacing w:before="0" w:after="0" w:line="240" w:lineRule="auto"/>
              <w:ind w:left="0" w:right="92" w:firstLine="0"/>
              <w:jc w:val="left"/>
            </w:pPr>
            <w:r>
              <w:rPr>
                <w:rFonts w:ascii="宋体" w:hAnsi="宋体" w:eastAsia="宋体"/>
                <w:b w:val="0"/>
                <w:i w:val="0"/>
                <w:color w:val="000000"/>
                <w:sz w:val="20"/>
              </w:rPr>
              <w:t xml:space="preserve">标 </w:t>
            </w:r>
          </w:p>
        </w:tc>
        <w:tc>
          <w:tcPr>
            <w:tcW w:w="1040" w:type="dxa"/>
            <w:tcBorders>
              <w:top w:val="single" w:color="000000" w:sz="4" w:space="0"/>
              <w:bottom w:val="single" w:color="000000" w:sz="2" w:space="0"/>
            </w:tcBorders>
          </w:tcPr>
          <w:p>
            <w:pPr>
              <w:widowControl/>
              <w:autoSpaceDE w:val="0"/>
              <w:autoSpaceDN w:val="0"/>
              <w:spacing w:before="0" w:after="0" w:line="240" w:lineRule="auto"/>
              <w:ind w:left="0" w:right="100" w:firstLine="0"/>
              <w:jc w:val="left"/>
            </w:pPr>
            <w:r>
              <w:rPr>
                <w:rFonts w:ascii="宋体" w:hAnsi="宋体" w:eastAsia="宋体"/>
                <w:b w:val="0"/>
                <w:i w:val="0"/>
                <w:color w:val="000000"/>
                <w:sz w:val="20"/>
              </w:rPr>
              <w:t xml:space="preserve">标 </w:t>
            </w:r>
          </w:p>
        </w:tc>
        <w:tc>
          <w:tcPr>
            <w:tcW w:w="1040" w:type="dxa"/>
            <w:tcBorders>
              <w:top w:val="single" w:color="000000" w:sz="4" w:space="0"/>
              <w:bottom w:val="single" w:color="000000" w:sz="2" w:space="0"/>
            </w:tcBorders>
          </w:tcPr>
          <w:p/>
        </w:tc>
        <w:tc>
          <w:tcPr>
            <w:tcW w:w="1040" w:type="dxa"/>
            <w:tcBorders>
              <w:top w:val="single" w:color="000000" w:sz="4" w:space="0"/>
              <w:bottom w:val="single" w:color="000000" w:sz="2" w:space="0"/>
            </w:tcBorders>
          </w:tcPr>
          <w:p/>
        </w:tc>
        <w:tc>
          <w:tcPr>
            <w:tcW w:w="1040" w:type="dxa"/>
            <w:tcBorders>
              <w:top w:val="single" w:color="000000" w:sz="4" w:space="0"/>
              <w:bottom w:val="single" w:color="000000" w:sz="2" w:space="0"/>
            </w:tcBorders>
          </w:tcPr>
          <w:p/>
        </w:tc>
        <w:tc>
          <w:tcPr>
            <w:tcW w:w="1040" w:type="dxa"/>
            <w:tcBorders>
              <w:top w:val="single" w:color="000000" w:sz="4" w:space="0"/>
              <w:bottom w:val="single" w:color="000000" w:sz="2" w:space="0"/>
            </w:tcBorders>
          </w:tcPr>
          <w:p/>
        </w:tc>
        <w:tc>
          <w:tcPr>
            <w:tcW w:w="1040" w:type="dxa"/>
            <w:tcBorders>
              <w:top w:val="single" w:color="000000" w:sz="4" w:space="0"/>
              <w:bottom w:val="single" w:color="000000" w:sz="2" w:space="0"/>
            </w:tcBorders>
          </w:tcPr>
          <w:p/>
        </w:tc>
        <w:tc>
          <w:tcPr>
            <w:tcW w:w="1040" w:type="dxa"/>
            <w:tcBorders>
              <w:top w:val="single" w:color="000000" w:sz="4" w:space="0"/>
              <w:bottom w:val="single" w:color="000000" w:sz="2" w:space="0"/>
            </w:tcBorders>
          </w:tcPr>
          <w:p/>
        </w:tc>
      </w:tr>
      <w:tr>
        <w:tblPrEx>
          <w:tblLayout w:type="fixed"/>
          <w:tblCellMar>
            <w:top w:w="0" w:type="dxa"/>
            <w:left w:w="108" w:type="dxa"/>
            <w:bottom w:w="0" w:type="dxa"/>
            <w:right w:w="108" w:type="dxa"/>
          </w:tblCellMar>
        </w:tblPrEx>
        <w:trPr>
          <w:trHeight w:val="1050" w:hRule="exact"/>
        </w:trPr>
        <w:tc>
          <w:tcPr>
            <w:tcW w:w="1040" w:type="dxa"/>
            <w:vMerge w:val="restart"/>
            <w:tcBorders>
              <w:top w:val="single" w:color="000000" w:sz="2" w:space="0"/>
              <w:bottom w:val="single" w:color="000000" w:sz="4" w:space="0"/>
            </w:tcBorders>
          </w:tcPr>
          <w:p>
            <w:pPr>
              <w:widowControl/>
              <w:autoSpaceDE w:val="0"/>
              <w:autoSpaceDN w:val="0"/>
              <w:spacing w:before="0" w:after="0" w:line="240" w:lineRule="auto"/>
              <w:ind w:left="192" w:right="96" w:firstLine="0"/>
              <w:jc w:val="left"/>
            </w:pPr>
            <w:r>
              <w:rPr>
                <w:rFonts w:ascii="宋体" w:hAnsi="宋体" w:eastAsia="宋体"/>
                <w:b w:val="0"/>
                <w:i w:val="0"/>
                <w:color w:val="000000"/>
                <w:sz w:val="20"/>
              </w:rPr>
              <w:t>年</w:t>
            </w:r>
            <w:r>
              <w:br w:type="textWrapping"/>
            </w:r>
            <w:r>
              <w:rPr>
                <w:rFonts w:ascii="宋体" w:hAnsi="宋体" w:eastAsia="宋体"/>
                <w:b w:val="0"/>
                <w:i w:val="0"/>
                <w:color w:val="000000"/>
                <w:sz w:val="20"/>
              </w:rPr>
              <w:t>度</w:t>
            </w:r>
            <w:r>
              <w:br w:type="textWrapping"/>
            </w:r>
            <w:r>
              <w:rPr>
                <w:rFonts w:ascii="宋体" w:hAnsi="宋体" w:eastAsia="宋体"/>
                <w:b w:val="0"/>
                <w:i w:val="0"/>
                <w:color w:val="000000"/>
                <w:sz w:val="20"/>
              </w:rPr>
              <w:t>绩</w:t>
            </w:r>
            <w:r>
              <w:br w:type="textWrapping"/>
            </w:r>
            <w:r>
              <w:rPr>
                <w:rFonts w:ascii="宋体" w:hAnsi="宋体" w:eastAsia="宋体"/>
                <w:b w:val="0"/>
                <w:i w:val="0"/>
                <w:color w:val="000000"/>
                <w:sz w:val="20"/>
              </w:rPr>
              <w:t>效</w:t>
            </w:r>
            <w:r>
              <w:br w:type="textWrapping"/>
            </w:r>
            <w:r>
              <w:rPr>
                <w:rFonts w:ascii="宋体" w:hAnsi="宋体" w:eastAsia="宋体"/>
                <w:b w:val="0"/>
                <w:i w:val="0"/>
                <w:color w:val="000000"/>
                <w:sz w:val="20"/>
              </w:rPr>
              <w:t>指</w:t>
            </w:r>
            <w:r>
              <w:br w:type="textWrapping"/>
            </w:r>
            <w:r>
              <w:rPr>
                <w:rFonts w:ascii="宋体" w:hAnsi="宋体" w:eastAsia="宋体"/>
                <w:b w:val="0"/>
                <w:i w:val="0"/>
                <w:color w:val="000000"/>
                <w:sz w:val="20"/>
              </w:rPr>
              <w:t>标</w:t>
            </w:r>
            <w:r>
              <w:br w:type="textWrapping"/>
            </w:r>
            <w:r>
              <w:rPr>
                <w:rFonts w:ascii="宋体" w:hAnsi="宋体" w:eastAsia="宋体"/>
                <w:b w:val="0"/>
                <w:i w:val="0"/>
                <w:color w:val="000000"/>
                <w:sz w:val="20"/>
              </w:rPr>
              <w:t>完</w:t>
            </w:r>
            <w:r>
              <w:br w:type="textWrapping"/>
            </w:r>
            <w:r>
              <w:rPr>
                <w:rFonts w:ascii="宋体" w:hAnsi="宋体" w:eastAsia="宋体"/>
                <w:b w:val="0"/>
                <w:i w:val="0"/>
                <w:color w:val="000000"/>
                <w:sz w:val="20"/>
              </w:rPr>
              <w:t>成</w:t>
            </w:r>
            <w:r>
              <w:br w:type="textWrapping"/>
            </w:r>
            <w:r>
              <w:rPr>
                <w:rFonts w:ascii="宋体" w:hAnsi="宋体" w:eastAsia="宋体"/>
                <w:b w:val="0"/>
                <w:i w:val="0"/>
                <w:color w:val="000000"/>
                <w:sz w:val="20"/>
              </w:rPr>
              <w:t>情</w:t>
            </w:r>
            <w:r>
              <w:br w:type="textWrapping"/>
            </w:r>
            <w:r>
              <w:rPr>
                <w:rFonts w:ascii="宋体" w:hAnsi="宋体" w:eastAsia="宋体"/>
                <w:b w:val="0"/>
                <w:i w:val="0"/>
                <w:color w:val="000000"/>
                <w:sz w:val="20"/>
              </w:rPr>
              <w:t xml:space="preserve">况 </w:t>
            </w:r>
          </w:p>
        </w:tc>
        <w:tc>
          <w:tcPr>
            <w:tcW w:w="1040" w:type="dxa"/>
            <w:vMerge w:val="restart"/>
            <w:tcBorders>
              <w:top w:val="single" w:color="000000" w:sz="2" w:space="0"/>
              <w:bottom w:val="single" w:color="000000" w:sz="4" w:space="0"/>
            </w:tcBorders>
          </w:tcPr>
          <w:p>
            <w:pPr>
              <w:widowControl/>
              <w:autoSpaceDE w:val="0"/>
              <w:autoSpaceDN w:val="0"/>
              <w:spacing w:before="0" w:after="0" w:line="240" w:lineRule="auto"/>
              <w:ind w:left="192" w:right="92" w:firstLine="0"/>
              <w:jc w:val="left"/>
            </w:pPr>
            <w:r>
              <w:rPr>
                <w:rFonts w:ascii="宋体" w:hAnsi="宋体" w:eastAsia="宋体"/>
                <w:b w:val="0"/>
                <w:i w:val="0"/>
                <w:color w:val="000000"/>
                <w:sz w:val="20"/>
              </w:rPr>
              <w:t>产</w:t>
            </w:r>
            <w:r>
              <w:br w:type="textWrapping"/>
            </w:r>
            <w:r>
              <w:rPr>
                <w:rFonts w:ascii="宋体" w:hAnsi="宋体" w:eastAsia="宋体"/>
                <w:b w:val="0"/>
                <w:i w:val="0"/>
                <w:color w:val="000000"/>
                <w:sz w:val="20"/>
              </w:rPr>
              <w:t>出</w:t>
            </w:r>
            <w:r>
              <w:br w:type="textWrapping"/>
            </w:r>
            <w:r>
              <w:rPr>
                <w:rFonts w:ascii="宋体" w:hAnsi="宋体" w:eastAsia="宋体"/>
                <w:b w:val="0"/>
                <w:i w:val="0"/>
                <w:color w:val="000000"/>
                <w:sz w:val="20"/>
              </w:rPr>
              <w:t>指</w:t>
            </w:r>
            <w:r>
              <w:br w:type="textWrapping"/>
            </w:r>
            <w:r>
              <w:rPr>
                <w:rFonts w:ascii="宋体" w:hAnsi="宋体" w:eastAsia="宋体"/>
                <w:b w:val="0"/>
                <w:i w:val="0"/>
                <w:color w:val="000000"/>
                <w:sz w:val="20"/>
              </w:rPr>
              <w:t xml:space="preserve">标 </w:t>
            </w:r>
          </w:p>
        </w:tc>
        <w:tc>
          <w:tcPr>
            <w:tcW w:w="1040" w:type="dxa"/>
            <w:tcBorders>
              <w:top w:val="single" w:color="000000" w:sz="2" w:space="0"/>
              <w:bottom w:val="single" w:color="000000" w:sz="4" w:space="0"/>
            </w:tcBorders>
          </w:tcPr>
          <w:p>
            <w:pPr>
              <w:widowControl/>
              <w:autoSpaceDE w:val="0"/>
              <w:autoSpaceDN w:val="0"/>
              <w:spacing w:before="0" w:after="0" w:line="240" w:lineRule="auto"/>
              <w:ind w:left="202" w:right="100" w:firstLine="0"/>
              <w:jc w:val="left"/>
            </w:pPr>
            <w:r>
              <w:rPr>
                <w:rFonts w:ascii="宋体" w:hAnsi="宋体" w:eastAsia="宋体"/>
                <w:b w:val="0"/>
                <w:i w:val="0"/>
                <w:color w:val="000000"/>
                <w:sz w:val="20"/>
              </w:rPr>
              <w:t>数</w:t>
            </w:r>
            <w:r>
              <w:br w:type="textWrapping"/>
            </w:r>
            <w:r>
              <w:rPr>
                <w:rFonts w:ascii="宋体" w:hAnsi="宋体" w:eastAsia="宋体"/>
                <w:b w:val="0"/>
                <w:i w:val="0"/>
                <w:color w:val="000000"/>
                <w:sz w:val="20"/>
              </w:rPr>
              <w:t>量</w:t>
            </w:r>
            <w:r>
              <w:br w:type="textWrapping"/>
            </w:r>
            <w:r>
              <w:rPr>
                <w:rFonts w:ascii="宋体" w:hAnsi="宋体" w:eastAsia="宋体"/>
                <w:b w:val="0"/>
                <w:i w:val="0"/>
                <w:color w:val="000000"/>
                <w:sz w:val="20"/>
              </w:rPr>
              <w:t>指</w:t>
            </w:r>
            <w:r>
              <w:br w:type="textWrapping"/>
            </w:r>
            <w:r>
              <w:rPr>
                <w:rFonts w:ascii="宋体" w:hAnsi="宋体" w:eastAsia="宋体"/>
                <w:b w:val="0"/>
                <w:i w:val="0"/>
                <w:color w:val="000000"/>
                <w:sz w:val="20"/>
              </w:rPr>
              <w:t xml:space="preserve">标 </w:t>
            </w:r>
          </w:p>
        </w:tc>
        <w:tc>
          <w:tcPr>
            <w:tcW w:w="1040" w:type="dxa"/>
            <w:tcBorders>
              <w:top w:val="single" w:color="000000" w:sz="2" w:space="0"/>
              <w:bottom w:val="single" w:color="000000" w:sz="4" w:space="0"/>
            </w:tcBorders>
          </w:tcPr>
          <w:p>
            <w:pPr>
              <w:widowControl/>
              <w:autoSpaceDE w:val="0"/>
              <w:autoSpaceDN w:val="0"/>
              <w:spacing w:before="0" w:after="0" w:line="240" w:lineRule="auto"/>
              <w:ind w:left="102" w:right="0" w:firstLine="0"/>
              <w:jc w:val="left"/>
            </w:pPr>
            <w:r>
              <w:rPr>
                <w:rFonts w:ascii="宋体" w:hAnsi="宋体" w:eastAsia="宋体"/>
                <w:b w:val="0"/>
                <w:i w:val="0"/>
                <w:color w:val="000000"/>
                <w:sz w:val="20"/>
              </w:rPr>
              <w:t xml:space="preserve">公园绿地面积的养护管理 </w:t>
            </w:r>
          </w:p>
        </w:tc>
        <w:tc>
          <w:tcPr>
            <w:tcW w:w="1040" w:type="dxa"/>
            <w:tcBorders>
              <w:top w:val="single" w:color="000000" w:sz="2" w:space="0"/>
              <w:bottom w:val="single" w:color="000000" w:sz="4" w:space="0"/>
            </w:tcBorders>
          </w:tcPr>
          <w:p>
            <w:pPr>
              <w:widowControl/>
              <w:tabs>
                <w:tab w:val="left" w:pos="306"/>
              </w:tabs>
              <w:autoSpaceDE w:val="0"/>
              <w:autoSpaceDN w:val="0"/>
              <w:spacing w:before="0" w:after="0" w:line="240" w:lineRule="auto"/>
              <w:ind w:left="156" w:right="144" w:firstLine="0"/>
              <w:jc w:val="left"/>
            </w:pPr>
            <w:r>
              <w:rPr>
                <w:rFonts w:ascii="宋体" w:hAnsi="宋体" w:eastAsia="宋体"/>
                <w:b w:val="0"/>
                <w:i w:val="0"/>
                <w:color w:val="000000"/>
                <w:sz w:val="20"/>
              </w:rPr>
              <w:t>&gt;=240</w:t>
            </w:r>
            <w:r>
              <w:tab/>
            </w:r>
            <w:r>
              <w:rPr>
                <w:rFonts w:ascii="宋体" w:hAnsi="宋体" w:eastAsia="宋体"/>
                <w:b w:val="0"/>
                <w:i w:val="0"/>
                <w:color w:val="000000"/>
                <w:sz w:val="20"/>
              </w:rPr>
              <w:t xml:space="preserve">亩 </w:t>
            </w:r>
          </w:p>
        </w:tc>
        <w:tc>
          <w:tcPr>
            <w:tcW w:w="1040" w:type="dxa"/>
            <w:tcBorders>
              <w:top w:val="single" w:color="000000" w:sz="2" w:space="0"/>
              <w:bottom w:val="single" w:color="000000" w:sz="4" w:space="0"/>
            </w:tcBorders>
          </w:tcPr>
          <w:p>
            <w:pPr>
              <w:widowControl/>
              <w:autoSpaceDE w:val="0"/>
              <w:autoSpaceDN w:val="0"/>
              <w:spacing w:before="0" w:after="0" w:line="240" w:lineRule="auto"/>
              <w:ind w:left="126" w:right="0" w:firstLine="0"/>
              <w:jc w:val="left"/>
            </w:pPr>
            <w:r>
              <w:rPr>
                <w:rFonts w:ascii="宋体" w:hAnsi="宋体" w:eastAsia="宋体"/>
                <w:b w:val="0"/>
                <w:i w:val="0"/>
                <w:color w:val="000000"/>
                <w:sz w:val="20"/>
              </w:rPr>
              <w:t xml:space="preserve">240 亩 </w:t>
            </w:r>
          </w:p>
        </w:tc>
        <w:tc>
          <w:tcPr>
            <w:tcW w:w="1040" w:type="dxa"/>
            <w:tcBorders>
              <w:top w:val="single" w:color="000000" w:sz="2" w:space="0"/>
              <w:bottom w:val="single" w:color="000000" w:sz="4" w:space="0"/>
            </w:tcBorders>
          </w:tcPr>
          <w:p>
            <w:pPr>
              <w:widowControl/>
              <w:autoSpaceDE w:val="0"/>
              <w:autoSpaceDN w:val="0"/>
              <w:spacing w:before="0" w:after="0" w:line="240" w:lineRule="auto"/>
              <w:ind w:left="0" w:right="164" w:firstLine="0"/>
              <w:jc w:val="left"/>
            </w:pPr>
            <w:r>
              <w:rPr>
                <w:rFonts w:ascii="宋体" w:hAnsi="宋体" w:eastAsia="宋体"/>
                <w:b w:val="0"/>
                <w:i w:val="0"/>
                <w:color w:val="000000"/>
                <w:sz w:val="20"/>
              </w:rPr>
              <w:t xml:space="preserve">15 </w:t>
            </w:r>
          </w:p>
        </w:tc>
        <w:tc>
          <w:tcPr>
            <w:tcW w:w="1040" w:type="dxa"/>
            <w:tcBorders>
              <w:top w:val="single" w:color="000000" w:sz="2" w:space="0"/>
              <w:bottom w:val="single" w:color="000000" w:sz="4" w:space="0"/>
            </w:tcBorders>
          </w:tcPr>
          <w:p>
            <w:pPr>
              <w:widowControl/>
              <w:autoSpaceDE w:val="0"/>
              <w:autoSpaceDN w:val="0"/>
              <w:spacing w:before="0" w:after="0" w:line="240" w:lineRule="auto"/>
              <w:ind w:left="0" w:right="220" w:firstLine="0"/>
              <w:jc w:val="left"/>
            </w:pPr>
            <w:r>
              <w:rPr>
                <w:rFonts w:ascii="宋体" w:hAnsi="宋体" w:eastAsia="宋体"/>
                <w:b w:val="0"/>
                <w:i w:val="0"/>
                <w:color w:val="000000"/>
                <w:sz w:val="20"/>
              </w:rPr>
              <w:t xml:space="preserve">15 </w:t>
            </w:r>
          </w:p>
        </w:tc>
        <w:tc>
          <w:tcPr>
            <w:tcW w:w="1040" w:type="dxa"/>
            <w:tcBorders>
              <w:top w:val="single" w:color="000000" w:sz="2" w:space="0"/>
              <w:bottom w:val="single" w:color="000000" w:sz="4" w:space="0"/>
            </w:tcBorders>
          </w:tcPr>
          <w:p/>
        </w:tc>
      </w:tr>
      <w:tr>
        <w:tblPrEx>
          <w:tblLayout w:type="fixed"/>
          <w:tblCellMar>
            <w:top w:w="0" w:type="dxa"/>
            <w:left w:w="108" w:type="dxa"/>
            <w:bottom w:w="0" w:type="dxa"/>
            <w:right w:w="108" w:type="dxa"/>
          </w:tblCellMar>
        </w:tblPrEx>
        <w:trPr>
          <w:trHeight w:val="1050" w:hRule="exact"/>
        </w:trPr>
        <w:tc>
          <w:tcPr>
            <w:tcW w:w="1040" w:type="dxa"/>
            <w:vMerge w:val="continue"/>
            <w:tcBorders>
              <w:top w:val="single" w:color="000000" w:sz="2" w:space="0"/>
              <w:bottom w:val="single" w:color="000000" w:sz="4" w:space="0"/>
            </w:tcBorders>
          </w:tcPr>
          <w:p/>
        </w:tc>
        <w:tc>
          <w:tcPr>
            <w:tcW w:w="1040" w:type="dxa"/>
            <w:vMerge w:val="continue"/>
            <w:tcBorders>
              <w:top w:val="single" w:color="000000" w:sz="2" w:space="0"/>
              <w:bottom w:val="single" w:color="000000" w:sz="4" w:space="0"/>
            </w:tcBorders>
          </w:tcPr>
          <w:p/>
        </w:tc>
        <w:tc>
          <w:tcPr>
            <w:tcW w:w="1040" w:type="dxa"/>
            <w:tcBorders>
              <w:top w:val="single" w:color="000000" w:sz="4" w:space="0"/>
              <w:bottom w:val="single" w:color="000000" w:sz="2" w:space="0"/>
            </w:tcBorders>
          </w:tcPr>
          <w:p>
            <w:pPr>
              <w:widowControl/>
              <w:autoSpaceDE w:val="0"/>
              <w:autoSpaceDN w:val="0"/>
              <w:spacing w:before="0" w:after="0" w:line="240" w:lineRule="auto"/>
              <w:ind w:left="202" w:right="100" w:firstLine="0"/>
              <w:jc w:val="left"/>
            </w:pPr>
            <w:r>
              <w:rPr>
                <w:rFonts w:ascii="宋体" w:hAnsi="宋体" w:eastAsia="宋体"/>
                <w:b w:val="0"/>
                <w:i w:val="0"/>
                <w:color w:val="000000"/>
                <w:sz w:val="20"/>
              </w:rPr>
              <w:t>质</w:t>
            </w:r>
            <w:r>
              <w:br w:type="textWrapping"/>
            </w:r>
            <w:r>
              <w:rPr>
                <w:rFonts w:ascii="宋体" w:hAnsi="宋体" w:eastAsia="宋体"/>
                <w:b w:val="0"/>
                <w:i w:val="0"/>
                <w:color w:val="000000"/>
                <w:sz w:val="20"/>
              </w:rPr>
              <w:t>量</w:t>
            </w:r>
            <w:r>
              <w:br w:type="textWrapping"/>
            </w:r>
            <w:r>
              <w:rPr>
                <w:rFonts w:ascii="宋体" w:hAnsi="宋体" w:eastAsia="宋体"/>
                <w:b w:val="0"/>
                <w:i w:val="0"/>
                <w:color w:val="000000"/>
                <w:sz w:val="20"/>
              </w:rPr>
              <w:t>指</w:t>
            </w:r>
            <w:r>
              <w:br w:type="textWrapping"/>
            </w:r>
            <w:r>
              <w:rPr>
                <w:rFonts w:ascii="宋体" w:hAnsi="宋体" w:eastAsia="宋体"/>
                <w:b w:val="0"/>
                <w:i w:val="0"/>
                <w:color w:val="000000"/>
                <w:sz w:val="20"/>
              </w:rPr>
              <w:t xml:space="preserve">标 </w:t>
            </w:r>
          </w:p>
        </w:tc>
        <w:tc>
          <w:tcPr>
            <w:tcW w:w="1040" w:type="dxa"/>
            <w:tcBorders>
              <w:top w:val="single" w:color="000000" w:sz="4" w:space="0"/>
              <w:bottom w:val="single" w:color="000000" w:sz="2" w:space="0"/>
            </w:tcBorders>
          </w:tcPr>
          <w:p>
            <w:pPr>
              <w:widowControl/>
              <w:autoSpaceDE w:val="0"/>
              <w:autoSpaceDN w:val="0"/>
              <w:spacing w:before="0" w:after="0" w:line="240" w:lineRule="auto"/>
              <w:ind w:left="102" w:right="0" w:firstLine="0"/>
              <w:jc w:val="left"/>
            </w:pPr>
            <w:r>
              <w:rPr>
                <w:rFonts w:ascii="宋体" w:hAnsi="宋体" w:eastAsia="宋体"/>
                <w:b w:val="0"/>
                <w:i w:val="0"/>
                <w:color w:val="000000"/>
                <w:sz w:val="20"/>
              </w:rPr>
              <w:t xml:space="preserve">资金到位率 </w:t>
            </w:r>
          </w:p>
        </w:tc>
        <w:tc>
          <w:tcPr>
            <w:tcW w:w="1040" w:type="dxa"/>
            <w:tcBorders>
              <w:top w:val="single" w:color="000000" w:sz="4" w:space="0"/>
              <w:bottom w:val="single" w:color="000000" w:sz="2" w:space="0"/>
            </w:tcBorders>
          </w:tcPr>
          <w:p>
            <w:pPr>
              <w:widowControl/>
              <w:autoSpaceDE w:val="0"/>
              <w:autoSpaceDN w:val="0"/>
              <w:spacing w:before="0" w:after="0" w:line="240" w:lineRule="auto"/>
              <w:ind w:left="156" w:right="0" w:firstLine="0"/>
              <w:jc w:val="left"/>
            </w:pPr>
            <w:r>
              <w:rPr>
                <w:rFonts w:ascii="宋体" w:hAnsi="宋体" w:eastAsia="宋体"/>
                <w:b w:val="0"/>
                <w:i w:val="0"/>
                <w:color w:val="000000"/>
                <w:sz w:val="20"/>
              </w:rPr>
              <w:t xml:space="preserve">=100% </w:t>
            </w:r>
          </w:p>
        </w:tc>
        <w:tc>
          <w:tcPr>
            <w:tcW w:w="1040" w:type="dxa"/>
            <w:tcBorders>
              <w:top w:val="single" w:color="000000" w:sz="4" w:space="0"/>
              <w:bottom w:val="single" w:color="000000" w:sz="2" w:space="0"/>
            </w:tcBorders>
          </w:tcPr>
          <w:p>
            <w:pPr>
              <w:widowControl/>
              <w:autoSpaceDE w:val="0"/>
              <w:autoSpaceDN w:val="0"/>
              <w:spacing w:before="0" w:after="0" w:line="240" w:lineRule="auto"/>
              <w:ind w:left="200" w:right="0" w:firstLine="0"/>
              <w:jc w:val="left"/>
            </w:pPr>
            <w:r>
              <w:rPr>
                <w:rFonts w:ascii="宋体" w:hAnsi="宋体" w:eastAsia="宋体"/>
                <w:b w:val="0"/>
                <w:i w:val="0"/>
                <w:color w:val="000000"/>
                <w:sz w:val="20"/>
              </w:rPr>
              <w:t xml:space="preserve">100% </w:t>
            </w:r>
          </w:p>
        </w:tc>
        <w:tc>
          <w:tcPr>
            <w:tcW w:w="1040" w:type="dxa"/>
            <w:tcBorders>
              <w:top w:val="single" w:color="000000" w:sz="4" w:space="0"/>
              <w:bottom w:val="single" w:color="000000" w:sz="2" w:space="0"/>
            </w:tcBorders>
          </w:tcPr>
          <w:p>
            <w:pPr>
              <w:widowControl/>
              <w:autoSpaceDE w:val="0"/>
              <w:autoSpaceDN w:val="0"/>
              <w:spacing w:before="0" w:after="0" w:line="240" w:lineRule="auto"/>
              <w:ind w:left="0" w:right="164" w:firstLine="0"/>
              <w:jc w:val="left"/>
            </w:pPr>
            <w:r>
              <w:rPr>
                <w:rFonts w:ascii="宋体" w:hAnsi="宋体" w:eastAsia="宋体"/>
                <w:b w:val="0"/>
                <w:i w:val="0"/>
                <w:color w:val="000000"/>
                <w:sz w:val="20"/>
              </w:rPr>
              <w:t xml:space="preserve">15 </w:t>
            </w:r>
          </w:p>
        </w:tc>
        <w:tc>
          <w:tcPr>
            <w:tcW w:w="1040" w:type="dxa"/>
            <w:tcBorders>
              <w:top w:val="single" w:color="000000" w:sz="4" w:space="0"/>
              <w:bottom w:val="single" w:color="000000" w:sz="2" w:space="0"/>
            </w:tcBorders>
          </w:tcPr>
          <w:p>
            <w:pPr>
              <w:widowControl/>
              <w:autoSpaceDE w:val="0"/>
              <w:autoSpaceDN w:val="0"/>
              <w:spacing w:before="0" w:after="0" w:line="240" w:lineRule="auto"/>
              <w:ind w:left="0" w:right="220" w:firstLine="0"/>
              <w:jc w:val="left"/>
            </w:pPr>
            <w:r>
              <w:rPr>
                <w:rFonts w:ascii="宋体" w:hAnsi="宋体" w:eastAsia="宋体"/>
                <w:b w:val="0"/>
                <w:i w:val="0"/>
                <w:color w:val="000000"/>
                <w:sz w:val="20"/>
              </w:rPr>
              <w:t xml:space="preserve">15 </w:t>
            </w:r>
          </w:p>
        </w:tc>
        <w:tc>
          <w:tcPr>
            <w:tcW w:w="1040" w:type="dxa"/>
            <w:tcBorders>
              <w:top w:val="single" w:color="000000" w:sz="4" w:space="0"/>
              <w:bottom w:val="single" w:color="000000" w:sz="2" w:space="0"/>
            </w:tcBorders>
          </w:tcPr>
          <w:p/>
        </w:tc>
      </w:tr>
      <w:tr>
        <w:tblPrEx>
          <w:tblLayout w:type="fixed"/>
          <w:tblCellMar>
            <w:top w:w="0" w:type="dxa"/>
            <w:left w:w="108" w:type="dxa"/>
            <w:bottom w:w="0" w:type="dxa"/>
            <w:right w:w="108" w:type="dxa"/>
          </w:tblCellMar>
        </w:tblPrEx>
        <w:trPr>
          <w:trHeight w:val="2610" w:hRule="exact"/>
        </w:trPr>
        <w:tc>
          <w:tcPr>
            <w:tcW w:w="1040" w:type="dxa"/>
            <w:vMerge w:val="continue"/>
            <w:tcBorders>
              <w:top w:val="single" w:color="000000" w:sz="2" w:space="0"/>
              <w:bottom w:val="single" w:color="000000" w:sz="4" w:space="0"/>
            </w:tcBorders>
          </w:tcPr>
          <w:p/>
        </w:tc>
        <w:tc>
          <w:tcPr>
            <w:tcW w:w="1040" w:type="dxa"/>
            <w:vMerge w:val="continue"/>
            <w:tcBorders>
              <w:top w:val="single" w:color="000000" w:sz="2" w:space="0"/>
              <w:bottom w:val="single" w:color="000000" w:sz="4" w:space="0"/>
            </w:tcBorders>
          </w:tcPr>
          <w:p/>
        </w:tc>
        <w:tc>
          <w:tcPr>
            <w:tcW w:w="1040" w:type="dxa"/>
            <w:tcBorders>
              <w:top w:val="single" w:color="000000" w:sz="2" w:space="0"/>
              <w:bottom w:val="single" w:color="000000" w:sz="4" w:space="0"/>
            </w:tcBorders>
          </w:tcPr>
          <w:p>
            <w:pPr>
              <w:widowControl/>
              <w:autoSpaceDE w:val="0"/>
              <w:autoSpaceDN w:val="0"/>
              <w:spacing w:before="0" w:after="0" w:line="240" w:lineRule="auto"/>
              <w:ind w:left="202" w:right="100" w:firstLine="0"/>
              <w:jc w:val="left"/>
            </w:pPr>
            <w:r>
              <w:rPr>
                <w:rFonts w:ascii="宋体" w:hAnsi="宋体" w:eastAsia="宋体"/>
                <w:b w:val="0"/>
                <w:i w:val="0"/>
                <w:color w:val="000000"/>
                <w:sz w:val="20"/>
              </w:rPr>
              <w:t>时</w:t>
            </w:r>
            <w:r>
              <w:br w:type="textWrapping"/>
            </w:r>
            <w:r>
              <w:rPr>
                <w:rFonts w:ascii="宋体" w:hAnsi="宋体" w:eastAsia="宋体"/>
                <w:b w:val="0"/>
                <w:i w:val="0"/>
                <w:color w:val="000000"/>
                <w:sz w:val="20"/>
              </w:rPr>
              <w:t>效</w:t>
            </w:r>
            <w:r>
              <w:br w:type="textWrapping"/>
            </w:r>
            <w:r>
              <w:rPr>
                <w:rFonts w:ascii="宋体" w:hAnsi="宋体" w:eastAsia="宋体"/>
                <w:b w:val="0"/>
                <w:i w:val="0"/>
                <w:color w:val="000000"/>
                <w:sz w:val="20"/>
              </w:rPr>
              <w:t>指</w:t>
            </w:r>
            <w:r>
              <w:br w:type="textWrapping"/>
            </w:r>
            <w:r>
              <w:rPr>
                <w:rFonts w:ascii="宋体" w:hAnsi="宋体" w:eastAsia="宋体"/>
                <w:b w:val="0"/>
                <w:i w:val="0"/>
                <w:color w:val="000000"/>
                <w:sz w:val="20"/>
              </w:rPr>
              <w:t xml:space="preserve">标 </w:t>
            </w:r>
          </w:p>
        </w:tc>
        <w:tc>
          <w:tcPr>
            <w:tcW w:w="1040" w:type="dxa"/>
            <w:tcBorders>
              <w:top w:val="single" w:color="000000" w:sz="2" w:space="0"/>
              <w:bottom w:val="single" w:color="000000" w:sz="4" w:space="0"/>
            </w:tcBorders>
          </w:tcPr>
          <w:p>
            <w:pPr>
              <w:widowControl/>
              <w:autoSpaceDE w:val="0"/>
              <w:autoSpaceDN w:val="0"/>
              <w:spacing w:before="0" w:after="0" w:line="240" w:lineRule="auto"/>
              <w:ind w:left="102" w:right="0" w:firstLine="0"/>
              <w:jc w:val="left"/>
            </w:pPr>
            <w:r>
              <w:rPr>
                <w:rFonts w:ascii="宋体" w:hAnsi="宋体" w:eastAsia="宋体"/>
                <w:b w:val="0"/>
                <w:i w:val="0"/>
                <w:color w:val="000000"/>
                <w:sz w:val="20"/>
              </w:rPr>
              <w:t xml:space="preserve">资金拨付及时率 </w:t>
            </w:r>
          </w:p>
        </w:tc>
        <w:tc>
          <w:tcPr>
            <w:tcW w:w="1040" w:type="dxa"/>
            <w:tcBorders>
              <w:top w:val="single" w:color="000000" w:sz="2" w:space="0"/>
              <w:bottom w:val="single" w:color="000000" w:sz="4" w:space="0"/>
            </w:tcBorders>
          </w:tcPr>
          <w:p>
            <w:pPr>
              <w:widowControl/>
              <w:autoSpaceDE w:val="0"/>
              <w:autoSpaceDN w:val="0"/>
              <w:spacing w:before="0" w:after="0" w:line="240" w:lineRule="auto"/>
              <w:ind w:left="156" w:right="0" w:firstLine="0"/>
              <w:jc w:val="left"/>
            </w:pPr>
            <w:r>
              <w:rPr>
                <w:rFonts w:ascii="宋体" w:hAnsi="宋体" w:eastAsia="宋体"/>
                <w:b w:val="0"/>
                <w:i w:val="0"/>
                <w:color w:val="000000"/>
                <w:sz w:val="20"/>
              </w:rPr>
              <w:t xml:space="preserve">=100% </w:t>
            </w:r>
          </w:p>
        </w:tc>
        <w:tc>
          <w:tcPr>
            <w:tcW w:w="1040" w:type="dxa"/>
            <w:tcBorders>
              <w:top w:val="single" w:color="000000" w:sz="2" w:space="0"/>
              <w:bottom w:val="single" w:color="000000" w:sz="4" w:space="0"/>
            </w:tcBorders>
          </w:tcPr>
          <w:p>
            <w:pPr>
              <w:widowControl/>
              <w:autoSpaceDE w:val="0"/>
              <w:autoSpaceDN w:val="0"/>
              <w:spacing w:before="0" w:after="0" w:line="240" w:lineRule="auto"/>
              <w:ind w:left="102" w:right="0" w:firstLine="0"/>
              <w:jc w:val="left"/>
            </w:pPr>
            <w:r>
              <w:rPr>
                <w:rFonts w:ascii="宋体" w:hAnsi="宋体" w:eastAsia="宋体"/>
                <w:b w:val="0"/>
                <w:i w:val="0"/>
                <w:color w:val="000000"/>
                <w:sz w:val="20"/>
              </w:rPr>
              <w:t xml:space="preserve">27.32% </w:t>
            </w:r>
          </w:p>
        </w:tc>
        <w:tc>
          <w:tcPr>
            <w:tcW w:w="1040" w:type="dxa"/>
            <w:tcBorders>
              <w:top w:val="single" w:color="000000" w:sz="2" w:space="0"/>
              <w:bottom w:val="single" w:color="000000" w:sz="4" w:space="0"/>
            </w:tcBorders>
          </w:tcPr>
          <w:p>
            <w:pPr>
              <w:widowControl/>
              <w:autoSpaceDE w:val="0"/>
              <w:autoSpaceDN w:val="0"/>
              <w:spacing w:before="0" w:after="0" w:line="240" w:lineRule="auto"/>
              <w:ind w:left="0" w:right="164" w:firstLine="0"/>
              <w:jc w:val="left"/>
            </w:pPr>
            <w:r>
              <w:rPr>
                <w:rFonts w:ascii="宋体" w:hAnsi="宋体" w:eastAsia="宋体"/>
                <w:b w:val="0"/>
                <w:i w:val="0"/>
                <w:color w:val="000000"/>
                <w:sz w:val="20"/>
              </w:rPr>
              <w:t xml:space="preserve">10 </w:t>
            </w:r>
          </w:p>
        </w:tc>
        <w:tc>
          <w:tcPr>
            <w:tcW w:w="1040" w:type="dxa"/>
            <w:tcBorders>
              <w:top w:val="single" w:color="000000" w:sz="2" w:space="0"/>
              <w:bottom w:val="single" w:color="000000" w:sz="4" w:space="0"/>
            </w:tcBorders>
          </w:tcPr>
          <w:p>
            <w:pPr>
              <w:widowControl/>
              <w:autoSpaceDE w:val="0"/>
              <w:autoSpaceDN w:val="0"/>
              <w:spacing w:before="0" w:after="0" w:line="240" w:lineRule="auto"/>
              <w:ind w:left="0" w:right="118" w:firstLine="0"/>
              <w:jc w:val="left"/>
            </w:pPr>
            <w:r>
              <w:rPr>
                <w:rFonts w:ascii="宋体" w:hAnsi="宋体" w:eastAsia="宋体"/>
                <w:b w:val="0"/>
                <w:i w:val="0"/>
                <w:color w:val="000000"/>
                <w:sz w:val="20"/>
              </w:rPr>
              <w:t xml:space="preserve">2.73 </w:t>
            </w:r>
          </w:p>
        </w:tc>
        <w:tc>
          <w:tcPr>
            <w:tcW w:w="1040" w:type="dxa"/>
            <w:tcBorders>
              <w:top w:val="single" w:color="000000" w:sz="2" w:space="0"/>
              <w:bottom w:val="single" w:color="000000" w:sz="4" w:space="0"/>
            </w:tcBorders>
          </w:tcPr>
          <w:p>
            <w:pPr>
              <w:widowControl/>
              <w:autoSpaceDE w:val="0"/>
              <w:autoSpaceDN w:val="0"/>
              <w:spacing w:before="0" w:after="0" w:line="240" w:lineRule="auto"/>
              <w:ind w:left="104" w:right="0" w:firstLine="0"/>
              <w:jc w:val="left"/>
            </w:pPr>
            <w:r>
              <w:rPr>
                <w:rFonts w:ascii="宋体" w:hAnsi="宋体" w:eastAsia="宋体"/>
                <w:b w:val="0"/>
                <w:i w:val="0"/>
                <w:color w:val="000000"/>
                <w:sz w:val="20"/>
              </w:rPr>
              <w:t>因疫情资</w:t>
            </w:r>
            <w:r>
              <w:br w:type="textWrapping"/>
            </w:r>
            <w:r>
              <w:rPr>
                <w:rFonts w:ascii="宋体" w:hAnsi="宋体" w:eastAsia="宋体"/>
                <w:b w:val="0"/>
                <w:i w:val="0"/>
                <w:color w:val="000000"/>
                <w:sz w:val="20"/>
              </w:rPr>
              <w:t>金未支付</w:t>
            </w:r>
            <w:r>
              <w:br w:type="textWrapping"/>
            </w:r>
            <w:r>
              <w:rPr>
                <w:rFonts w:ascii="宋体" w:hAnsi="宋体" w:eastAsia="宋体"/>
                <w:b w:val="0"/>
                <w:i w:val="0"/>
                <w:color w:val="000000"/>
                <w:sz w:val="20"/>
              </w:rPr>
              <w:t>完，正在积极办理。</w:t>
            </w:r>
          </w:p>
          <w:p>
            <w:pPr>
              <w:widowControl/>
              <w:autoSpaceDE w:val="0"/>
              <w:autoSpaceDN w:val="0"/>
              <w:spacing w:before="0" w:after="0" w:line="240" w:lineRule="auto"/>
              <w:ind w:left="104" w:right="0" w:firstLine="0"/>
              <w:jc w:val="left"/>
            </w:pPr>
            <w:r>
              <w:rPr>
                <w:rFonts w:ascii="宋体" w:hAnsi="宋体" w:eastAsia="宋体"/>
                <w:b w:val="0"/>
                <w:i w:val="0"/>
                <w:color w:val="000000"/>
                <w:sz w:val="20"/>
              </w:rPr>
              <w:t>2023 年将</w:t>
            </w:r>
            <w:r>
              <w:br w:type="textWrapping"/>
            </w:r>
            <w:r>
              <w:rPr>
                <w:rFonts w:ascii="宋体" w:hAnsi="宋体" w:eastAsia="宋体"/>
                <w:b w:val="0"/>
                <w:i w:val="0"/>
                <w:color w:val="000000"/>
                <w:sz w:val="20"/>
              </w:rPr>
              <w:t>明确分工，提高效率，加快支付</w:t>
            </w:r>
            <w:r>
              <w:br w:type="textWrapping"/>
            </w:r>
            <w:r>
              <w:rPr>
                <w:rFonts w:ascii="宋体" w:hAnsi="宋体" w:eastAsia="宋体"/>
                <w:b w:val="0"/>
                <w:i w:val="0"/>
                <w:color w:val="000000"/>
                <w:sz w:val="20"/>
              </w:rPr>
              <w:t xml:space="preserve">速度，避免类似情况。 </w:t>
            </w:r>
          </w:p>
        </w:tc>
      </w:tr>
      <w:tr>
        <w:tblPrEx>
          <w:tblLayout w:type="fixed"/>
          <w:tblCellMar>
            <w:top w:w="0" w:type="dxa"/>
            <w:left w:w="108" w:type="dxa"/>
            <w:bottom w:w="0" w:type="dxa"/>
            <w:right w:w="108" w:type="dxa"/>
          </w:tblCellMar>
        </w:tblPrEx>
        <w:trPr>
          <w:trHeight w:val="2612" w:hRule="exact"/>
        </w:trPr>
        <w:tc>
          <w:tcPr>
            <w:tcW w:w="1040" w:type="dxa"/>
            <w:vMerge w:val="continue"/>
            <w:tcBorders>
              <w:top w:val="single" w:color="000000" w:sz="2" w:space="0"/>
              <w:bottom w:val="single" w:color="000000" w:sz="4" w:space="0"/>
            </w:tcBorders>
          </w:tcPr>
          <w:p/>
        </w:tc>
        <w:tc>
          <w:tcPr>
            <w:tcW w:w="1040" w:type="dxa"/>
            <w:vMerge w:val="continue"/>
            <w:tcBorders>
              <w:top w:val="single" w:color="000000" w:sz="2" w:space="0"/>
              <w:bottom w:val="single" w:color="000000" w:sz="4" w:space="0"/>
            </w:tcBorders>
          </w:tcPr>
          <w:p/>
        </w:tc>
        <w:tc>
          <w:tcPr>
            <w:tcW w:w="1040" w:type="dxa"/>
            <w:tcBorders>
              <w:top w:val="single" w:color="000000" w:sz="4" w:space="0"/>
              <w:bottom w:val="single" w:color="000000" w:sz="4" w:space="0"/>
            </w:tcBorders>
          </w:tcPr>
          <w:p>
            <w:pPr>
              <w:widowControl/>
              <w:autoSpaceDE w:val="0"/>
              <w:autoSpaceDN w:val="0"/>
              <w:spacing w:before="0" w:after="0" w:line="240" w:lineRule="auto"/>
              <w:ind w:left="202" w:right="100" w:firstLine="0"/>
              <w:jc w:val="left"/>
            </w:pPr>
            <w:r>
              <w:rPr>
                <w:rFonts w:ascii="宋体" w:hAnsi="宋体" w:eastAsia="宋体"/>
                <w:b w:val="0"/>
                <w:i w:val="0"/>
                <w:color w:val="000000"/>
                <w:sz w:val="20"/>
              </w:rPr>
              <w:t>成</w:t>
            </w:r>
            <w:r>
              <w:br w:type="textWrapping"/>
            </w:r>
            <w:r>
              <w:rPr>
                <w:rFonts w:ascii="宋体" w:hAnsi="宋体" w:eastAsia="宋体"/>
                <w:b w:val="0"/>
                <w:i w:val="0"/>
                <w:color w:val="000000"/>
                <w:sz w:val="20"/>
              </w:rPr>
              <w:t>本</w:t>
            </w:r>
            <w:r>
              <w:br w:type="textWrapping"/>
            </w:r>
            <w:r>
              <w:rPr>
                <w:rFonts w:ascii="宋体" w:hAnsi="宋体" w:eastAsia="宋体"/>
                <w:b w:val="0"/>
                <w:i w:val="0"/>
                <w:color w:val="000000"/>
                <w:sz w:val="20"/>
              </w:rPr>
              <w:t>指</w:t>
            </w:r>
            <w:r>
              <w:br w:type="textWrapping"/>
            </w:r>
            <w:r>
              <w:rPr>
                <w:rFonts w:ascii="宋体" w:hAnsi="宋体" w:eastAsia="宋体"/>
                <w:b w:val="0"/>
                <w:i w:val="0"/>
                <w:color w:val="000000"/>
                <w:sz w:val="20"/>
              </w:rPr>
              <w:t xml:space="preserve">标 </w:t>
            </w:r>
          </w:p>
        </w:tc>
        <w:tc>
          <w:tcPr>
            <w:tcW w:w="1040" w:type="dxa"/>
            <w:tcBorders>
              <w:top w:val="single" w:color="000000" w:sz="4" w:space="0"/>
              <w:bottom w:val="single" w:color="000000" w:sz="4" w:space="0"/>
            </w:tcBorders>
          </w:tcPr>
          <w:p>
            <w:pPr>
              <w:widowControl/>
              <w:autoSpaceDE w:val="0"/>
              <w:autoSpaceDN w:val="0"/>
              <w:spacing w:before="0" w:after="0" w:line="240" w:lineRule="auto"/>
              <w:ind w:left="102" w:right="0" w:firstLine="0"/>
              <w:jc w:val="left"/>
            </w:pPr>
            <w:r>
              <w:rPr>
                <w:rFonts w:ascii="宋体" w:hAnsi="宋体" w:eastAsia="宋体"/>
                <w:b w:val="0"/>
                <w:i w:val="0"/>
                <w:color w:val="000000"/>
                <w:sz w:val="20"/>
              </w:rPr>
              <w:t xml:space="preserve">项目预算控制率 </w:t>
            </w:r>
          </w:p>
        </w:tc>
        <w:tc>
          <w:tcPr>
            <w:tcW w:w="1040" w:type="dxa"/>
            <w:tcBorders>
              <w:top w:val="single" w:color="000000" w:sz="4" w:space="0"/>
              <w:bottom w:val="single" w:color="000000" w:sz="4" w:space="0"/>
            </w:tcBorders>
          </w:tcPr>
          <w:p>
            <w:pPr>
              <w:widowControl/>
              <w:autoSpaceDE w:val="0"/>
              <w:autoSpaceDN w:val="0"/>
              <w:spacing w:before="0" w:after="0" w:line="240" w:lineRule="auto"/>
              <w:ind w:left="106" w:right="0" w:firstLine="0"/>
              <w:jc w:val="left"/>
            </w:pPr>
            <w:r>
              <w:rPr>
                <w:rFonts w:ascii="宋体" w:hAnsi="宋体" w:eastAsia="宋体"/>
                <w:b w:val="0"/>
                <w:i w:val="0"/>
                <w:color w:val="000000"/>
                <w:sz w:val="20"/>
              </w:rPr>
              <w:t xml:space="preserve">&lt;=100% </w:t>
            </w:r>
          </w:p>
        </w:tc>
        <w:tc>
          <w:tcPr>
            <w:tcW w:w="1040" w:type="dxa"/>
            <w:tcBorders>
              <w:top w:val="single" w:color="000000" w:sz="4" w:space="0"/>
              <w:bottom w:val="single" w:color="000000" w:sz="4" w:space="0"/>
            </w:tcBorders>
          </w:tcPr>
          <w:p>
            <w:pPr>
              <w:widowControl/>
              <w:autoSpaceDE w:val="0"/>
              <w:autoSpaceDN w:val="0"/>
              <w:spacing w:before="0" w:after="0" w:line="240" w:lineRule="auto"/>
              <w:ind w:left="102" w:right="0" w:firstLine="0"/>
              <w:jc w:val="left"/>
            </w:pPr>
            <w:r>
              <w:rPr>
                <w:rFonts w:ascii="宋体" w:hAnsi="宋体" w:eastAsia="宋体"/>
                <w:b w:val="0"/>
                <w:i w:val="0"/>
                <w:color w:val="000000"/>
                <w:sz w:val="20"/>
              </w:rPr>
              <w:t xml:space="preserve">27.32% </w:t>
            </w:r>
          </w:p>
        </w:tc>
        <w:tc>
          <w:tcPr>
            <w:tcW w:w="1040" w:type="dxa"/>
            <w:tcBorders>
              <w:top w:val="single" w:color="000000" w:sz="4" w:space="0"/>
              <w:bottom w:val="single" w:color="000000" w:sz="4" w:space="0"/>
            </w:tcBorders>
          </w:tcPr>
          <w:p>
            <w:pPr>
              <w:widowControl/>
              <w:autoSpaceDE w:val="0"/>
              <w:autoSpaceDN w:val="0"/>
              <w:spacing w:before="0" w:after="0" w:line="240" w:lineRule="auto"/>
              <w:ind w:left="0" w:right="164" w:firstLine="0"/>
              <w:jc w:val="left"/>
            </w:pPr>
            <w:r>
              <w:rPr>
                <w:rFonts w:ascii="宋体" w:hAnsi="宋体" w:eastAsia="宋体"/>
                <w:b w:val="0"/>
                <w:i w:val="0"/>
                <w:color w:val="000000"/>
                <w:sz w:val="20"/>
              </w:rPr>
              <w:t xml:space="preserve">10 </w:t>
            </w:r>
          </w:p>
        </w:tc>
        <w:tc>
          <w:tcPr>
            <w:tcW w:w="1040" w:type="dxa"/>
            <w:tcBorders>
              <w:top w:val="single" w:color="000000" w:sz="4" w:space="0"/>
              <w:bottom w:val="single" w:color="000000" w:sz="4" w:space="0"/>
            </w:tcBorders>
          </w:tcPr>
          <w:p>
            <w:pPr>
              <w:widowControl/>
              <w:autoSpaceDE w:val="0"/>
              <w:autoSpaceDN w:val="0"/>
              <w:spacing w:before="0" w:after="0" w:line="240" w:lineRule="auto"/>
              <w:ind w:left="0" w:right="118" w:firstLine="0"/>
              <w:jc w:val="left"/>
            </w:pPr>
            <w:r>
              <w:rPr>
                <w:rFonts w:ascii="宋体" w:hAnsi="宋体" w:eastAsia="宋体"/>
                <w:b w:val="0"/>
                <w:i w:val="0"/>
                <w:color w:val="000000"/>
                <w:sz w:val="20"/>
              </w:rPr>
              <w:t xml:space="preserve">2.73 </w:t>
            </w:r>
          </w:p>
        </w:tc>
        <w:tc>
          <w:tcPr>
            <w:tcW w:w="1040" w:type="dxa"/>
            <w:tcBorders>
              <w:top w:val="single" w:color="000000" w:sz="4" w:space="0"/>
              <w:bottom w:val="single" w:color="000000" w:sz="4" w:space="0"/>
            </w:tcBorders>
          </w:tcPr>
          <w:p>
            <w:pPr>
              <w:widowControl/>
              <w:autoSpaceDE w:val="0"/>
              <w:autoSpaceDN w:val="0"/>
              <w:spacing w:before="0" w:after="0" w:line="240" w:lineRule="auto"/>
              <w:ind w:left="104" w:right="0" w:firstLine="0"/>
              <w:jc w:val="left"/>
            </w:pPr>
            <w:r>
              <w:rPr>
                <w:rFonts w:ascii="宋体" w:hAnsi="宋体" w:eastAsia="宋体"/>
                <w:b w:val="0"/>
                <w:i w:val="0"/>
                <w:color w:val="000000"/>
                <w:sz w:val="20"/>
              </w:rPr>
              <w:t>因疫情资</w:t>
            </w:r>
            <w:r>
              <w:br w:type="textWrapping"/>
            </w:r>
            <w:r>
              <w:rPr>
                <w:rFonts w:ascii="宋体" w:hAnsi="宋体" w:eastAsia="宋体"/>
                <w:b w:val="0"/>
                <w:i w:val="0"/>
                <w:color w:val="000000"/>
                <w:sz w:val="20"/>
              </w:rPr>
              <w:t>金未支付</w:t>
            </w:r>
            <w:r>
              <w:br w:type="textWrapping"/>
            </w:r>
            <w:r>
              <w:rPr>
                <w:rFonts w:ascii="宋体" w:hAnsi="宋体" w:eastAsia="宋体"/>
                <w:b w:val="0"/>
                <w:i w:val="0"/>
                <w:color w:val="000000"/>
                <w:sz w:val="20"/>
              </w:rPr>
              <w:t>完，正在积极办理。</w:t>
            </w:r>
          </w:p>
          <w:p>
            <w:pPr>
              <w:widowControl/>
              <w:autoSpaceDE w:val="0"/>
              <w:autoSpaceDN w:val="0"/>
              <w:spacing w:before="0" w:after="0" w:line="240" w:lineRule="auto"/>
              <w:ind w:left="104" w:right="0" w:firstLine="0"/>
              <w:jc w:val="left"/>
            </w:pPr>
            <w:r>
              <w:rPr>
                <w:rFonts w:ascii="宋体" w:hAnsi="宋体" w:eastAsia="宋体"/>
                <w:b w:val="0"/>
                <w:i w:val="0"/>
                <w:color w:val="000000"/>
                <w:sz w:val="20"/>
              </w:rPr>
              <w:t>2023 年将</w:t>
            </w:r>
            <w:r>
              <w:br w:type="textWrapping"/>
            </w:r>
            <w:r>
              <w:rPr>
                <w:rFonts w:ascii="宋体" w:hAnsi="宋体" w:eastAsia="宋体"/>
                <w:b w:val="0"/>
                <w:i w:val="0"/>
                <w:color w:val="000000"/>
                <w:sz w:val="20"/>
              </w:rPr>
              <w:t>明确分工，提高效率，加快支付</w:t>
            </w:r>
            <w:r>
              <w:br w:type="textWrapping"/>
            </w:r>
            <w:r>
              <w:rPr>
                <w:rFonts w:ascii="宋体" w:hAnsi="宋体" w:eastAsia="宋体"/>
                <w:b w:val="0"/>
                <w:i w:val="0"/>
                <w:color w:val="000000"/>
                <w:sz w:val="20"/>
              </w:rPr>
              <w:t xml:space="preserve">速度，避免类似情况。 </w:t>
            </w:r>
          </w:p>
        </w:tc>
      </w:tr>
      <w:tr>
        <w:tblPrEx>
          <w:tblLayout w:type="fixed"/>
          <w:tblCellMar>
            <w:top w:w="0" w:type="dxa"/>
            <w:left w:w="108" w:type="dxa"/>
            <w:bottom w:w="0" w:type="dxa"/>
            <w:right w:w="108" w:type="dxa"/>
          </w:tblCellMar>
        </w:tblPrEx>
        <w:trPr>
          <w:trHeight w:val="1570" w:hRule="exact"/>
        </w:trPr>
        <w:tc>
          <w:tcPr>
            <w:tcW w:w="1040" w:type="dxa"/>
            <w:vMerge w:val="continue"/>
            <w:tcBorders>
              <w:top w:val="single" w:color="000000" w:sz="2" w:space="0"/>
              <w:bottom w:val="single" w:color="000000" w:sz="4" w:space="0"/>
            </w:tcBorders>
          </w:tcPr>
          <w:p/>
        </w:tc>
        <w:tc>
          <w:tcPr>
            <w:tcW w:w="1040" w:type="dxa"/>
            <w:vMerge w:val="restart"/>
            <w:tcBorders>
              <w:top w:val="single" w:color="000000" w:sz="4" w:space="0"/>
              <w:bottom w:val="single" w:color="000000" w:sz="4" w:space="0"/>
            </w:tcBorders>
          </w:tcPr>
          <w:p>
            <w:pPr>
              <w:widowControl/>
              <w:autoSpaceDE w:val="0"/>
              <w:autoSpaceDN w:val="0"/>
              <w:spacing w:before="0" w:after="0" w:line="240" w:lineRule="auto"/>
              <w:ind w:left="192" w:right="92" w:firstLine="0"/>
              <w:jc w:val="left"/>
            </w:pPr>
            <w:r>
              <w:rPr>
                <w:rFonts w:ascii="宋体" w:hAnsi="宋体" w:eastAsia="宋体"/>
                <w:b w:val="0"/>
                <w:i w:val="0"/>
                <w:color w:val="000000"/>
                <w:sz w:val="20"/>
              </w:rPr>
              <w:t>效</w:t>
            </w:r>
            <w:r>
              <w:br w:type="textWrapping"/>
            </w:r>
            <w:r>
              <w:rPr>
                <w:rFonts w:ascii="宋体" w:hAnsi="宋体" w:eastAsia="宋体"/>
                <w:b w:val="0"/>
                <w:i w:val="0"/>
                <w:color w:val="000000"/>
                <w:sz w:val="20"/>
              </w:rPr>
              <w:t>益</w:t>
            </w:r>
            <w:r>
              <w:br w:type="textWrapping"/>
            </w:r>
            <w:r>
              <w:rPr>
                <w:rFonts w:ascii="宋体" w:hAnsi="宋体" w:eastAsia="宋体"/>
                <w:b w:val="0"/>
                <w:i w:val="0"/>
                <w:color w:val="000000"/>
                <w:sz w:val="20"/>
              </w:rPr>
              <w:t>指</w:t>
            </w:r>
            <w:r>
              <w:br w:type="textWrapping"/>
            </w:r>
            <w:r>
              <w:rPr>
                <w:rFonts w:ascii="宋体" w:hAnsi="宋体" w:eastAsia="宋体"/>
                <w:b w:val="0"/>
                <w:i w:val="0"/>
                <w:color w:val="000000"/>
                <w:sz w:val="20"/>
              </w:rPr>
              <w:t xml:space="preserve">标 </w:t>
            </w:r>
          </w:p>
        </w:tc>
        <w:tc>
          <w:tcPr>
            <w:tcW w:w="1040" w:type="dxa"/>
            <w:tcBorders>
              <w:top w:val="single" w:color="000000" w:sz="4" w:space="0"/>
              <w:bottom w:val="single" w:color="000000" w:sz="4" w:space="0"/>
            </w:tcBorders>
          </w:tcPr>
          <w:p>
            <w:pPr>
              <w:widowControl/>
              <w:autoSpaceDE w:val="0"/>
              <w:autoSpaceDN w:val="0"/>
              <w:spacing w:before="0" w:after="0" w:line="240" w:lineRule="auto"/>
              <w:ind w:left="202" w:right="100" w:firstLine="0"/>
              <w:jc w:val="left"/>
            </w:pPr>
            <w:r>
              <w:rPr>
                <w:rFonts w:ascii="宋体" w:hAnsi="宋体" w:eastAsia="宋体"/>
                <w:b w:val="0"/>
                <w:i w:val="0"/>
                <w:color w:val="000000"/>
                <w:sz w:val="20"/>
              </w:rPr>
              <w:t>经</w:t>
            </w:r>
            <w:r>
              <w:br w:type="textWrapping"/>
            </w:r>
            <w:r>
              <w:rPr>
                <w:rFonts w:ascii="宋体" w:hAnsi="宋体" w:eastAsia="宋体"/>
                <w:b w:val="0"/>
                <w:i w:val="0"/>
                <w:color w:val="000000"/>
                <w:sz w:val="20"/>
              </w:rPr>
              <w:t>济</w:t>
            </w:r>
            <w:r>
              <w:br w:type="textWrapping"/>
            </w:r>
            <w:r>
              <w:rPr>
                <w:rFonts w:ascii="宋体" w:hAnsi="宋体" w:eastAsia="宋体"/>
                <w:b w:val="0"/>
                <w:i w:val="0"/>
                <w:color w:val="000000"/>
                <w:sz w:val="20"/>
              </w:rPr>
              <w:t>效</w:t>
            </w:r>
            <w:r>
              <w:br w:type="textWrapping"/>
            </w:r>
            <w:r>
              <w:rPr>
                <w:rFonts w:ascii="宋体" w:hAnsi="宋体" w:eastAsia="宋体"/>
                <w:b w:val="0"/>
                <w:i w:val="0"/>
                <w:color w:val="000000"/>
                <w:sz w:val="20"/>
              </w:rPr>
              <w:t>益</w:t>
            </w:r>
            <w:r>
              <w:br w:type="textWrapping"/>
            </w:r>
            <w:r>
              <w:rPr>
                <w:rFonts w:ascii="宋体" w:hAnsi="宋体" w:eastAsia="宋体"/>
                <w:b w:val="0"/>
                <w:i w:val="0"/>
                <w:color w:val="000000"/>
                <w:sz w:val="20"/>
              </w:rPr>
              <w:t>指</w:t>
            </w:r>
            <w:r>
              <w:br w:type="textWrapping"/>
            </w:r>
            <w:r>
              <w:rPr>
                <w:rFonts w:ascii="宋体" w:hAnsi="宋体" w:eastAsia="宋体"/>
                <w:b w:val="0"/>
                <w:i w:val="0"/>
                <w:color w:val="000000"/>
                <w:sz w:val="20"/>
              </w:rPr>
              <w:t xml:space="preserve">标 </w:t>
            </w:r>
          </w:p>
        </w:tc>
        <w:tc>
          <w:tcPr>
            <w:tcW w:w="1040" w:type="dxa"/>
            <w:tcBorders>
              <w:top w:val="single" w:color="000000" w:sz="4" w:space="0"/>
              <w:bottom w:val="single" w:color="000000" w:sz="4" w:space="0"/>
            </w:tcBorders>
          </w:tcPr>
          <w:p/>
        </w:tc>
        <w:tc>
          <w:tcPr>
            <w:tcW w:w="1040" w:type="dxa"/>
            <w:tcBorders>
              <w:top w:val="single" w:color="000000" w:sz="4" w:space="0"/>
              <w:bottom w:val="single" w:color="000000" w:sz="4" w:space="0"/>
            </w:tcBorders>
          </w:tcPr>
          <w:p/>
        </w:tc>
        <w:tc>
          <w:tcPr>
            <w:tcW w:w="1040" w:type="dxa"/>
            <w:tcBorders>
              <w:top w:val="single" w:color="000000" w:sz="4" w:space="0"/>
              <w:bottom w:val="single" w:color="000000" w:sz="4" w:space="0"/>
            </w:tcBorders>
          </w:tcPr>
          <w:p/>
        </w:tc>
        <w:tc>
          <w:tcPr>
            <w:tcW w:w="1040" w:type="dxa"/>
            <w:tcBorders>
              <w:top w:val="single" w:color="000000" w:sz="4" w:space="0"/>
              <w:bottom w:val="single" w:color="000000" w:sz="4" w:space="0"/>
            </w:tcBorders>
          </w:tcPr>
          <w:p/>
        </w:tc>
        <w:tc>
          <w:tcPr>
            <w:tcW w:w="1040" w:type="dxa"/>
            <w:tcBorders>
              <w:top w:val="single" w:color="000000" w:sz="4" w:space="0"/>
              <w:bottom w:val="single" w:color="000000" w:sz="4" w:space="0"/>
            </w:tcBorders>
          </w:tcPr>
          <w:p/>
        </w:tc>
        <w:tc>
          <w:tcPr>
            <w:tcW w:w="1040" w:type="dxa"/>
            <w:tcBorders>
              <w:top w:val="single" w:color="000000" w:sz="4" w:space="0"/>
              <w:bottom w:val="single" w:color="000000" w:sz="4" w:space="0"/>
            </w:tcBorders>
          </w:tcPr>
          <w:p/>
        </w:tc>
      </w:tr>
      <w:tr>
        <w:tblPrEx>
          <w:tblLayout w:type="fixed"/>
          <w:tblCellMar>
            <w:top w:w="0" w:type="dxa"/>
            <w:left w:w="108" w:type="dxa"/>
            <w:bottom w:w="0" w:type="dxa"/>
            <w:right w:w="108" w:type="dxa"/>
          </w:tblCellMar>
        </w:tblPrEx>
        <w:trPr>
          <w:trHeight w:val="1570" w:hRule="exact"/>
        </w:trPr>
        <w:tc>
          <w:tcPr>
            <w:tcW w:w="1040" w:type="dxa"/>
            <w:vMerge w:val="continue"/>
            <w:tcBorders>
              <w:top w:val="single" w:color="000000" w:sz="2" w:space="0"/>
              <w:bottom w:val="single" w:color="000000" w:sz="4" w:space="0"/>
            </w:tcBorders>
          </w:tcPr>
          <w:p/>
        </w:tc>
        <w:tc>
          <w:tcPr>
            <w:tcW w:w="1040" w:type="dxa"/>
            <w:vMerge w:val="continue"/>
            <w:tcBorders>
              <w:top w:val="single" w:color="000000" w:sz="4" w:space="0"/>
              <w:bottom w:val="single" w:color="000000" w:sz="4" w:space="0"/>
            </w:tcBorders>
          </w:tcPr>
          <w:p/>
        </w:tc>
        <w:tc>
          <w:tcPr>
            <w:tcW w:w="1040" w:type="dxa"/>
            <w:tcBorders>
              <w:top w:val="single" w:color="000000" w:sz="4" w:space="0"/>
              <w:bottom w:val="single" w:color="000000" w:sz="4" w:space="0"/>
            </w:tcBorders>
          </w:tcPr>
          <w:p>
            <w:pPr>
              <w:widowControl/>
              <w:autoSpaceDE w:val="0"/>
              <w:autoSpaceDN w:val="0"/>
              <w:spacing w:before="0" w:after="0" w:line="240" w:lineRule="auto"/>
              <w:ind w:left="202" w:right="100" w:firstLine="0"/>
              <w:jc w:val="left"/>
            </w:pPr>
            <w:r>
              <w:rPr>
                <w:rFonts w:ascii="宋体" w:hAnsi="宋体" w:eastAsia="宋体"/>
                <w:b w:val="0"/>
                <w:i w:val="0"/>
                <w:color w:val="000000"/>
                <w:sz w:val="20"/>
              </w:rPr>
              <w:t>社</w:t>
            </w:r>
            <w:r>
              <w:br w:type="textWrapping"/>
            </w:r>
            <w:r>
              <w:rPr>
                <w:rFonts w:ascii="宋体" w:hAnsi="宋体" w:eastAsia="宋体"/>
                <w:b w:val="0"/>
                <w:i w:val="0"/>
                <w:color w:val="000000"/>
                <w:sz w:val="20"/>
              </w:rPr>
              <w:t>会</w:t>
            </w:r>
            <w:r>
              <w:br w:type="textWrapping"/>
            </w:r>
            <w:r>
              <w:rPr>
                <w:rFonts w:ascii="宋体" w:hAnsi="宋体" w:eastAsia="宋体"/>
                <w:b w:val="0"/>
                <w:i w:val="0"/>
                <w:color w:val="000000"/>
                <w:sz w:val="20"/>
              </w:rPr>
              <w:t>效</w:t>
            </w:r>
            <w:r>
              <w:br w:type="textWrapping"/>
            </w:r>
            <w:r>
              <w:rPr>
                <w:rFonts w:ascii="宋体" w:hAnsi="宋体" w:eastAsia="宋体"/>
                <w:b w:val="0"/>
                <w:i w:val="0"/>
                <w:color w:val="000000"/>
                <w:sz w:val="20"/>
              </w:rPr>
              <w:t>益</w:t>
            </w:r>
            <w:r>
              <w:br w:type="textWrapping"/>
            </w:r>
            <w:r>
              <w:rPr>
                <w:rFonts w:ascii="宋体" w:hAnsi="宋体" w:eastAsia="宋体"/>
                <w:b w:val="0"/>
                <w:i w:val="0"/>
                <w:color w:val="000000"/>
                <w:sz w:val="20"/>
              </w:rPr>
              <w:t>指</w:t>
            </w:r>
            <w:r>
              <w:br w:type="textWrapping"/>
            </w:r>
            <w:r>
              <w:rPr>
                <w:rFonts w:ascii="宋体" w:hAnsi="宋体" w:eastAsia="宋体"/>
                <w:b w:val="0"/>
                <w:i w:val="0"/>
                <w:color w:val="000000"/>
                <w:sz w:val="20"/>
              </w:rPr>
              <w:t xml:space="preserve">标 </w:t>
            </w:r>
          </w:p>
        </w:tc>
        <w:tc>
          <w:tcPr>
            <w:tcW w:w="1040" w:type="dxa"/>
            <w:tcBorders>
              <w:top w:val="single" w:color="000000" w:sz="4" w:space="0"/>
              <w:bottom w:val="single" w:color="000000" w:sz="4" w:space="0"/>
            </w:tcBorders>
          </w:tcPr>
          <w:p>
            <w:pPr>
              <w:widowControl/>
              <w:autoSpaceDE w:val="0"/>
              <w:autoSpaceDN w:val="0"/>
              <w:spacing w:before="0" w:after="0" w:line="240" w:lineRule="auto"/>
              <w:ind w:left="102" w:right="0" w:firstLine="0"/>
              <w:jc w:val="left"/>
            </w:pPr>
            <w:r>
              <w:rPr>
                <w:rFonts w:ascii="宋体" w:hAnsi="宋体" w:eastAsia="宋体"/>
                <w:b w:val="0"/>
                <w:i w:val="0"/>
                <w:color w:val="000000"/>
                <w:sz w:val="20"/>
              </w:rPr>
              <w:t xml:space="preserve">改善居民休闲环境 </w:t>
            </w:r>
          </w:p>
        </w:tc>
        <w:tc>
          <w:tcPr>
            <w:tcW w:w="1040" w:type="dxa"/>
            <w:tcBorders>
              <w:top w:val="single" w:color="000000" w:sz="4" w:space="0"/>
              <w:bottom w:val="single" w:color="000000" w:sz="4" w:space="0"/>
            </w:tcBorders>
          </w:tcPr>
          <w:p>
            <w:pPr>
              <w:widowControl/>
              <w:tabs>
                <w:tab w:val="left" w:pos="306"/>
              </w:tabs>
              <w:autoSpaceDE w:val="0"/>
              <w:autoSpaceDN w:val="0"/>
              <w:spacing w:before="0" w:after="0" w:line="240" w:lineRule="auto"/>
              <w:ind w:left="106" w:right="0" w:firstLine="0"/>
              <w:jc w:val="left"/>
            </w:pPr>
            <w:r>
              <w:rPr>
                <w:rFonts w:ascii="宋体" w:hAnsi="宋体" w:eastAsia="宋体"/>
                <w:b w:val="0"/>
                <w:i w:val="0"/>
                <w:color w:val="000000"/>
                <w:sz w:val="20"/>
              </w:rPr>
              <w:t>有效改</w:t>
            </w:r>
            <w:r>
              <w:tab/>
            </w:r>
            <w:r>
              <w:rPr>
                <w:rFonts w:ascii="宋体" w:hAnsi="宋体" w:eastAsia="宋体"/>
                <w:b w:val="0"/>
                <w:i w:val="0"/>
                <w:color w:val="000000"/>
                <w:sz w:val="20"/>
              </w:rPr>
              <w:t xml:space="preserve">善 </w:t>
            </w:r>
          </w:p>
        </w:tc>
        <w:tc>
          <w:tcPr>
            <w:tcW w:w="1040" w:type="dxa"/>
            <w:tcBorders>
              <w:top w:val="single" w:color="000000" w:sz="4" w:space="0"/>
              <w:bottom w:val="single" w:color="000000" w:sz="4" w:space="0"/>
            </w:tcBorders>
          </w:tcPr>
          <w:p>
            <w:pPr>
              <w:widowControl/>
              <w:tabs>
                <w:tab w:val="left" w:pos="302"/>
              </w:tabs>
              <w:autoSpaceDE w:val="0"/>
              <w:autoSpaceDN w:val="0"/>
              <w:spacing w:before="0" w:after="0" w:line="240" w:lineRule="auto"/>
              <w:ind w:left="102" w:right="0" w:firstLine="0"/>
              <w:jc w:val="left"/>
            </w:pPr>
            <w:r>
              <w:rPr>
                <w:rFonts w:ascii="宋体" w:hAnsi="宋体" w:eastAsia="宋体"/>
                <w:b w:val="0"/>
                <w:i w:val="0"/>
                <w:color w:val="000000"/>
                <w:sz w:val="20"/>
              </w:rPr>
              <w:t>有效改</w:t>
            </w:r>
            <w:r>
              <w:tab/>
            </w:r>
            <w:r>
              <w:rPr>
                <w:rFonts w:ascii="宋体" w:hAnsi="宋体" w:eastAsia="宋体"/>
                <w:b w:val="0"/>
                <w:i w:val="0"/>
                <w:color w:val="000000"/>
                <w:sz w:val="20"/>
              </w:rPr>
              <w:t xml:space="preserve">善 </w:t>
            </w:r>
          </w:p>
        </w:tc>
        <w:tc>
          <w:tcPr>
            <w:tcW w:w="1040" w:type="dxa"/>
            <w:tcBorders>
              <w:top w:val="single" w:color="000000" w:sz="4" w:space="0"/>
              <w:bottom w:val="single" w:color="000000" w:sz="4" w:space="0"/>
            </w:tcBorders>
          </w:tcPr>
          <w:p>
            <w:pPr>
              <w:widowControl/>
              <w:autoSpaceDE w:val="0"/>
              <w:autoSpaceDN w:val="0"/>
              <w:spacing w:before="0" w:after="0" w:line="240" w:lineRule="auto"/>
              <w:ind w:left="0" w:right="164" w:firstLine="0"/>
              <w:jc w:val="left"/>
            </w:pPr>
            <w:r>
              <w:rPr>
                <w:rFonts w:ascii="宋体" w:hAnsi="宋体" w:eastAsia="宋体"/>
                <w:b w:val="0"/>
                <w:i w:val="0"/>
                <w:color w:val="000000"/>
                <w:sz w:val="20"/>
              </w:rPr>
              <w:t xml:space="preserve">15 </w:t>
            </w:r>
          </w:p>
        </w:tc>
        <w:tc>
          <w:tcPr>
            <w:tcW w:w="1040" w:type="dxa"/>
            <w:tcBorders>
              <w:top w:val="single" w:color="000000" w:sz="4" w:space="0"/>
              <w:bottom w:val="single" w:color="000000" w:sz="4" w:space="0"/>
            </w:tcBorders>
          </w:tcPr>
          <w:p>
            <w:pPr>
              <w:widowControl/>
              <w:autoSpaceDE w:val="0"/>
              <w:autoSpaceDN w:val="0"/>
              <w:spacing w:before="0" w:after="0" w:line="240" w:lineRule="auto"/>
              <w:ind w:left="0" w:right="220" w:firstLine="0"/>
              <w:jc w:val="left"/>
            </w:pPr>
            <w:r>
              <w:rPr>
                <w:rFonts w:ascii="宋体" w:hAnsi="宋体" w:eastAsia="宋体"/>
                <w:b w:val="0"/>
                <w:i w:val="0"/>
                <w:color w:val="000000"/>
                <w:sz w:val="20"/>
              </w:rPr>
              <w:t xml:space="preserve">15 </w:t>
            </w:r>
          </w:p>
        </w:tc>
        <w:tc>
          <w:tcPr>
            <w:tcW w:w="1040" w:type="dxa"/>
            <w:tcBorders>
              <w:top w:val="single" w:color="000000" w:sz="4" w:space="0"/>
              <w:bottom w:val="single" w:color="000000" w:sz="4" w:space="0"/>
            </w:tcBorders>
          </w:tcPr>
          <w:p/>
        </w:tc>
      </w:tr>
      <w:tr>
        <w:tblPrEx>
          <w:tblLayout w:type="fixed"/>
          <w:tblCellMar>
            <w:top w:w="0" w:type="dxa"/>
            <w:left w:w="108" w:type="dxa"/>
            <w:bottom w:w="0" w:type="dxa"/>
            <w:right w:w="108" w:type="dxa"/>
          </w:tblCellMar>
        </w:tblPrEx>
        <w:trPr>
          <w:trHeight w:val="1550" w:hRule="exact"/>
        </w:trPr>
        <w:tc>
          <w:tcPr>
            <w:tcW w:w="1040" w:type="dxa"/>
            <w:vMerge w:val="continue"/>
            <w:tcBorders>
              <w:top w:val="single" w:color="000000" w:sz="2" w:space="0"/>
              <w:bottom w:val="single" w:color="000000" w:sz="4" w:space="0"/>
            </w:tcBorders>
          </w:tcPr>
          <w:p/>
        </w:tc>
        <w:tc>
          <w:tcPr>
            <w:tcW w:w="1040" w:type="dxa"/>
            <w:vMerge w:val="continue"/>
            <w:tcBorders>
              <w:top w:val="single" w:color="000000" w:sz="4" w:space="0"/>
              <w:bottom w:val="single" w:color="000000" w:sz="4" w:space="0"/>
            </w:tcBorders>
          </w:tcPr>
          <w:p/>
        </w:tc>
        <w:tc>
          <w:tcPr>
            <w:tcW w:w="1040" w:type="dxa"/>
            <w:tcBorders>
              <w:top w:val="single" w:color="000000" w:sz="4" w:space="0"/>
              <w:bottom w:val="single" w:color="000000" w:sz="4" w:space="0"/>
            </w:tcBorders>
          </w:tcPr>
          <w:p>
            <w:pPr>
              <w:widowControl/>
              <w:autoSpaceDE w:val="0"/>
              <w:autoSpaceDN w:val="0"/>
              <w:spacing w:before="0" w:after="0" w:line="240" w:lineRule="auto"/>
              <w:ind w:left="202" w:right="100" w:firstLine="0"/>
              <w:jc w:val="left"/>
            </w:pPr>
            <w:r>
              <w:rPr>
                <w:rFonts w:ascii="宋体" w:hAnsi="宋体" w:eastAsia="宋体"/>
                <w:b w:val="0"/>
                <w:i w:val="0"/>
                <w:color w:val="000000"/>
                <w:sz w:val="20"/>
              </w:rPr>
              <w:t>生</w:t>
            </w:r>
            <w:r>
              <w:br w:type="textWrapping"/>
            </w:r>
            <w:r>
              <w:rPr>
                <w:rFonts w:ascii="宋体" w:hAnsi="宋体" w:eastAsia="宋体"/>
                <w:b w:val="0"/>
                <w:i w:val="0"/>
                <w:color w:val="000000"/>
                <w:sz w:val="20"/>
              </w:rPr>
              <w:t>态</w:t>
            </w:r>
            <w:r>
              <w:br w:type="textWrapping"/>
            </w:r>
            <w:r>
              <w:rPr>
                <w:rFonts w:ascii="宋体" w:hAnsi="宋体" w:eastAsia="宋体"/>
                <w:b w:val="0"/>
                <w:i w:val="0"/>
                <w:color w:val="000000"/>
                <w:sz w:val="20"/>
              </w:rPr>
              <w:t>效</w:t>
            </w:r>
            <w:r>
              <w:br w:type="textWrapping"/>
            </w:r>
            <w:r>
              <w:rPr>
                <w:rFonts w:ascii="宋体" w:hAnsi="宋体" w:eastAsia="宋体"/>
                <w:b w:val="0"/>
                <w:i w:val="0"/>
                <w:color w:val="000000"/>
                <w:sz w:val="20"/>
              </w:rPr>
              <w:t>益</w:t>
            </w:r>
            <w:r>
              <w:br w:type="textWrapping"/>
            </w:r>
            <w:r>
              <w:rPr>
                <w:rFonts w:ascii="宋体" w:hAnsi="宋体" w:eastAsia="宋体"/>
                <w:b w:val="0"/>
                <w:i w:val="0"/>
                <w:color w:val="000000"/>
                <w:sz w:val="20"/>
              </w:rPr>
              <w:t>指</w:t>
            </w:r>
            <w:r>
              <w:br w:type="textWrapping"/>
            </w:r>
            <w:r>
              <w:rPr>
                <w:rFonts w:ascii="宋体" w:hAnsi="宋体" w:eastAsia="宋体"/>
                <w:b w:val="0"/>
                <w:i w:val="0"/>
                <w:color w:val="000000"/>
                <w:sz w:val="20"/>
              </w:rPr>
              <w:t xml:space="preserve">标 </w:t>
            </w:r>
          </w:p>
        </w:tc>
        <w:tc>
          <w:tcPr>
            <w:tcW w:w="1040" w:type="dxa"/>
            <w:tcBorders>
              <w:top w:val="single" w:color="000000" w:sz="4" w:space="0"/>
              <w:bottom w:val="single" w:color="000000" w:sz="4" w:space="0"/>
            </w:tcBorders>
          </w:tcPr>
          <w:p/>
        </w:tc>
        <w:tc>
          <w:tcPr>
            <w:tcW w:w="1040" w:type="dxa"/>
            <w:tcBorders>
              <w:top w:val="single" w:color="000000" w:sz="4" w:space="0"/>
              <w:bottom w:val="single" w:color="000000" w:sz="4" w:space="0"/>
            </w:tcBorders>
          </w:tcPr>
          <w:p/>
        </w:tc>
        <w:tc>
          <w:tcPr>
            <w:tcW w:w="1040" w:type="dxa"/>
            <w:tcBorders>
              <w:top w:val="single" w:color="000000" w:sz="4" w:space="0"/>
              <w:bottom w:val="single" w:color="000000" w:sz="4" w:space="0"/>
            </w:tcBorders>
          </w:tcPr>
          <w:p/>
        </w:tc>
        <w:tc>
          <w:tcPr>
            <w:tcW w:w="1040" w:type="dxa"/>
            <w:tcBorders>
              <w:top w:val="single" w:color="000000" w:sz="4" w:space="0"/>
              <w:bottom w:val="single" w:color="000000" w:sz="4" w:space="0"/>
            </w:tcBorders>
          </w:tcPr>
          <w:p/>
        </w:tc>
        <w:tc>
          <w:tcPr>
            <w:tcW w:w="1040" w:type="dxa"/>
            <w:tcBorders>
              <w:top w:val="single" w:color="000000" w:sz="4" w:space="0"/>
              <w:bottom w:val="single" w:color="000000" w:sz="4" w:space="0"/>
            </w:tcBorders>
          </w:tcPr>
          <w:p/>
        </w:tc>
        <w:tc>
          <w:tcPr>
            <w:tcW w:w="1040" w:type="dxa"/>
            <w:tcBorders>
              <w:top w:val="single" w:color="000000" w:sz="4" w:space="0"/>
              <w:bottom w:val="single" w:color="000000" w:sz="4" w:space="0"/>
            </w:tcBorders>
          </w:tcPr>
          <w:p/>
        </w:tc>
      </w:tr>
    </w:tbl>
    <w:p>
      <w:pPr>
        <w:widowControl/>
        <w:autoSpaceDE w:val="0"/>
        <w:autoSpaceDN w:val="0"/>
        <w:spacing w:before="0" w:after="0" w:line="14" w:lineRule="exact"/>
        <w:ind w:left="0" w:right="0"/>
      </w:pPr>
    </w:p>
    <w:p>
      <w:pPr>
        <w:sectPr>
          <w:pgSz w:w="12240" w:h="15840"/>
          <w:pgMar w:top="720" w:right="1440" w:bottom="980" w:left="1440" w:header="720" w:footer="720" w:gutter="0"/>
          <w:cols w:space="720" w:num="1"/>
          <w:docGrid w:linePitch="360" w:charSpace="0"/>
        </w:sectPr>
      </w:pPr>
    </w:p>
    <w:p>
      <w:pPr>
        <w:widowControl/>
        <w:autoSpaceDE w:val="0"/>
        <w:autoSpaceDN w:val="0"/>
        <w:spacing w:before="0" w:after="500" w:line="220" w:lineRule="exact"/>
        <w:ind w:left="0" w:right="0"/>
      </w:pPr>
    </w:p>
    <w:tbl>
      <w:tblPr>
        <w:tblStyle w:val="35"/>
        <w:tblW w:w="9360" w:type="dxa"/>
        <w:tblInd w:w="254" w:type="dxa"/>
        <w:tblLayout w:type="fixed"/>
        <w:tblCellMar>
          <w:top w:w="0" w:type="dxa"/>
          <w:left w:w="108" w:type="dxa"/>
          <w:bottom w:w="0" w:type="dxa"/>
          <w:right w:w="108" w:type="dxa"/>
        </w:tblCellMar>
      </w:tblPr>
      <w:tblGrid>
        <w:gridCol w:w="1040"/>
        <w:gridCol w:w="1040"/>
        <w:gridCol w:w="1040"/>
        <w:gridCol w:w="1040"/>
        <w:gridCol w:w="1040"/>
        <w:gridCol w:w="1040"/>
        <w:gridCol w:w="1040"/>
        <w:gridCol w:w="1040"/>
        <w:gridCol w:w="1040"/>
      </w:tblGrid>
      <w:tr>
        <w:tblPrEx>
          <w:tblLayout w:type="fixed"/>
          <w:tblCellMar>
            <w:top w:w="0" w:type="dxa"/>
            <w:left w:w="108" w:type="dxa"/>
            <w:bottom w:w="0" w:type="dxa"/>
            <w:right w:w="108" w:type="dxa"/>
          </w:tblCellMar>
        </w:tblPrEx>
        <w:trPr>
          <w:trHeight w:val="1832" w:hRule="exact"/>
        </w:trPr>
        <w:tc>
          <w:tcPr>
            <w:tcW w:w="1040" w:type="dxa"/>
            <w:vMerge w:val="restart"/>
            <w:tcBorders>
              <w:top w:val="single" w:color="000000" w:sz="4" w:space="0"/>
              <w:bottom w:val="single" w:color="000000" w:sz="4" w:space="0"/>
            </w:tcBorders>
          </w:tcPr>
          <w:p/>
        </w:tc>
        <w:tc>
          <w:tcPr>
            <w:tcW w:w="1040" w:type="dxa"/>
            <w:tcBorders>
              <w:top w:val="single" w:color="000000" w:sz="4" w:space="0"/>
              <w:bottom w:val="single" w:color="000000" w:sz="4" w:space="0"/>
            </w:tcBorders>
          </w:tcPr>
          <w:p/>
        </w:tc>
        <w:tc>
          <w:tcPr>
            <w:tcW w:w="1040" w:type="dxa"/>
            <w:tcBorders>
              <w:top w:val="single" w:color="000000" w:sz="4" w:space="0"/>
              <w:bottom w:val="single" w:color="000000" w:sz="4" w:space="0"/>
            </w:tcBorders>
          </w:tcPr>
          <w:p>
            <w:pPr>
              <w:widowControl/>
              <w:autoSpaceDE w:val="0"/>
              <w:autoSpaceDN w:val="0"/>
              <w:spacing w:before="0" w:after="0" w:line="240" w:lineRule="auto"/>
              <w:ind w:left="202" w:right="100" w:firstLine="0"/>
              <w:jc w:val="left"/>
            </w:pPr>
            <w:r>
              <w:rPr>
                <w:rFonts w:ascii="宋体" w:hAnsi="宋体" w:eastAsia="宋体"/>
                <w:b w:val="0"/>
                <w:i w:val="0"/>
                <w:color w:val="000000"/>
                <w:sz w:val="20"/>
              </w:rPr>
              <w:t>可</w:t>
            </w:r>
            <w:r>
              <w:br w:type="textWrapping"/>
            </w:r>
            <w:r>
              <w:rPr>
                <w:rFonts w:ascii="宋体" w:hAnsi="宋体" w:eastAsia="宋体"/>
                <w:b w:val="0"/>
                <w:i w:val="0"/>
                <w:color w:val="000000"/>
                <w:sz w:val="20"/>
              </w:rPr>
              <w:t>持</w:t>
            </w:r>
            <w:r>
              <w:br w:type="textWrapping"/>
            </w:r>
            <w:r>
              <w:rPr>
                <w:rFonts w:ascii="宋体" w:hAnsi="宋体" w:eastAsia="宋体"/>
                <w:b w:val="0"/>
                <w:i w:val="0"/>
                <w:color w:val="000000"/>
                <w:sz w:val="20"/>
              </w:rPr>
              <w:t>续</w:t>
            </w:r>
            <w:r>
              <w:br w:type="textWrapping"/>
            </w:r>
            <w:r>
              <w:rPr>
                <w:rFonts w:ascii="宋体" w:hAnsi="宋体" w:eastAsia="宋体"/>
                <w:b w:val="0"/>
                <w:i w:val="0"/>
                <w:color w:val="000000"/>
                <w:sz w:val="20"/>
              </w:rPr>
              <w:t>影</w:t>
            </w:r>
            <w:r>
              <w:br w:type="textWrapping"/>
            </w:r>
            <w:r>
              <w:rPr>
                <w:rFonts w:ascii="宋体" w:hAnsi="宋体" w:eastAsia="宋体"/>
                <w:b w:val="0"/>
                <w:i w:val="0"/>
                <w:color w:val="000000"/>
                <w:sz w:val="20"/>
              </w:rPr>
              <w:t>响</w:t>
            </w:r>
            <w:r>
              <w:br w:type="textWrapping"/>
            </w:r>
            <w:r>
              <w:rPr>
                <w:rFonts w:ascii="宋体" w:hAnsi="宋体" w:eastAsia="宋体"/>
                <w:b w:val="0"/>
                <w:i w:val="0"/>
                <w:color w:val="000000"/>
                <w:sz w:val="20"/>
              </w:rPr>
              <w:t>指</w:t>
            </w:r>
            <w:r>
              <w:br w:type="textWrapping"/>
            </w:r>
            <w:r>
              <w:rPr>
                <w:rFonts w:ascii="宋体" w:hAnsi="宋体" w:eastAsia="宋体"/>
                <w:b w:val="0"/>
                <w:i w:val="0"/>
                <w:color w:val="000000"/>
                <w:sz w:val="20"/>
              </w:rPr>
              <w:t xml:space="preserve">标 </w:t>
            </w:r>
          </w:p>
        </w:tc>
        <w:tc>
          <w:tcPr>
            <w:tcW w:w="1040" w:type="dxa"/>
            <w:tcBorders>
              <w:top w:val="single" w:color="000000" w:sz="4" w:space="0"/>
              <w:bottom w:val="single" w:color="000000" w:sz="4" w:space="0"/>
            </w:tcBorders>
          </w:tcPr>
          <w:p>
            <w:pPr>
              <w:widowControl/>
              <w:autoSpaceDE w:val="0"/>
              <w:autoSpaceDN w:val="0"/>
              <w:spacing w:before="0" w:after="0" w:line="240" w:lineRule="auto"/>
              <w:ind w:left="102" w:right="0" w:firstLine="0"/>
              <w:jc w:val="left"/>
            </w:pPr>
            <w:r>
              <w:rPr>
                <w:rFonts w:ascii="宋体" w:hAnsi="宋体" w:eastAsia="宋体"/>
                <w:b w:val="0"/>
                <w:i w:val="0"/>
                <w:color w:val="000000"/>
                <w:sz w:val="20"/>
              </w:rPr>
              <w:t xml:space="preserve">绿化常态化 </w:t>
            </w:r>
          </w:p>
        </w:tc>
        <w:tc>
          <w:tcPr>
            <w:tcW w:w="1040" w:type="dxa"/>
            <w:tcBorders>
              <w:top w:val="single" w:color="000000" w:sz="4" w:space="0"/>
              <w:bottom w:val="single" w:color="000000" w:sz="4" w:space="0"/>
            </w:tcBorders>
          </w:tcPr>
          <w:p>
            <w:pPr>
              <w:widowControl/>
              <w:autoSpaceDE w:val="0"/>
              <w:autoSpaceDN w:val="0"/>
              <w:spacing w:before="0" w:after="0" w:line="240" w:lineRule="auto"/>
              <w:ind w:left="0" w:right="104" w:firstLine="0"/>
              <w:jc w:val="left"/>
            </w:pPr>
            <w:r>
              <w:rPr>
                <w:rFonts w:ascii="宋体" w:hAnsi="宋体" w:eastAsia="宋体"/>
                <w:b w:val="0"/>
                <w:i w:val="0"/>
                <w:color w:val="000000"/>
                <w:sz w:val="20"/>
              </w:rPr>
              <w:t xml:space="preserve">长期 </w:t>
            </w:r>
          </w:p>
        </w:tc>
        <w:tc>
          <w:tcPr>
            <w:tcW w:w="1040" w:type="dxa"/>
            <w:tcBorders>
              <w:top w:val="single" w:color="000000" w:sz="4" w:space="0"/>
              <w:bottom w:val="single" w:color="000000" w:sz="4" w:space="0"/>
            </w:tcBorders>
          </w:tcPr>
          <w:p>
            <w:pPr>
              <w:widowControl/>
              <w:autoSpaceDE w:val="0"/>
              <w:autoSpaceDN w:val="0"/>
              <w:spacing w:before="0" w:after="0" w:line="240" w:lineRule="auto"/>
              <w:ind w:left="200" w:right="0" w:firstLine="0"/>
              <w:jc w:val="left"/>
            </w:pPr>
            <w:r>
              <w:rPr>
                <w:rFonts w:ascii="宋体" w:hAnsi="宋体" w:eastAsia="宋体"/>
                <w:b w:val="0"/>
                <w:i w:val="0"/>
                <w:color w:val="000000"/>
                <w:sz w:val="20"/>
              </w:rPr>
              <w:t xml:space="preserve">长期 </w:t>
            </w:r>
          </w:p>
        </w:tc>
        <w:tc>
          <w:tcPr>
            <w:tcW w:w="1040" w:type="dxa"/>
            <w:tcBorders>
              <w:top w:val="single" w:color="000000" w:sz="4" w:space="0"/>
              <w:bottom w:val="single" w:color="000000" w:sz="4" w:space="0"/>
            </w:tcBorders>
          </w:tcPr>
          <w:p>
            <w:pPr>
              <w:widowControl/>
              <w:autoSpaceDE w:val="0"/>
              <w:autoSpaceDN w:val="0"/>
              <w:spacing w:before="0" w:after="0" w:line="240" w:lineRule="auto"/>
              <w:ind w:left="0" w:right="164" w:firstLine="0"/>
              <w:jc w:val="left"/>
            </w:pPr>
            <w:r>
              <w:rPr>
                <w:rFonts w:ascii="宋体" w:hAnsi="宋体" w:eastAsia="宋体"/>
                <w:b w:val="0"/>
                <w:i w:val="0"/>
                <w:color w:val="000000"/>
                <w:sz w:val="20"/>
              </w:rPr>
              <w:t xml:space="preserve">15 </w:t>
            </w:r>
          </w:p>
        </w:tc>
        <w:tc>
          <w:tcPr>
            <w:tcW w:w="1040" w:type="dxa"/>
            <w:tcBorders>
              <w:top w:val="single" w:color="000000" w:sz="4" w:space="0"/>
              <w:bottom w:val="single" w:color="000000" w:sz="4" w:space="0"/>
            </w:tcBorders>
          </w:tcPr>
          <w:p>
            <w:pPr>
              <w:widowControl/>
              <w:autoSpaceDE w:val="0"/>
              <w:autoSpaceDN w:val="0"/>
              <w:spacing w:before="0" w:after="0" w:line="240" w:lineRule="auto"/>
              <w:ind w:left="0" w:right="220" w:firstLine="0"/>
              <w:jc w:val="left"/>
            </w:pPr>
            <w:r>
              <w:rPr>
                <w:rFonts w:ascii="宋体" w:hAnsi="宋体" w:eastAsia="宋体"/>
                <w:b w:val="0"/>
                <w:i w:val="0"/>
                <w:color w:val="000000"/>
                <w:sz w:val="20"/>
              </w:rPr>
              <w:t xml:space="preserve">15 </w:t>
            </w:r>
          </w:p>
        </w:tc>
        <w:tc>
          <w:tcPr>
            <w:tcW w:w="1040" w:type="dxa"/>
            <w:tcBorders>
              <w:top w:val="single" w:color="000000" w:sz="4" w:space="0"/>
              <w:bottom w:val="single" w:color="000000" w:sz="4" w:space="0"/>
            </w:tcBorders>
          </w:tcPr>
          <w:p/>
        </w:tc>
      </w:tr>
      <w:tr>
        <w:tblPrEx>
          <w:tblLayout w:type="fixed"/>
          <w:tblCellMar>
            <w:top w:w="0" w:type="dxa"/>
            <w:left w:w="108" w:type="dxa"/>
            <w:bottom w:w="0" w:type="dxa"/>
            <w:right w:w="108" w:type="dxa"/>
          </w:tblCellMar>
        </w:tblPrEx>
        <w:trPr>
          <w:trHeight w:val="1308" w:hRule="exact"/>
        </w:trPr>
        <w:tc>
          <w:tcPr>
            <w:tcW w:w="1040" w:type="dxa"/>
            <w:vMerge w:val="continue"/>
            <w:tcBorders>
              <w:top w:val="single" w:color="000000" w:sz="4" w:space="0"/>
              <w:bottom w:val="single" w:color="000000" w:sz="4" w:space="0"/>
            </w:tcBorders>
          </w:tcPr>
          <w:p/>
        </w:tc>
        <w:tc>
          <w:tcPr>
            <w:tcW w:w="1040" w:type="dxa"/>
            <w:tcBorders>
              <w:top w:val="single" w:color="000000" w:sz="4" w:space="0"/>
              <w:bottom w:val="single" w:color="000000" w:sz="4" w:space="0"/>
            </w:tcBorders>
          </w:tcPr>
          <w:p>
            <w:pPr>
              <w:widowControl/>
              <w:autoSpaceDE w:val="0"/>
              <w:autoSpaceDN w:val="0"/>
              <w:spacing w:before="0" w:after="0" w:line="240" w:lineRule="auto"/>
              <w:ind w:left="192" w:right="92" w:firstLine="0"/>
              <w:jc w:val="left"/>
            </w:pPr>
            <w:r>
              <w:rPr>
                <w:rFonts w:ascii="宋体" w:hAnsi="宋体" w:eastAsia="宋体"/>
                <w:b w:val="0"/>
                <w:i w:val="0"/>
                <w:color w:val="000000"/>
                <w:sz w:val="20"/>
              </w:rPr>
              <w:t>满</w:t>
            </w:r>
            <w:r>
              <w:br w:type="textWrapping"/>
            </w:r>
            <w:r>
              <w:rPr>
                <w:rFonts w:ascii="宋体" w:hAnsi="宋体" w:eastAsia="宋体"/>
                <w:b w:val="0"/>
                <w:i w:val="0"/>
                <w:color w:val="000000"/>
                <w:sz w:val="20"/>
              </w:rPr>
              <w:t>意</w:t>
            </w:r>
            <w:r>
              <w:br w:type="textWrapping"/>
            </w:r>
            <w:r>
              <w:rPr>
                <w:rFonts w:ascii="宋体" w:hAnsi="宋体" w:eastAsia="宋体"/>
                <w:b w:val="0"/>
                <w:i w:val="0"/>
                <w:color w:val="000000"/>
                <w:sz w:val="20"/>
              </w:rPr>
              <w:t>度</w:t>
            </w:r>
            <w:r>
              <w:br w:type="textWrapping"/>
            </w:r>
            <w:r>
              <w:rPr>
                <w:rFonts w:ascii="宋体" w:hAnsi="宋体" w:eastAsia="宋体"/>
                <w:b w:val="0"/>
                <w:i w:val="0"/>
                <w:color w:val="000000"/>
                <w:sz w:val="20"/>
              </w:rPr>
              <w:t>指</w:t>
            </w:r>
            <w:r>
              <w:br w:type="textWrapping"/>
            </w:r>
            <w:r>
              <w:rPr>
                <w:rFonts w:ascii="宋体" w:hAnsi="宋体" w:eastAsia="宋体"/>
                <w:b w:val="0"/>
                <w:i w:val="0"/>
                <w:color w:val="000000"/>
                <w:sz w:val="20"/>
              </w:rPr>
              <w:t xml:space="preserve">标 </w:t>
            </w:r>
          </w:p>
        </w:tc>
        <w:tc>
          <w:tcPr>
            <w:tcW w:w="1040" w:type="dxa"/>
            <w:tcBorders>
              <w:top w:val="single" w:color="000000" w:sz="4" w:space="0"/>
              <w:bottom w:val="single" w:color="000000" w:sz="4" w:space="0"/>
            </w:tcBorders>
          </w:tcPr>
          <w:p>
            <w:pPr>
              <w:widowControl/>
              <w:autoSpaceDE w:val="0"/>
              <w:autoSpaceDN w:val="0"/>
              <w:spacing w:before="0" w:after="0" w:line="240" w:lineRule="auto"/>
              <w:ind w:left="202" w:right="100" w:firstLine="0"/>
              <w:jc w:val="left"/>
            </w:pPr>
            <w:r>
              <w:rPr>
                <w:rFonts w:ascii="宋体" w:hAnsi="宋体" w:eastAsia="宋体"/>
                <w:b w:val="0"/>
                <w:i w:val="0"/>
                <w:color w:val="000000"/>
                <w:sz w:val="20"/>
              </w:rPr>
              <w:t>满</w:t>
            </w:r>
            <w:r>
              <w:br w:type="textWrapping"/>
            </w:r>
            <w:r>
              <w:rPr>
                <w:rFonts w:ascii="宋体" w:hAnsi="宋体" w:eastAsia="宋体"/>
                <w:b w:val="0"/>
                <w:i w:val="0"/>
                <w:color w:val="000000"/>
                <w:sz w:val="20"/>
              </w:rPr>
              <w:t>意</w:t>
            </w:r>
            <w:r>
              <w:br w:type="textWrapping"/>
            </w:r>
            <w:r>
              <w:rPr>
                <w:rFonts w:ascii="宋体" w:hAnsi="宋体" w:eastAsia="宋体"/>
                <w:b w:val="0"/>
                <w:i w:val="0"/>
                <w:color w:val="000000"/>
                <w:sz w:val="20"/>
              </w:rPr>
              <w:t>度</w:t>
            </w:r>
            <w:r>
              <w:br w:type="textWrapping"/>
            </w:r>
            <w:r>
              <w:rPr>
                <w:rFonts w:ascii="宋体" w:hAnsi="宋体" w:eastAsia="宋体"/>
                <w:b w:val="0"/>
                <w:i w:val="0"/>
                <w:color w:val="000000"/>
                <w:sz w:val="20"/>
              </w:rPr>
              <w:t>指</w:t>
            </w:r>
            <w:r>
              <w:br w:type="textWrapping"/>
            </w:r>
            <w:r>
              <w:rPr>
                <w:rFonts w:ascii="宋体" w:hAnsi="宋体" w:eastAsia="宋体"/>
                <w:b w:val="0"/>
                <w:i w:val="0"/>
                <w:color w:val="000000"/>
                <w:sz w:val="20"/>
              </w:rPr>
              <w:t xml:space="preserve">标 </w:t>
            </w:r>
          </w:p>
        </w:tc>
        <w:tc>
          <w:tcPr>
            <w:tcW w:w="1040" w:type="dxa"/>
            <w:tcBorders>
              <w:top w:val="single" w:color="000000" w:sz="4" w:space="0"/>
              <w:bottom w:val="single" w:color="000000" w:sz="4" w:space="0"/>
            </w:tcBorders>
          </w:tcPr>
          <w:p>
            <w:pPr>
              <w:widowControl/>
              <w:autoSpaceDE w:val="0"/>
              <w:autoSpaceDN w:val="0"/>
              <w:spacing w:before="0" w:after="0" w:line="240" w:lineRule="auto"/>
              <w:ind w:left="102" w:right="0" w:firstLine="0"/>
              <w:jc w:val="left"/>
            </w:pPr>
            <w:r>
              <w:rPr>
                <w:rFonts w:ascii="宋体" w:hAnsi="宋体" w:eastAsia="宋体"/>
                <w:b w:val="0"/>
                <w:i w:val="0"/>
                <w:color w:val="000000"/>
                <w:sz w:val="20"/>
              </w:rPr>
              <w:t xml:space="preserve">服务对象满意度 </w:t>
            </w:r>
          </w:p>
        </w:tc>
        <w:tc>
          <w:tcPr>
            <w:tcW w:w="1040" w:type="dxa"/>
            <w:tcBorders>
              <w:top w:val="single" w:color="000000" w:sz="4" w:space="0"/>
              <w:bottom w:val="single" w:color="000000" w:sz="4" w:space="0"/>
            </w:tcBorders>
          </w:tcPr>
          <w:p>
            <w:pPr>
              <w:widowControl/>
              <w:autoSpaceDE w:val="0"/>
              <w:autoSpaceDN w:val="0"/>
              <w:spacing w:before="0" w:after="0" w:line="240" w:lineRule="auto"/>
              <w:ind w:left="156" w:right="0" w:firstLine="0"/>
              <w:jc w:val="left"/>
            </w:pPr>
            <w:r>
              <w:rPr>
                <w:rFonts w:ascii="宋体" w:hAnsi="宋体" w:eastAsia="宋体"/>
                <w:b w:val="0"/>
                <w:i w:val="0"/>
                <w:color w:val="000000"/>
                <w:sz w:val="20"/>
              </w:rPr>
              <w:t xml:space="preserve">&gt;=93% </w:t>
            </w:r>
          </w:p>
        </w:tc>
        <w:tc>
          <w:tcPr>
            <w:tcW w:w="1040" w:type="dxa"/>
            <w:tcBorders>
              <w:top w:val="single" w:color="000000" w:sz="4" w:space="0"/>
              <w:bottom w:val="single" w:color="000000" w:sz="4" w:space="0"/>
            </w:tcBorders>
          </w:tcPr>
          <w:p>
            <w:pPr>
              <w:widowControl/>
              <w:autoSpaceDE w:val="0"/>
              <w:autoSpaceDN w:val="0"/>
              <w:spacing w:before="0" w:after="0" w:line="240" w:lineRule="auto"/>
              <w:ind w:left="0" w:right="156" w:firstLine="0"/>
              <w:jc w:val="left"/>
            </w:pPr>
            <w:r>
              <w:rPr>
                <w:rFonts w:ascii="宋体" w:hAnsi="宋体" w:eastAsia="宋体"/>
                <w:b w:val="0"/>
                <w:i w:val="0"/>
                <w:color w:val="000000"/>
                <w:sz w:val="20"/>
              </w:rPr>
              <w:t xml:space="preserve">93% </w:t>
            </w:r>
          </w:p>
        </w:tc>
        <w:tc>
          <w:tcPr>
            <w:tcW w:w="1040" w:type="dxa"/>
            <w:tcBorders>
              <w:top w:val="single" w:color="000000" w:sz="4" w:space="0"/>
              <w:bottom w:val="single" w:color="000000" w:sz="4" w:space="0"/>
            </w:tcBorders>
          </w:tcPr>
          <w:p>
            <w:pPr>
              <w:widowControl/>
              <w:autoSpaceDE w:val="0"/>
              <w:autoSpaceDN w:val="0"/>
              <w:spacing w:before="0" w:after="0" w:line="240" w:lineRule="auto"/>
              <w:ind w:left="0" w:right="164" w:firstLine="0"/>
              <w:jc w:val="left"/>
            </w:pPr>
            <w:r>
              <w:rPr>
                <w:rFonts w:ascii="宋体" w:hAnsi="宋体" w:eastAsia="宋体"/>
                <w:b w:val="0"/>
                <w:i w:val="0"/>
                <w:color w:val="000000"/>
                <w:sz w:val="20"/>
              </w:rPr>
              <w:t xml:space="preserve">10 </w:t>
            </w:r>
          </w:p>
        </w:tc>
        <w:tc>
          <w:tcPr>
            <w:tcW w:w="1040" w:type="dxa"/>
            <w:tcBorders>
              <w:top w:val="single" w:color="000000" w:sz="4" w:space="0"/>
              <w:bottom w:val="single" w:color="000000" w:sz="4" w:space="0"/>
            </w:tcBorders>
          </w:tcPr>
          <w:p>
            <w:pPr>
              <w:widowControl/>
              <w:autoSpaceDE w:val="0"/>
              <w:autoSpaceDN w:val="0"/>
              <w:spacing w:before="0" w:after="0" w:line="240" w:lineRule="auto"/>
              <w:ind w:left="0" w:right="220" w:firstLine="0"/>
              <w:jc w:val="left"/>
            </w:pPr>
            <w:r>
              <w:rPr>
                <w:rFonts w:ascii="宋体" w:hAnsi="宋体" w:eastAsia="宋体"/>
                <w:b w:val="0"/>
                <w:i w:val="0"/>
                <w:color w:val="000000"/>
                <w:sz w:val="20"/>
              </w:rPr>
              <w:t xml:space="preserve">10 </w:t>
            </w:r>
          </w:p>
        </w:tc>
        <w:tc>
          <w:tcPr>
            <w:tcW w:w="1040" w:type="dxa"/>
            <w:tcBorders>
              <w:top w:val="single" w:color="000000" w:sz="4" w:space="0"/>
              <w:bottom w:val="single" w:color="000000" w:sz="4" w:space="0"/>
            </w:tcBorders>
          </w:tcPr>
          <w:p/>
        </w:tc>
      </w:tr>
      <w:tr>
        <w:tblPrEx>
          <w:tblLayout w:type="fixed"/>
          <w:tblCellMar>
            <w:top w:w="0" w:type="dxa"/>
            <w:left w:w="108" w:type="dxa"/>
            <w:bottom w:w="0" w:type="dxa"/>
            <w:right w:w="108" w:type="dxa"/>
          </w:tblCellMar>
        </w:tblPrEx>
        <w:trPr>
          <w:trHeight w:val="532" w:hRule="exact"/>
        </w:trPr>
        <w:tc>
          <w:tcPr>
            <w:tcW w:w="6240" w:type="dxa"/>
            <w:gridSpan w:val="6"/>
            <w:tcBorders>
              <w:top w:val="single" w:color="000000" w:sz="4" w:space="0"/>
              <w:bottom w:val="single" w:color="000000" w:sz="4" w:space="0"/>
            </w:tcBorders>
          </w:tcPr>
          <w:p>
            <w:pPr>
              <w:widowControl/>
              <w:autoSpaceDE w:val="0"/>
              <w:autoSpaceDN w:val="0"/>
              <w:spacing w:before="0" w:after="0" w:line="240" w:lineRule="auto"/>
              <w:ind w:left="0" w:right="2620" w:firstLine="0"/>
              <w:jc w:val="left"/>
            </w:pPr>
            <w:r>
              <w:rPr>
                <w:rFonts w:ascii="宋体" w:hAnsi="宋体" w:eastAsia="宋体"/>
                <w:b w:val="0"/>
                <w:i w:val="0"/>
                <w:color w:val="000000"/>
                <w:sz w:val="20"/>
              </w:rPr>
              <w:t xml:space="preserve">总分 </w:t>
            </w:r>
          </w:p>
        </w:tc>
        <w:tc>
          <w:tcPr>
            <w:tcW w:w="1040" w:type="dxa"/>
            <w:tcBorders>
              <w:top w:val="single" w:color="000000" w:sz="4" w:space="0"/>
              <w:bottom w:val="single" w:color="000000" w:sz="4" w:space="0"/>
            </w:tcBorders>
          </w:tcPr>
          <w:p>
            <w:pPr>
              <w:widowControl/>
              <w:autoSpaceDE w:val="0"/>
              <w:autoSpaceDN w:val="0"/>
              <w:spacing w:before="0" w:after="0" w:line="240" w:lineRule="auto"/>
              <w:ind w:left="0" w:right="112" w:firstLine="0"/>
              <w:jc w:val="left"/>
            </w:pPr>
            <w:r>
              <w:rPr>
                <w:rFonts w:ascii="宋体" w:hAnsi="宋体" w:eastAsia="宋体"/>
                <w:b w:val="0"/>
                <w:i w:val="0"/>
                <w:color w:val="000000"/>
                <w:sz w:val="20"/>
              </w:rPr>
              <w:t xml:space="preserve">100 </w:t>
            </w:r>
          </w:p>
        </w:tc>
        <w:tc>
          <w:tcPr>
            <w:tcW w:w="1040" w:type="dxa"/>
            <w:tcBorders>
              <w:top w:val="single" w:color="000000" w:sz="4" w:space="0"/>
              <w:bottom w:val="single" w:color="000000" w:sz="4" w:space="0"/>
            </w:tcBorders>
          </w:tcPr>
          <w:p>
            <w:pPr>
              <w:widowControl/>
              <w:tabs>
                <w:tab w:val="left" w:pos="318"/>
              </w:tabs>
              <w:autoSpaceDE w:val="0"/>
              <w:autoSpaceDN w:val="0"/>
              <w:spacing w:before="0" w:after="0" w:line="240" w:lineRule="auto"/>
              <w:ind w:left="168" w:right="144" w:firstLine="0"/>
              <w:jc w:val="left"/>
            </w:pPr>
            <w:r>
              <w:rPr>
                <w:rFonts w:ascii="宋体" w:hAnsi="宋体" w:eastAsia="宋体"/>
                <w:b w:val="0"/>
                <w:i w:val="0"/>
                <w:color w:val="000000"/>
                <w:sz w:val="20"/>
              </w:rPr>
              <w:t>78.19</w:t>
            </w:r>
            <w:r>
              <w:tab/>
            </w:r>
            <w:r>
              <w:rPr>
                <w:rFonts w:ascii="宋体" w:hAnsi="宋体" w:eastAsia="宋体"/>
                <w:b w:val="0"/>
                <w:i w:val="0"/>
                <w:color w:val="000000"/>
                <w:sz w:val="20"/>
              </w:rPr>
              <w:t xml:space="preserve">分 </w:t>
            </w:r>
          </w:p>
        </w:tc>
        <w:tc>
          <w:tcPr>
            <w:tcW w:w="1040" w:type="dxa"/>
            <w:tcBorders>
              <w:top w:val="single" w:color="000000" w:sz="4" w:space="0"/>
              <w:bottom w:val="single" w:color="000000" w:sz="4" w:space="0"/>
            </w:tcBorders>
          </w:tcPr>
          <w:p/>
        </w:tc>
      </w:tr>
    </w:tbl>
    <w:p>
      <w:pPr>
        <w:widowControl/>
        <w:autoSpaceDE w:val="0"/>
        <w:autoSpaceDN w:val="0"/>
        <w:spacing w:before="772" w:after="0" w:line="185" w:lineRule="auto"/>
        <w:ind w:left="0" w:right="0" w:firstLine="0"/>
        <w:jc w:val="center"/>
      </w:pPr>
      <w:r>
        <w:rPr>
          <w:rFonts w:ascii="黑体" w:hAnsi="黑体" w:eastAsia="黑体"/>
          <w:b w:val="0"/>
          <w:i w:val="0"/>
          <w:color w:val="000000"/>
          <w:sz w:val="32"/>
        </w:rPr>
        <w:t>第三部分 专业名词解释</w:t>
      </w:r>
    </w:p>
    <w:p>
      <w:pPr>
        <w:widowControl/>
        <w:autoSpaceDE w:val="0"/>
        <w:autoSpaceDN w:val="0"/>
        <w:spacing w:before="336" w:after="0" w:line="185" w:lineRule="auto"/>
        <w:ind w:left="1002" w:right="0" w:firstLine="0"/>
        <w:jc w:val="left"/>
      </w:pPr>
      <w:r>
        <w:rPr>
          <w:rFonts w:ascii="FangSong_GB2312" w:hAnsi="FangSong_GB2312" w:eastAsia="FangSong_GB2312"/>
          <w:b w:val="0"/>
          <w:i w:val="0"/>
          <w:color w:val="000000"/>
          <w:sz w:val="32"/>
        </w:rPr>
        <w:t>财政拨款收入：指同级财政当年拨付的资金。</w:t>
      </w:r>
    </w:p>
    <w:p>
      <w:pPr>
        <w:widowControl/>
        <w:tabs>
          <w:tab w:val="left" w:pos="1002"/>
        </w:tabs>
        <w:autoSpaceDE w:val="0"/>
        <w:autoSpaceDN w:val="0"/>
        <w:spacing w:before="306" w:after="0" w:line="274" w:lineRule="auto"/>
        <w:ind w:left="360" w:right="288" w:firstLine="0"/>
        <w:jc w:val="left"/>
      </w:pPr>
      <w:r>
        <w:rPr>
          <w:rFonts w:ascii="FangSong_GB2312" w:hAnsi="FangSong_GB2312" w:eastAsia="FangSong_GB2312"/>
          <w:b w:val="0"/>
          <w:i w:val="0"/>
          <w:color w:val="000000"/>
          <w:sz w:val="32"/>
        </w:rPr>
        <w:t>上级补助收入：指事业单位从主管部门和上级单位取得的非财政补助收入。</w:t>
      </w:r>
    </w:p>
    <w:p>
      <w:pPr>
        <w:widowControl/>
        <w:tabs>
          <w:tab w:val="left" w:pos="1002"/>
        </w:tabs>
        <w:autoSpaceDE w:val="0"/>
        <w:autoSpaceDN w:val="0"/>
        <w:spacing w:before="306" w:after="0" w:line="274" w:lineRule="auto"/>
        <w:ind w:left="360" w:right="288" w:firstLine="0"/>
        <w:jc w:val="left"/>
      </w:pPr>
      <w:r>
        <w:rPr>
          <w:rFonts w:ascii="FangSong_GB2312" w:hAnsi="FangSong_GB2312" w:eastAsia="FangSong_GB2312"/>
          <w:b w:val="0"/>
          <w:i w:val="0"/>
          <w:color w:val="000000"/>
          <w:sz w:val="32"/>
        </w:rPr>
        <w:t>事业收入：指事业单位开展专业业务活动及其辅助活动所取得的收入。</w:t>
      </w:r>
    </w:p>
    <w:p>
      <w:pPr>
        <w:widowControl/>
        <w:tabs>
          <w:tab w:val="left" w:pos="1002"/>
        </w:tabs>
        <w:autoSpaceDE w:val="0"/>
        <w:autoSpaceDN w:val="0"/>
        <w:spacing w:before="304" w:after="0" w:line="274" w:lineRule="auto"/>
        <w:ind w:left="360" w:right="288" w:firstLine="0"/>
        <w:jc w:val="left"/>
      </w:pPr>
      <w:r>
        <w:rPr>
          <w:rFonts w:ascii="FangSong_GB2312" w:hAnsi="FangSong_GB2312" w:eastAsia="FangSong_GB2312"/>
          <w:b w:val="0"/>
          <w:i w:val="0"/>
          <w:color w:val="000000"/>
          <w:sz w:val="32"/>
        </w:rPr>
        <w:t>经营收入：指事业单位在专业业务活动及其辅助活动之外开展非独立核算经营活动取得的收入。</w:t>
      </w:r>
    </w:p>
    <w:p>
      <w:pPr>
        <w:widowControl/>
        <w:tabs>
          <w:tab w:val="left" w:pos="1002"/>
        </w:tabs>
        <w:autoSpaceDE w:val="0"/>
        <w:autoSpaceDN w:val="0"/>
        <w:spacing w:before="304" w:after="0" w:line="274" w:lineRule="auto"/>
        <w:ind w:left="360" w:right="288" w:firstLine="0"/>
        <w:jc w:val="left"/>
      </w:pPr>
      <w:r>
        <w:rPr>
          <w:rFonts w:ascii="FangSong_GB2312" w:hAnsi="FangSong_GB2312" w:eastAsia="FangSong_GB2312"/>
          <w:b w:val="0"/>
          <w:i w:val="0"/>
          <w:color w:val="000000"/>
          <w:sz w:val="32"/>
        </w:rPr>
        <w:t>附属单位上缴收入：指事业单位附属的独立核算单位按有关规定上缴的收入。</w:t>
      </w:r>
    </w:p>
    <w:p>
      <w:pPr>
        <w:widowControl/>
        <w:tabs>
          <w:tab w:val="left" w:pos="1002"/>
        </w:tabs>
        <w:autoSpaceDE w:val="0"/>
        <w:autoSpaceDN w:val="0"/>
        <w:spacing w:before="24" w:after="0" w:line="624" w:lineRule="exact"/>
        <w:ind w:left="360" w:right="288" w:firstLine="0"/>
        <w:jc w:val="left"/>
      </w:pPr>
      <w:r>
        <w:rPr>
          <w:rFonts w:ascii="FangSong_GB2312" w:hAnsi="FangSong_GB2312" w:eastAsia="FangSong_GB2312"/>
          <w:b w:val="0"/>
          <w:i w:val="0"/>
          <w:color w:val="000000"/>
          <w:sz w:val="32"/>
        </w:rPr>
        <w:t>其他收入：指除上述</w:t>
      </w:r>
      <w:r>
        <w:rPr>
          <w:rFonts w:ascii="TimesNewRomanPSMT" w:hAnsi="TimesNewRomanPSMT" w:eastAsia="TimesNewRomanPSMT"/>
          <w:b w:val="0"/>
          <w:i w:val="0"/>
          <w:color w:val="000000"/>
          <w:sz w:val="32"/>
        </w:rPr>
        <w:t>“</w:t>
      </w:r>
      <w:r>
        <w:rPr>
          <w:rFonts w:ascii="FangSong_GB2312" w:hAnsi="FangSong_GB2312" w:eastAsia="FangSong_GB2312"/>
          <w:b w:val="0"/>
          <w:i w:val="0"/>
          <w:color w:val="000000"/>
          <w:sz w:val="32"/>
        </w:rPr>
        <w:t>财政拨款收入</w:t>
      </w:r>
      <w:r>
        <w:rPr>
          <w:rFonts w:ascii="TimesNewRomanPSMT" w:hAnsi="TimesNewRomanPSMT" w:eastAsia="TimesNewRomanPSMT"/>
          <w:b w:val="0"/>
          <w:i w:val="0"/>
          <w:color w:val="000000"/>
          <w:sz w:val="32"/>
        </w:rPr>
        <w:t>”</w:t>
      </w:r>
      <w:r>
        <w:rPr>
          <w:rFonts w:ascii="FangSong_GB2312" w:hAnsi="FangSong_GB2312" w:eastAsia="FangSong_GB2312"/>
          <w:b w:val="0"/>
          <w:i w:val="0"/>
          <w:color w:val="000000"/>
          <w:sz w:val="32"/>
        </w:rPr>
        <w:t>、</w:t>
      </w:r>
      <w:r>
        <w:rPr>
          <w:rFonts w:ascii="TimesNewRomanPSMT" w:hAnsi="TimesNewRomanPSMT" w:eastAsia="TimesNewRomanPSMT"/>
          <w:b w:val="0"/>
          <w:i w:val="0"/>
          <w:color w:val="000000"/>
          <w:sz w:val="32"/>
        </w:rPr>
        <w:t>“</w:t>
      </w:r>
      <w:r>
        <w:rPr>
          <w:rFonts w:ascii="FangSong_GB2312" w:hAnsi="FangSong_GB2312" w:eastAsia="FangSong_GB2312"/>
          <w:b w:val="0"/>
          <w:i w:val="0"/>
          <w:color w:val="000000"/>
          <w:sz w:val="32"/>
        </w:rPr>
        <w:t>事业收入</w:t>
      </w:r>
      <w:r>
        <w:rPr>
          <w:rFonts w:ascii="TimesNewRomanPSMT" w:hAnsi="TimesNewRomanPSMT" w:eastAsia="TimesNewRomanPSMT"/>
          <w:b w:val="0"/>
          <w:i w:val="0"/>
          <w:color w:val="000000"/>
          <w:sz w:val="32"/>
        </w:rPr>
        <w:t>”</w:t>
      </w:r>
      <w:r>
        <w:rPr>
          <w:rFonts w:ascii="FangSong_GB2312" w:hAnsi="FangSong_GB2312" w:eastAsia="FangSong_GB2312"/>
          <w:b w:val="0"/>
          <w:i w:val="0"/>
          <w:color w:val="000000"/>
          <w:sz w:val="32"/>
        </w:rPr>
        <w:t>、</w:t>
      </w:r>
      <w:r>
        <w:rPr>
          <w:rFonts w:ascii="TimesNewRomanPSMT" w:hAnsi="TimesNewRomanPSMT" w:eastAsia="TimesNewRomanPSMT"/>
          <w:b w:val="0"/>
          <w:i w:val="0"/>
          <w:color w:val="000000"/>
          <w:sz w:val="32"/>
        </w:rPr>
        <w:t>“</w:t>
      </w:r>
      <w:r>
        <w:rPr>
          <w:rFonts w:ascii="FangSong_GB2312" w:hAnsi="FangSong_GB2312" w:eastAsia="FangSong_GB2312"/>
          <w:b w:val="0"/>
          <w:i w:val="0"/>
          <w:color w:val="000000"/>
          <w:sz w:val="32"/>
        </w:rPr>
        <w:t>经营收入</w:t>
      </w:r>
      <w:r>
        <w:rPr>
          <w:rFonts w:ascii="TimesNewRomanPSMT" w:hAnsi="TimesNewRomanPSMT" w:eastAsia="TimesNewRomanPSMT"/>
          <w:b w:val="0"/>
          <w:i w:val="0"/>
          <w:color w:val="000000"/>
          <w:sz w:val="32"/>
        </w:rPr>
        <w:t>”</w:t>
      </w:r>
      <w:r>
        <w:rPr>
          <w:rFonts w:ascii="FangSong_GB2312" w:hAnsi="FangSong_GB2312" w:eastAsia="FangSong_GB2312"/>
          <w:b w:val="0"/>
          <w:i w:val="0"/>
          <w:color w:val="000000"/>
          <w:sz w:val="32"/>
        </w:rPr>
        <w:t>、</w:t>
      </w:r>
      <w:r>
        <w:rPr>
          <w:rFonts w:ascii="TimesNewRomanPSMT" w:hAnsi="TimesNewRomanPSMT" w:eastAsia="TimesNewRomanPSMT"/>
          <w:b w:val="0"/>
          <w:i w:val="0"/>
          <w:color w:val="000000"/>
          <w:sz w:val="32"/>
        </w:rPr>
        <w:t>“</w:t>
      </w:r>
      <w:r>
        <w:rPr>
          <w:rFonts w:ascii="FangSong_GB2312" w:hAnsi="FangSong_GB2312" w:eastAsia="FangSong_GB2312"/>
          <w:b w:val="0"/>
          <w:i w:val="0"/>
          <w:color w:val="000000"/>
          <w:sz w:val="32"/>
        </w:rPr>
        <w:t>附属单位上缴收入</w:t>
      </w:r>
      <w:r>
        <w:rPr>
          <w:rFonts w:ascii="TimesNewRomanPSMT" w:hAnsi="TimesNewRomanPSMT" w:eastAsia="TimesNewRomanPSMT"/>
          <w:b w:val="0"/>
          <w:i w:val="0"/>
          <w:color w:val="000000"/>
          <w:sz w:val="32"/>
        </w:rPr>
        <w:t>”</w:t>
      </w:r>
      <w:r>
        <w:rPr>
          <w:rFonts w:ascii="FangSong_GB2312" w:hAnsi="FangSong_GB2312" w:eastAsia="FangSong_GB2312"/>
          <w:b w:val="0"/>
          <w:i w:val="0"/>
          <w:color w:val="000000"/>
          <w:sz w:val="32"/>
        </w:rPr>
        <w:t>等之外取得的收入。</w:t>
      </w:r>
    </w:p>
    <w:p>
      <w:pPr>
        <w:widowControl/>
        <w:autoSpaceDE w:val="0"/>
        <w:autoSpaceDN w:val="0"/>
        <w:spacing w:before="280" w:after="0" w:line="185" w:lineRule="auto"/>
        <w:ind w:left="1002" w:right="0" w:firstLine="0"/>
        <w:jc w:val="left"/>
      </w:pPr>
      <w:r>
        <w:rPr>
          <w:rFonts w:ascii="FangSong_GB2312" w:hAnsi="FangSong_GB2312" w:eastAsia="FangSong_GB2312"/>
          <w:b w:val="0"/>
          <w:i w:val="0"/>
          <w:color w:val="000000"/>
          <w:sz w:val="32"/>
        </w:rPr>
        <w:t>年初结转和结余：指以前年度支出预算因客观条件变化未</w:t>
      </w:r>
    </w:p>
    <w:p>
      <w:pPr>
        <w:sectPr>
          <w:pgSz w:w="12240" w:h="15840"/>
          <w:pgMar w:top="720" w:right="1440" w:bottom="928" w:left="1440" w:header="720" w:footer="720" w:gutter="0"/>
          <w:cols w:space="720" w:num="1"/>
          <w:docGrid w:linePitch="360" w:charSpace="0"/>
        </w:sectPr>
      </w:pPr>
    </w:p>
    <w:p>
      <w:pPr>
        <w:widowControl/>
        <w:autoSpaceDE w:val="0"/>
        <w:autoSpaceDN w:val="0"/>
        <w:spacing w:before="0" w:after="500" w:line="220" w:lineRule="exact"/>
        <w:ind w:left="0" w:right="0"/>
      </w:pPr>
    </w:p>
    <w:p>
      <w:pPr>
        <w:widowControl/>
        <w:autoSpaceDE w:val="0"/>
        <w:autoSpaceDN w:val="0"/>
        <w:spacing w:before="50" w:after="0" w:line="302" w:lineRule="auto"/>
        <w:ind w:left="360" w:right="366" w:firstLine="0"/>
        <w:jc w:val="both"/>
      </w:pPr>
      <w:r>
        <w:rPr>
          <w:rFonts w:ascii="FangSong_GB2312" w:hAnsi="FangSong_GB2312" w:eastAsia="FangSong_GB2312"/>
          <w:b w:val="0"/>
          <w:i w:val="0"/>
          <w:color w:val="000000"/>
          <w:sz w:val="32"/>
        </w:rPr>
        <w:t>执行完毕、结转到本年度按有关规定继续使用的资金，既包括财政拨款结转和结余，也包括事业收入、经营收入、其他收入的结转和结余。</w:t>
      </w:r>
    </w:p>
    <w:p>
      <w:pPr>
        <w:widowControl/>
        <w:autoSpaceDE w:val="0"/>
        <w:autoSpaceDN w:val="0"/>
        <w:spacing w:before="304" w:after="0" w:line="317" w:lineRule="auto"/>
        <w:ind w:left="360" w:right="366" w:firstLine="642"/>
        <w:jc w:val="both"/>
      </w:pPr>
      <w:r>
        <w:rPr>
          <w:rFonts w:ascii="FangSong_GB2312" w:hAnsi="FangSong_GB2312" w:eastAsia="FangSong_GB2312"/>
          <w:b w:val="0"/>
          <w:i w:val="0"/>
          <w:color w:val="000000"/>
          <w:sz w:val="32"/>
        </w:rPr>
        <w:t>年末结转和结余：指本年度或以前年度预算安排、因客观条件发生变化无法按原计划实施，需要延迟到以后年度按有关规定继续使用的资金，既包括财政拨款结转和结余，也包括事业收入、经营收入、其他收入的结转和结余。</w:t>
      </w:r>
    </w:p>
    <w:p>
      <w:pPr>
        <w:widowControl/>
        <w:tabs>
          <w:tab w:val="left" w:pos="1002"/>
        </w:tabs>
        <w:autoSpaceDE w:val="0"/>
        <w:autoSpaceDN w:val="0"/>
        <w:spacing w:before="304" w:after="0" w:line="274" w:lineRule="auto"/>
        <w:ind w:left="360" w:right="288" w:firstLine="0"/>
        <w:jc w:val="left"/>
      </w:pPr>
      <w:r>
        <w:rPr>
          <w:rFonts w:ascii="FangSong_GB2312" w:hAnsi="FangSong_GB2312" w:eastAsia="FangSong_GB2312"/>
          <w:b w:val="0"/>
          <w:i w:val="0"/>
          <w:color w:val="000000"/>
          <w:sz w:val="32"/>
        </w:rPr>
        <w:t>基本支出：指为保障机构正常运转、完成日常工作任务而发生的人员支出和公用支出。</w:t>
      </w:r>
    </w:p>
    <w:p>
      <w:pPr>
        <w:widowControl/>
        <w:tabs>
          <w:tab w:val="left" w:pos="1002"/>
        </w:tabs>
        <w:autoSpaceDE w:val="0"/>
        <w:autoSpaceDN w:val="0"/>
        <w:spacing w:before="304" w:after="0" w:line="274" w:lineRule="auto"/>
        <w:ind w:left="360" w:right="288" w:firstLine="0"/>
        <w:jc w:val="left"/>
      </w:pPr>
      <w:r>
        <w:rPr>
          <w:rFonts w:ascii="FangSong_GB2312" w:hAnsi="FangSong_GB2312" w:eastAsia="FangSong_GB2312"/>
          <w:b w:val="0"/>
          <w:i w:val="0"/>
          <w:color w:val="000000"/>
          <w:sz w:val="32"/>
        </w:rPr>
        <w:t>项目支出：指在基本支出之外为完成特定行政任务和事业发展目标所发生的支出。</w:t>
      </w:r>
    </w:p>
    <w:p>
      <w:pPr>
        <w:widowControl/>
        <w:tabs>
          <w:tab w:val="left" w:pos="1002"/>
        </w:tabs>
        <w:autoSpaceDE w:val="0"/>
        <w:autoSpaceDN w:val="0"/>
        <w:spacing w:before="306" w:after="0" w:line="274" w:lineRule="auto"/>
        <w:ind w:left="360" w:right="288" w:firstLine="0"/>
        <w:jc w:val="left"/>
      </w:pPr>
      <w:r>
        <w:rPr>
          <w:rFonts w:ascii="FangSong_GB2312" w:hAnsi="FangSong_GB2312" w:eastAsia="FangSong_GB2312"/>
          <w:b w:val="0"/>
          <w:i w:val="0"/>
          <w:color w:val="000000"/>
          <w:sz w:val="32"/>
        </w:rPr>
        <w:t>经营支出：指事业单位在专业业务活动及其辅助活动之外开展非独立核算经营活动发生的支出。</w:t>
      </w:r>
    </w:p>
    <w:p>
      <w:pPr>
        <w:widowControl/>
        <w:tabs>
          <w:tab w:val="left" w:pos="1002"/>
        </w:tabs>
        <w:autoSpaceDE w:val="0"/>
        <w:autoSpaceDN w:val="0"/>
        <w:spacing w:before="306" w:after="0" w:line="274" w:lineRule="auto"/>
        <w:ind w:left="360" w:right="288" w:firstLine="0"/>
        <w:jc w:val="left"/>
      </w:pPr>
      <w:r>
        <w:rPr>
          <w:rFonts w:ascii="FangSong_GB2312" w:hAnsi="FangSong_GB2312" w:eastAsia="FangSong_GB2312"/>
          <w:b w:val="0"/>
          <w:i w:val="0"/>
          <w:color w:val="000000"/>
          <w:sz w:val="32"/>
        </w:rPr>
        <w:t>对附属单位补助支出：指事业单位发生的用非财政预算资金对附属单位的补助支出。</w:t>
      </w:r>
    </w:p>
    <w:p>
      <w:pPr>
        <w:widowControl/>
        <w:autoSpaceDE w:val="0"/>
        <w:autoSpaceDN w:val="0"/>
        <w:spacing w:before="28" w:after="0" w:line="620" w:lineRule="exact"/>
        <w:ind w:left="360" w:right="360" w:firstLine="642"/>
        <w:jc w:val="both"/>
      </w:pPr>
      <w:r>
        <w:rPr>
          <w:rFonts w:ascii="TimesNewRomanPSMT" w:hAnsi="TimesNewRomanPSMT" w:eastAsia="TimesNewRomanPSMT"/>
          <w:b w:val="0"/>
          <w:i w:val="0"/>
          <w:color w:val="000000"/>
          <w:sz w:val="32"/>
        </w:rPr>
        <w:t>“</w:t>
      </w:r>
      <w:r>
        <w:rPr>
          <w:rFonts w:ascii="FangSong_GB2312" w:hAnsi="FangSong_GB2312" w:eastAsia="FangSong_GB2312"/>
          <w:b w:val="0"/>
          <w:i w:val="0"/>
          <w:color w:val="000000"/>
          <w:sz w:val="32"/>
        </w:rPr>
        <w:t>三公</w:t>
      </w:r>
      <w:r>
        <w:rPr>
          <w:rFonts w:ascii="TimesNewRomanPSMT" w:hAnsi="TimesNewRomanPSMT" w:eastAsia="TimesNewRomanPSMT"/>
          <w:b w:val="0"/>
          <w:i w:val="0"/>
          <w:color w:val="000000"/>
          <w:sz w:val="32"/>
        </w:rPr>
        <w:t>”</w:t>
      </w:r>
      <w:r>
        <w:rPr>
          <w:rFonts w:ascii="FangSong_GB2312" w:hAnsi="FangSong_GB2312" w:eastAsia="FangSong_GB2312"/>
          <w:b w:val="0"/>
          <w:i w:val="0"/>
          <w:color w:val="000000"/>
          <w:sz w:val="32"/>
        </w:rPr>
        <w:t>经费：指用财政拨款安排的因公出国（境）费、公务用车购置及运行费和公务接待费。其中，因公出国（境）费反映单位公务出国（境）的国际旅费、国外城市间交通费、住宿费、伙食费、培训费、公杂费等支出；公务用车购置费反映公务用车购置支出（含车辆购置税、牌照费）；公务用车运行维护费反映单位按规定保留的公务用车燃料费、维修费、过路过</w:t>
      </w:r>
    </w:p>
    <w:p>
      <w:pPr>
        <w:sectPr>
          <w:pgSz w:w="12240" w:h="15840"/>
          <w:pgMar w:top="720" w:right="1440" w:bottom="776" w:left="1440" w:header="720" w:footer="720" w:gutter="0"/>
          <w:cols w:space="720" w:num="1"/>
          <w:docGrid w:linePitch="360" w:charSpace="0"/>
        </w:sectPr>
      </w:pPr>
    </w:p>
    <w:p>
      <w:pPr>
        <w:widowControl/>
        <w:autoSpaceDE w:val="0"/>
        <w:autoSpaceDN w:val="0"/>
        <w:spacing w:before="0" w:after="526" w:line="220" w:lineRule="exact"/>
        <w:ind w:left="0" w:right="0"/>
      </w:pPr>
    </w:p>
    <w:p>
      <w:pPr>
        <w:widowControl/>
        <w:autoSpaceDE w:val="0"/>
        <w:autoSpaceDN w:val="0"/>
        <w:spacing w:before="0" w:after="0" w:line="274" w:lineRule="auto"/>
        <w:ind w:left="360" w:right="288" w:firstLine="0"/>
        <w:jc w:val="left"/>
      </w:pPr>
      <w:r>
        <w:rPr>
          <w:rFonts w:ascii="FangSong_GB2312" w:hAnsi="FangSong_GB2312" w:eastAsia="FangSong_GB2312"/>
          <w:b w:val="0"/>
          <w:i w:val="0"/>
          <w:color w:val="000000"/>
          <w:sz w:val="32"/>
        </w:rPr>
        <w:t>桥费、保险费、安全奖励费用等支出；公务接待费反映单位按规定开支的各类公务接待（含外宾接待）费用。</w:t>
      </w:r>
    </w:p>
    <w:p>
      <w:pPr>
        <w:widowControl/>
        <w:tabs>
          <w:tab w:val="left" w:pos="1002"/>
        </w:tabs>
        <w:autoSpaceDE w:val="0"/>
        <w:autoSpaceDN w:val="0"/>
        <w:spacing w:before="304" w:after="0" w:line="274" w:lineRule="auto"/>
        <w:ind w:left="360" w:right="288" w:firstLine="0"/>
        <w:jc w:val="left"/>
      </w:pPr>
      <w:r>
        <w:rPr>
          <w:rFonts w:ascii="FangSong_GB2312" w:hAnsi="FangSong_GB2312" w:eastAsia="FangSong_GB2312"/>
          <w:b w:val="0"/>
          <w:i w:val="0"/>
          <w:color w:val="000000"/>
          <w:sz w:val="32"/>
        </w:rPr>
        <w:t>机关运行经费：行政单位和参照公务员法管理的事业单位财政拨款基本支出中的公用经费支出。</w:t>
      </w:r>
    </w:p>
    <w:p>
      <w:pPr>
        <w:widowControl/>
        <w:autoSpaceDE w:val="0"/>
        <w:autoSpaceDN w:val="0"/>
        <w:spacing w:before="404" w:after="384" w:line="185" w:lineRule="auto"/>
        <w:ind w:left="0" w:right="0" w:firstLine="0"/>
        <w:jc w:val="center"/>
      </w:pPr>
      <w:r>
        <w:rPr>
          <w:rFonts w:ascii="黑体" w:hAnsi="黑体" w:eastAsia="黑体"/>
          <w:b w:val="0"/>
          <w:i w:val="0"/>
          <w:color w:val="000000"/>
          <w:sz w:val="32"/>
        </w:rPr>
        <w:t>第四部分 部门决算报表（见附表）</w:t>
      </w:r>
    </w:p>
    <w:tbl>
      <w:tblPr>
        <w:tblStyle w:val="35"/>
        <w:tblW w:w="9360" w:type="dxa"/>
        <w:tblInd w:w="500" w:type="dxa"/>
        <w:tblLayout w:type="fixed"/>
        <w:tblCellMar>
          <w:top w:w="0" w:type="dxa"/>
          <w:left w:w="108" w:type="dxa"/>
          <w:bottom w:w="0" w:type="dxa"/>
          <w:right w:w="108" w:type="dxa"/>
        </w:tblCellMar>
      </w:tblPr>
      <w:tblGrid>
        <w:gridCol w:w="9360"/>
      </w:tblGrid>
      <w:tr>
        <w:tblPrEx>
          <w:tblLayout w:type="fixed"/>
          <w:tblCellMar>
            <w:top w:w="0" w:type="dxa"/>
            <w:left w:w="108" w:type="dxa"/>
            <w:bottom w:w="0" w:type="dxa"/>
            <w:right w:w="108" w:type="dxa"/>
          </w:tblCellMar>
        </w:tblPrEx>
        <w:trPr>
          <w:trHeight w:val="4680" w:hRule="exact"/>
        </w:trPr>
        <w:tc>
          <w:tcPr>
            <w:tcW w:w="9360" w:type="dxa"/>
          </w:tcPr>
          <w:p>
            <w:pPr>
              <w:widowControl/>
              <w:autoSpaceDE w:val="0"/>
              <w:autoSpaceDN w:val="0"/>
              <w:spacing w:before="0" w:after="0" w:line="240" w:lineRule="auto"/>
              <w:ind w:left="502" w:right="0" w:firstLine="0"/>
              <w:jc w:val="left"/>
            </w:pPr>
            <w:r>
              <w:rPr>
                <w:rFonts w:ascii="黑体" w:hAnsi="黑体" w:eastAsia="黑体"/>
                <w:b w:val="0"/>
                <w:i w:val="0"/>
                <w:color w:val="000000"/>
                <w:sz w:val="32"/>
              </w:rPr>
              <w:t>一、《收入支出决算总表》</w:t>
            </w:r>
          </w:p>
          <w:p>
            <w:pPr>
              <w:widowControl/>
              <w:autoSpaceDE w:val="0"/>
              <w:autoSpaceDN w:val="0"/>
              <w:spacing w:before="0" w:after="0" w:line="240" w:lineRule="auto"/>
              <w:ind w:left="502" w:right="0" w:firstLine="0"/>
              <w:jc w:val="left"/>
            </w:pPr>
            <w:r>
              <w:rPr>
                <w:rFonts w:ascii="黑体" w:hAnsi="黑体" w:eastAsia="黑体"/>
                <w:b w:val="0"/>
                <w:i w:val="0"/>
                <w:color w:val="000000"/>
                <w:sz w:val="32"/>
              </w:rPr>
              <w:t>二、《收入决算表》</w:t>
            </w:r>
          </w:p>
          <w:p>
            <w:pPr>
              <w:widowControl/>
              <w:autoSpaceDE w:val="0"/>
              <w:autoSpaceDN w:val="0"/>
              <w:spacing w:before="0" w:after="0" w:line="240" w:lineRule="auto"/>
              <w:ind w:left="502" w:right="0" w:firstLine="0"/>
              <w:jc w:val="left"/>
            </w:pPr>
            <w:r>
              <w:rPr>
                <w:rFonts w:ascii="黑体" w:hAnsi="黑体" w:eastAsia="黑体"/>
                <w:b w:val="0"/>
                <w:i w:val="0"/>
                <w:color w:val="000000"/>
                <w:sz w:val="32"/>
              </w:rPr>
              <w:t>三、《支出决算表》</w:t>
            </w:r>
          </w:p>
          <w:p>
            <w:pPr>
              <w:widowControl/>
              <w:autoSpaceDE w:val="0"/>
              <w:autoSpaceDN w:val="0"/>
              <w:spacing w:before="0" w:after="0" w:line="240" w:lineRule="auto"/>
              <w:ind w:left="502" w:right="0" w:firstLine="0"/>
              <w:jc w:val="left"/>
            </w:pPr>
            <w:r>
              <w:rPr>
                <w:rFonts w:ascii="黑体" w:hAnsi="黑体" w:eastAsia="黑体"/>
                <w:b w:val="0"/>
                <w:i w:val="0"/>
                <w:color w:val="000000"/>
                <w:sz w:val="32"/>
              </w:rPr>
              <w:t>四、《财政拨款收入支出决算总表》</w:t>
            </w:r>
          </w:p>
          <w:p>
            <w:pPr>
              <w:widowControl/>
              <w:autoSpaceDE w:val="0"/>
              <w:autoSpaceDN w:val="0"/>
              <w:spacing w:before="0" w:after="0" w:line="240" w:lineRule="auto"/>
              <w:ind w:left="502" w:right="0" w:firstLine="0"/>
              <w:jc w:val="left"/>
            </w:pPr>
            <w:r>
              <w:rPr>
                <w:rFonts w:ascii="黑体" w:hAnsi="黑体" w:eastAsia="黑体"/>
                <w:b w:val="0"/>
                <w:i w:val="0"/>
                <w:color w:val="000000"/>
                <w:sz w:val="32"/>
              </w:rPr>
              <w:t>五、《一般公共预算财政拨款支出决算表》</w:t>
            </w:r>
          </w:p>
          <w:p>
            <w:pPr>
              <w:widowControl/>
              <w:autoSpaceDE w:val="0"/>
              <w:autoSpaceDN w:val="0"/>
              <w:spacing w:before="0" w:after="0" w:line="240" w:lineRule="auto"/>
              <w:ind w:left="502" w:right="0" w:firstLine="0"/>
              <w:jc w:val="left"/>
            </w:pPr>
            <w:r>
              <w:rPr>
                <w:rFonts w:ascii="黑体" w:hAnsi="黑体" w:eastAsia="黑体"/>
                <w:b w:val="0"/>
                <w:i w:val="0"/>
                <w:color w:val="000000"/>
                <w:sz w:val="32"/>
              </w:rPr>
              <w:t>六、《一般公共预算财政拨款基本支出决算表》</w:t>
            </w:r>
          </w:p>
          <w:p>
            <w:pPr>
              <w:widowControl/>
              <w:autoSpaceDE w:val="0"/>
              <w:autoSpaceDN w:val="0"/>
              <w:spacing w:before="0" w:after="0" w:line="240" w:lineRule="auto"/>
              <w:ind w:left="502" w:right="0" w:firstLine="0"/>
              <w:jc w:val="left"/>
            </w:pPr>
            <w:r>
              <w:rPr>
                <w:rFonts w:ascii="黑体" w:hAnsi="黑体" w:eastAsia="黑体"/>
                <w:b w:val="0"/>
                <w:i w:val="0"/>
                <w:color w:val="000000"/>
                <w:sz w:val="32"/>
              </w:rPr>
              <w:t>七、《财政拨款</w:t>
            </w:r>
            <w:r>
              <w:rPr>
                <w:rFonts w:ascii="TimesNewRomanPSMT" w:hAnsi="TimesNewRomanPSMT" w:eastAsia="TimesNewRomanPSMT"/>
                <w:b w:val="0"/>
                <w:i w:val="0"/>
                <w:color w:val="000000"/>
                <w:sz w:val="32"/>
              </w:rPr>
              <w:t>“</w:t>
            </w:r>
            <w:r>
              <w:rPr>
                <w:rFonts w:ascii="黑体" w:hAnsi="黑体" w:eastAsia="黑体"/>
                <w:b w:val="0"/>
                <w:i w:val="0"/>
                <w:color w:val="000000"/>
                <w:sz w:val="32"/>
              </w:rPr>
              <w:t>三公</w:t>
            </w:r>
            <w:r>
              <w:rPr>
                <w:rFonts w:ascii="TimesNewRomanPSMT" w:hAnsi="TimesNewRomanPSMT" w:eastAsia="TimesNewRomanPSMT"/>
                <w:b w:val="0"/>
                <w:i w:val="0"/>
                <w:color w:val="000000"/>
                <w:sz w:val="32"/>
              </w:rPr>
              <w:t>”</w:t>
            </w:r>
            <w:r>
              <w:rPr>
                <w:rFonts w:ascii="黑体" w:hAnsi="黑体" w:eastAsia="黑体"/>
                <w:b w:val="0"/>
                <w:i w:val="0"/>
                <w:color w:val="000000"/>
                <w:sz w:val="32"/>
              </w:rPr>
              <w:t>经费支出决算表》</w:t>
            </w:r>
          </w:p>
          <w:p>
            <w:pPr>
              <w:widowControl/>
              <w:autoSpaceDE w:val="0"/>
              <w:autoSpaceDN w:val="0"/>
              <w:spacing w:before="0" w:after="0" w:line="240" w:lineRule="auto"/>
              <w:ind w:left="502" w:right="0" w:firstLine="0"/>
              <w:jc w:val="left"/>
            </w:pPr>
            <w:r>
              <w:rPr>
                <w:rFonts w:ascii="黑体" w:hAnsi="黑体" w:eastAsia="黑体"/>
                <w:b w:val="0"/>
                <w:i w:val="0"/>
                <w:color w:val="000000"/>
                <w:sz w:val="32"/>
              </w:rPr>
              <w:t>八、《政府性基金预算财政拨款收入支出决算表》</w:t>
            </w:r>
          </w:p>
          <w:p>
            <w:pPr>
              <w:widowControl/>
              <w:autoSpaceDE w:val="0"/>
              <w:autoSpaceDN w:val="0"/>
              <w:spacing w:before="0" w:after="0" w:line="240" w:lineRule="auto"/>
              <w:ind w:left="0" w:right="0" w:firstLine="0"/>
              <w:jc w:val="left"/>
            </w:pPr>
            <w:r>
              <w:rPr>
                <w:rFonts w:ascii="黑体" w:hAnsi="黑体" w:eastAsia="黑体"/>
                <w:b w:val="0"/>
                <w:i w:val="0"/>
                <w:color w:val="000000"/>
                <w:sz w:val="32"/>
              </w:rPr>
              <w:t>九、《国有资本经营预算财政拨款收入支出决算表》</w:t>
            </w:r>
          </w:p>
        </w:tc>
      </w:tr>
    </w:tbl>
    <w:p>
      <w:pPr>
        <w:widowControl/>
        <w:autoSpaceDE w:val="0"/>
        <w:autoSpaceDN w:val="0"/>
        <w:spacing w:before="0" w:after="0" w:line="14" w:lineRule="exact"/>
        <w:ind w:left="0" w:right="0"/>
      </w:pPr>
    </w:p>
    <w:sectPr>
      <w:pgSz w:w="12240" w:h="15840"/>
      <w:pgMar w:top="720" w:right="1440" w:bottom="776" w:left="144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MS Mincho">
    <w:panose1 w:val="02020609040205080304"/>
    <w:charset w:val="80"/>
    <w:family w:val="roman"/>
    <w:pitch w:val="default"/>
    <w:sig w:usb0="E00002FF" w:usb1="6AC7FDFB" w:usb2="00000012" w:usb3="00000000" w:csb0="4002009F" w:csb1="DFD70000"/>
  </w:font>
  <w:font w:name="MS Gothic">
    <w:panose1 w:val="020B0609070205080204"/>
    <w:charset w:val="80"/>
    <w:family w:val="modern"/>
    <w:pitch w:val="default"/>
    <w:sig w:usb0="E00002FF" w:usb1="6AC7FDFB" w:usb2="00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FZXBSK--GBK1-0">
    <w:altName w:val="Segoe Print"/>
    <w:panose1 w:val="00000000000000000000"/>
    <w:charset w:val="00"/>
    <w:family w:val="auto"/>
    <w:pitch w:val="default"/>
    <w:sig w:usb0="00000000" w:usb1="00000000" w:usb2="00000000" w:usb3="00000000" w:csb0="00000000" w:csb1="00000000"/>
  </w:font>
  <w:font w:name="FangSong_GB2312">
    <w:altName w:val="仿宋_GB2312"/>
    <w:panose1 w:val="00000000000000000000"/>
    <w:charset w:val="00"/>
    <w:family w:val="auto"/>
    <w:pitch w:val="default"/>
    <w:sig w:usb0="00000000" w:usb1="00000000" w:usb2="00000000" w:usb3="00000000" w:csb0="00000000" w:csb1="00000000"/>
  </w:font>
  <w:font w:name="TimesNewRomanPSMT">
    <w:altName w:val="Times New Roman"/>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font>
  <w:font w:name="Courier New">
    <w:panose1 w:val="02070309020205020404"/>
    <w:charset w:val="00"/>
    <w:family w:val="auto"/>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2"/>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7414044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qFormat="1"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qFormat="1"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qFormat="1"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qFormat="1" w:unhideWhenUsed="0" w:uiPriority="60" w:semiHidden="0" w:name="Light Shading Accent 5"/>
    <w:lsdException w:qFormat="1"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qFormat="1" w:unhideWhenUsed="0" w:uiPriority="60" w:semiHidden="0" w:name="Light Shading Accent 6"/>
    <w:lsdException w:qFormat="1"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qFormat="1"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32">
    <w:name w:val="Default Paragraph Font"/>
    <w:semiHidden/>
    <w:unhideWhenUsed/>
    <w:uiPriority w:val="1"/>
  </w:style>
  <w:style w:type="table" w:default="1" w:styleId="35">
    <w:name w:val="Normal Table"/>
    <w:semiHidden/>
    <w:unhideWhenUsed/>
    <w:qFormat/>
    <w:uiPriority w:val="99"/>
    <w:tblPr>
      <w:tblLayout w:type="fixed"/>
      <w:tblCellMar>
        <w:top w:w="0" w:type="dxa"/>
        <w:left w:w="108" w:type="dxa"/>
        <w:bottom w:w="0" w:type="dxa"/>
        <w:right w:w="108" w:type="dxa"/>
      </w:tblCellMar>
    </w:tblPr>
  </w:style>
  <w:style w:type="paragraph" w:styleId="11">
    <w:name w:val="List 3"/>
    <w:basedOn w:val="1"/>
    <w:unhideWhenUsed/>
    <w:qFormat/>
    <w:uiPriority w:val="99"/>
    <w:pPr>
      <w:ind w:left="1080" w:hanging="360"/>
      <w:contextualSpacing/>
    </w:pPr>
  </w:style>
  <w:style w:type="paragraph" w:styleId="12">
    <w:name w:val="List Number 2"/>
    <w:basedOn w:val="1"/>
    <w:unhideWhenUsed/>
    <w:qFormat/>
    <w:uiPriority w:val="99"/>
    <w:pPr>
      <w:numPr>
        <w:ilvl w:val="0"/>
        <w:numId w:val="1"/>
      </w:numPr>
      <w:contextualSpacing/>
    </w:pPr>
  </w:style>
  <w:style w:type="paragraph" w:styleId="13">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character" w:styleId="33">
    <w:name w:val="Strong"/>
    <w:basedOn w:val="32"/>
    <w:qFormat/>
    <w:uiPriority w:val="22"/>
    <w:rPr>
      <w:b/>
      <w:bCs/>
    </w:rPr>
  </w:style>
  <w:style w:type="character" w:styleId="34">
    <w:name w:val="Emphasis"/>
    <w:basedOn w:val="32"/>
    <w:qFormat/>
    <w:uiPriority w:val="20"/>
    <w:rPr>
      <w:i/>
      <w:iCs/>
    </w:rPr>
  </w:style>
  <w:style w:type="table" w:styleId="36">
    <w:name w:val="Table Grid"/>
    <w:basedOn w:val="35"/>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styleId="37">
    <w:name w:val="Light Shading"/>
    <w:basedOn w:val="35"/>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Layout w:type="fixed"/>
      <w:tblCellMar>
        <w:top w:w="0" w:type="dxa"/>
        <w:left w:w="108" w:type="dxa"/>
        <w:bottom w:w="0" w:type="dxa"/>
        <w:right w:w="108" w:type="dxa"/>
      </w:tblCellMar>
    </w:tblPr>
    <w:tblStylePr w:type="firstRow">
      <w:pPr>
        <w:spacing w:before="0" w:after="0" w:line="240" w:lineRule="auto"/>
      </w:pPr>
      <w:rPr>
        <w:b/>
        <w:bCs/>
      </w:rPr>
      <w:tblPr>
        <w:tblLayout w:type="fixed"/>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blLayout w:type="fixed"/>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blLayout w:type="fixed"/>
      </w:tblPr>
      <w:tcPr>
        <w:tcBorders>
          <w:left w:val="nil"/>
          <w:right w:val="nil"/>
          <w:insideH w:val="nil"/>
          <w:insideV w:val="nil"/>
        </w:tcBorders>
        <w:shd w:val="clear" w:color="auto" w:fill="BFBFBF" w:themeFill="text1" w:themeFillTint="3F"/>
      </w:tcPr>
    </w:tblStylePr>
    <w:tblStylePr w:type="band1Horz">
      <w:tblPr>
        <w:tblLayout w:type="fixed"/>
      </w:tblPr>
      <w:tcPr>
        <w:tcBorders>
          <w:left w:val="nil"/>
          <w:right w:val="nil"/>
          <w:insideH w:val="nil"/>
          <w:insideV w:val="nil"/>
        </w:tcBorders>
        <w:shd w:val="clear" w:color="auto" w:fill="BFBFBF" w:themeFill="text1" w:themeFillTint="3F"/>
      </w:tcPr>
    </w:tblStylePr>
  </w:style>
  <w:style w:type="table" w:styleId="38">
    <w:name w:val="Light Shading Accent 1"/>
    <w:basedOn w:val="35"/>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Layout w:type="fixed"/>
      <w:tblCellMar>
        <w:top w:w="0" w:type="dxa"/>
        <w:left w:w="108" w:type="dxa"/>
        <w:bottom w:w="0" w:type="dxa"/>
        <w:right w:w="108" w:type="dxa"/>
      </w:tblCellMar>
    </w:tblPr>
    <w:tblStylePr w:type="firstRow">
      <w:pPr>
        <w:spacing w:before="0" w:after="0" w:line="240" w:lineRule="auto"/>
      </w:pPr>
      <w:rPr>
        <w:b/>
        <w:bCs/>
      </w:rPr>
      <w:tblPr>
        <w:tblLayout w:type="fixed"/>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blLayout w:type="fixed"/>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blLayout w:type="fixed"/>
      </w:tblPr>
      <w:tcPr>
        <w:tcBorders>
          <w:left w:val="nil"/>
          <w:right w:val="nil"/>
          <w:insideH w:val="nil"/>
          <w:insideV w:val="nil"/>
        </w:tcBorders>
        <w:shd w:val="clear" w:color="auto" w:fill="D3DFEE" w:themeFill="accent1" w:themeFillTint="3F"/>
      </w:tcPr>
    </w:tblStylePr>
    <w:tblStylePr w:type="band1Horz">
      <w:tblPr>
        <w:tblLayout w:type="fixed"/>
      </w:tblPr>
      <w:tcPr>
        <w:tcBorders>
          <w:left w:val="nil"/>
          <w:right w:val="nil"/>
          <w:insideH w:val="nil"/>
          <w:insideV w:val="nil"/>
        </w:tcBorders>
        <w:shd w:val="clear" w:color="auto" w:fill="D3DFEE" w:themeFill="accent1" w:themeFillTint="3F"/>
      </w:tcPr>
    </w:tblStylePr>
  </w:style>
  <w:style w:type="table" w:styleId="39">
    <w:name w:val="Light Shading Accent 2"/>
    <w:basedOn w:val="35"/>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Layout w:type="fixed"/>
      <w:tblCellMar>
        <w:top w:w="0" w:type="dxa"/>
        <w:left w:w="108" w:type="dxa"/>
        <w:bottom w:w="0" w:type="dxa"/>
        <w:right w:w="108" w:type="dxa"/>
      </w:tblCellMar>
    </w:tblPr>
    <w:tblStylePr w:type="firstRow">
      <w:pPr>
        <w:spacing w:before="0" w:after="0" w:line="240" w:lineRule="auto"/>
      </w:pPr>
      <w:rPr>
        <w:b/>
        <w:bCs/>
      </w:rPr>
      <w:tblPr>
        <w:tblLayout w:type="fixed"/>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blLayout w:type="fixed"/>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blLayout w:type="fixed"/>
      </w:tblPr>
      <w:tcPr>
        <w:tcBorders>
          <w:left w:val="nil"/>
          <w:right w:val="nil"/>
          <w:insideH w:val="nil"/>
          <w:insideV w:val="nil"/>
        </w:tcBorders>
        <w:shd w:val="clear" w:color="auto" w:fill="EFD3D3" w:themeFill="accent2" w:themeFillTint="3F"/>
      </w:tcPr>
    </w:tblStylePr>
    <w:tblStylePr w:type="band1Horz">
      <w:tblPr>
        <w:tblLayout w:type="fixed"/>
      </w:tblPr>
      <w:tcPr>
        <w:tcBorders>
          <w:left w:val="nil"/>
          <w:right w:val="nil"/>
          <w:insideH w:val="nil"/>
          <w:insideV w:val="nil"/>
        </w:tcBorders>
        <w:shd w:val="clear" w:color="auto" w:fill="EFD3D3" w:themeFill="accent2" w:themeFillTint="3F"/>
      </w:tcPr>
    </w:tblStylePr>
  </w:style>
  <w:style w:type="table" w:styleId="40">
    <w:name w:val="Light Shading Accent 3"/>
    <w:basedOn w:val="35"/>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Layout w:type="fixed"/>
      <w:tblCellMar>
        <w:top w:w="0" w:type="dxa"/>
        <w:left w:w="108" w:type="dxa"/>
        <w:bottom w:w="0" w:type="dxa"/>
        <w:right w:w="108" w:type="dxa"/>
      </w:tblCellMar>
    </w:tblPr>
    <w:tblStylePr w:type="firstRow">
      <w:pPr>
        <w:spacing w:before="0" w:after="0" w:line="240" w:lineRule="auto"/>
      </w:pPr>
      <w:rPr>
        <w:b/>
        <w:bCs/>
      </w:rPr>
      <w:tblPr>
        <w:tblLayout w:type="fixed"/>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blLayout w:type="fixed"/>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blLayout w:type="fixed"/>
      </w:tblPr>
      <w:tcPr>
        <w:tcBorders>
          <w:left w:val="nil"/>
          <w:right w:val="nil"/>
          <w:insideH w:val="nil"/>
          <w:insideV w:val="nil"/>
        </w:tcBorders>
        <w:shd w:val="clear" w:color="auto" w:fill="E6EED5" w:themeFill="accent3" w:themeFillTint="3F"/>
      </w:tcPr>
    </w:tblStylePr>
    <w:tblStylePr w:type="band1Horz">
      <w:tblPr>
        <w:tblLayout w:type="fixed"/>
      </w:tblPr>
      <w:tcPr>
        <w:tcBorders>
          <w:left w:val="nil"/>
          <w:right w:val="nil"/>
          <w:insideH w:val="nil"/>
          <w:insideV w:val="nil"/>
        </w:tcBorders>
        <w:shd w:val="clear" w:color="auto" w:fill="E6EED5" w:themeFill="accent3" w:themeFillTint="3F"/>
      </w:tcPr>
    </w:tblStylePr>
  </w:style>
  <w:style w:type="table" w:styleId="41">
    <w:name w:val="Light Shading Accent 4"/>
    <w:basedOn w:val="35"/>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Layout w:type="fixed"/>
      <w:tblCellMar>
        <w:top w:w="0" w:type="dxa"/>
        <w:left w:w="108" w:type="dxa"/>
        <w:bottom w:w="0" w:type="dxa"/>
        <w:right w:w="108" w:type="dxa"/>
      </w:tblCellMar>
    </w:tblPr>
    <w:tblStylePr w:type="firstRow">
      <w:pPr>
        <w:spacing w:before="0" w:after="0" w:line="240" w:lineRule="auto"/>
      </w:pPr>
      <w:rPr>
        <w:b/>
        <w:bCs/>
      </w:rPr>
      <w:tblPr>
        <w:tblLayout w:type="fixed"/>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blLayout w:type="fixed"/>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blLayout w:type="fixed"/>
      </w:tblPr>
      <w:tcPr>
        <w:tcBorders>
          <w:left w:val="nil"/>
          <w:right w:val="nil"/>
          <w:insideH w:val="nil"/>
          <w:insideV w:val="nil"/>
        </w:tcBorders>
        <w:shd w:val="clear" w:color="auto" w:fill="DFD8E8" w:themeFill="accent4" w:themeFillTint="3F"/>
      </w:tcPr>
    </w:tblStylePr>
    <w:tblStylePr w:type="band1Horz">
      <w:tblPr>
        <w:tblLayout w:type="fixed"/>
      </w:tblPr>
      <w:tcPr>
        <w:tcBorders>
          <w:left w:val="nil"/>
          <w:right w:val="nil"/>
          <w:insideH w:val="nil"/>
          <w:insideV w:val="nil"/>
        </w:tcBorders>
        <w:shd w:val="clear" w:color="auto" w:fill="DFD8E8" w:themeFill="accent4" w:themeFillTint="3F"/>
      </w:tcPr>
    </w:tblStylePr>
  </w:style>
  <w:style w:type="table" w:styleId="42">
    <w:name w:val="Light Shading Accent 5"/>
    <w:basedOn w:val="35"/>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Layout w:type="fixed"/>
      <w:tblCellMar>
        <w:top w:w="0" w:type="dxa"/>
        <w:left w:w="108" w:type="dxa"/>
        <w:bottom w:w="0" w:type="dxa"/>
        <w:right w:w="108" w:type="dxa"/>
      </w:tblCellMar>
    </w:tblPr>
    <w:tblStylePr w:type="firstRow">
      <w:pPr>
        <w:spacing w:before="0" w:after="0" w:line="240" w:lineRule="auto"/>
      </w:pPr>
      <w:rPr>
        <w:b/>
        <w:bCs/>
      </w:rPr>
      <w:tblPr>
        <w:tblLayout w:type="fixed"/>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blLayout w:type="fixed"/>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blLayout w:type="fixed"/>
      </w:tblPr>
      <w:tcPr>
        <w:tcBorders>
          <w:left w:val="nil"/>
          <w:right w:val="nil"/>
          <w:insideH w:val="nil"/>
          <w:insideV w:val="nil"/>
        </w:tcBorders>
        <w:shd w:val="clear" w:color="auto" w:fill="D2EAF0" w:themeFill="accent5" w:themeFillTint="3F"/>
      </w:tcPr>
    </w:tblStylePr>
    <w:tblStylePr w:type="band1Horz">
      <w:tblPr>
        <w:tblLayout w:type="fixed"/>
      </w:tblPr>
      <w:tcPr>
        <w:tcBorders>
          <w:left w:val="nil"/>
          <w:right w:val="nil"/>
          <w:insideH w:val="nil"/>
          <w:insideV w:val="nil"/>
        </w:tcBorders>
        <w:shd w:val="clear" w:color="auto" w:fill="D2EAF0" w:themeFill="accent5" w:themeFillTint="3F"/>
      </w:tcPr>
    </w:tblStylePr>
  </w:style>
  <w:style w:type="table" w:styleId="43">
    <w:name w:val="Light Shading Accent 6"/>
    <w:basedOn w:val="35"/>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Layout w:type="fixed"/>
      <w:tblCellMar>
        <w:top w:w="0" w:type="dxa"/>
        <w:left w:w="108" w:type="dxa"/>
        <w:bottom w:w="0" w:type="dxa"/>
        <w:right w:w="108" w:type="dxa"/>
      </w:tblCellMar>
    </w:tblPr>
    <w:tblStylePr w:type="firstRow">
      <w:pPr>
        <w:spacing w:before="0" w:after="0" w:line="240" w:lineRule="auto"/>
      </w:pPr>
      <w:rPr>
        <w:b/>
        <w:bCs/>
      </w:rPr>
      <w:tblPr>
        <w:tblLayout w:type="fixed"/>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blLayout w:type="fixed"/>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blLayout w:type="fixed"/>
      </w:tblPr>
      <w:tcPr>
        <w:tcBorders>
          <w:left w:val="nil"/>
          <w:right w:val="nil"/>
          <w:insideH w:val="nil"/>
          <w:insideV w:val="nil"/>
        </w:tcBorders>
        <w:shd w:val="clear" w:color="auto" w:fill="FDE5D1" w:themeFill="accent6" w:themeFillTint="3F"/>
      </w:tcPr>
    </w:tblStylePr>
    <w:tblStylePr w:type="band1Horz">
      <w:tblPr>
        <w:tblLayout w:type="fixed"/>
      </w:tblPr>
      <w:tcPr>
        <w:tcBorders>
          <w:left w:val="nil"/>
          <w:right w:val="nil"/>
          <w:insideH w:val="nil"/>
          <w:insideV w:val="nil"/>
        </w:tcBorders>
        <w:shd w:val="clear" w:color="auto" w:fill="FDE5D1" w:themeFill="accent6" w:themeFillTint="3F"/>
      </w:tcPr>
    </w:tblStylePr>
  </w:style>
  <w:style w:type="table" w:styleId="44">
    <w:name w:val="Light List"/>
    <w:basedOn w:val="35"/>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shd w:val="clear" w:color="auto" w:fill="000000" w:themeFill="text1"/>
      </w:tcPr>
    </w:tblStylePr>
    <w:tblStylePr w:type="lastRow">
      <w:pPr>
        <w:spacing w:before="0" w:after="0" w:line="240" w:lineRule="auto"/>
      </w:pPr>
      <w:rPr>
        <w:b/>
        <w:bCs/>
      </w:rPr>
      <w:tblPr>
        <w:tblLayout w:type="fixed"/>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blLayout w:type="fixed"/>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blLayout w:type="fixed"/>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5">
    <w:name w:val="Light List Accent 1"/>
    <w:basedOn w:val="35"/>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shd w:val="clear" w:color="auto" w:fill="4F81BD" w:themeFill="accent1"/>
      </w:tcPr>
    </w:tblStylePr>
    <w:tblStylePr w:type="lastRow">
      <w:pPr>
        <w:spacing w:before="0" w:after="0" w:line="240" w:lineRule="auto"/>
      </w:pPr>
      <w:rPr>
        <w:b/>
        <w:bCs/>
      </w:rPr>
      <w:tblPr>
        <w:tblLayout w:type="fixed"/>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blLayout w:type="fixed"/>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blLayout w:type="fixed"/>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6">
    <w:name w:val="Light List Accent 2"/>
    <w:basedOn w:val="35"/>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shd w:val="clear" w:color="auto" w:fill="C0504D" w:themeFill="accent2"/>
      </w:tcPr>
    </w:tblStylePr>
    <w:tblStylePr w:type="lastRow">
      <w:pPr>
        <w:spacing w:before="0" w:after="0" w:line="240" w:lineRule="auto"/>
      </w:pPr>
      <w:rPr>
        <w:b/>
        <w:bCs/>
      </w:rPr>
      <w:tblPr>
        <w:tblLayout w:type="fixed"/>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blLayout w:type="fixed"/>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blLayout w:type="fixed"/>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7">
    <w:name w:val="Light List Accent 3"/>
    <w:basedOn w:val="35"/>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shd w:val="clear" w:color="auto" w:fill="9BBB59" w:themeFill="accent3"/>
      </w:tcPr>
    </w:tblStylePr>
    <w:tblStylePr w:type="lastRow">
      <w:pPr>
        <w:spacing w:before="0" w:after="0" w:line="240" w:lineRule="auto"/>
      </w:pPr>
      <w:rPr>
        <w:b/>
        <w:bCs/>
      </w:rPr>
      <w:tblPr>
        <w:tblLayout w:type="fixed"/>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blLayout w:type="fixed"/>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blLayout w:type="fixed"/>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8">
    <w:name w:val="Light List Accent 4"/>
    <w:basedOn w:val="35"/>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shd w:val="clear" w:color="auto" w:fill="8064A2" w:themeFill="accent4"/>
      </w:tcPr>
    </w:tblStylePr>
    <w:tblStylePr w:type="lastRow">
      <w:pPr>
        <w:spacing w:before="0" w:after="0" w:line="240" w:lineRule="auto"/>
      </w:pPr>
      <w:rPr>
        <w:b/>
        <w:bCs/>
      </w:rPr>
      <w:tblPr>
        <w:tblLayout w:type="fixed"/>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blLayout w:type="fixed"/>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blLayout w:type="fixed"/>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9">
    <w:name w:val="Light List Accent 5"/>
    <w:basedOn w:val="35"/>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shd w:val="clear" w:color="auto" w:fill="4BACC6" w:themeFill="accent5"/>
      </w:tcPr>
    </w:tblStylePr>
    <w:tblStylePr w:type="lastRow">
      <w:pPr>
        <w:spacing w:before="0" w:after="0" w:line="240" w:lineRule="auto"/>
      </w:pPr>
      <w:rPr>
        <w:b/>
        <w:bCs/>
      </w:rPr>
      <w:tblPr>
        <w:tblLayout w:type="fixed"/>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blLayout w:type="fixed"/>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blLayout w:type="fixed"/>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0">
    <w:name w:val="Light List Accent 6"/>
    <w:basedOn w:val="35"/>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shd w:val="clear" w:color="auto" w:fill="F79646" w:themeFill="accent6"/>
      </w:tcPr>
    </w:tblStylePr>
    <w:tblStylePr w:type="lastRow">
      <w:pPr>
        <w:spacing w:before="0" w:after="0" w:line="240" w:lineRule="auto"/>
      </w:pPr>
      <w:rPr>
        <w:b/>
        <w:bCs/>
      </w:rPr>
      <w:tblPr>
        <w:tblLayout w:type="fixed"/>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blLayout w:type="fixed"/>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blLayout w:type="fixed"/>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1">
    <w:name w:val="Light Grid"/>
    <w:basedOn w:val="35"/>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blLayout w:type="fixed"/>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blLayout w:type="fixed"/>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blLayout w:type="fixed"/>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blLayout w:type="fixed"/>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blLayout w:type="fixed"/>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blLayout w:type="fixed"/>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2">
    <w:name w:val="Light Grid Accent 1"/>
    <w:basedOn w:val="35"/>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Layout w:type="fixed"/>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blLayout w:type="fixed"/>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blLayout w:type="fixed"/>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blLayout w:type="fixed"/>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blLayout w:type="fixed"/>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blLayout w:type="fixed"/>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blLayout w:type="fixed"/>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3">
    <w:name w:val="Light Grid Accent 2"/>
    <w:basedOn w:val="35"/>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Layout w:type="fixed"/>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blLayout w:type="fixed"/>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blLayout w:type="fixed"/>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blLayout w:type="fixed"/>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blLayout w:type="fixed"/>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blLayout w:type="fixed"/>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blLayout w:type="fixed"/>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4">
    <w:name w:val="Light Grid Accent 3"/>
    <w:basedOn w:val="35"/>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Layout w:type="fixed"/>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blLayout w:type="fixed"/>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blLayout w:type="fixed"/>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blLayout w:type="fixed"/>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blLayout w:type="fixed"/>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blLayout w:type="fixed"/>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blLayout w:type="fixed"/>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5">
    <w:name w:val="Light Grid Accent 4"/>
    <w:basedOn w:val="35"/>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Layout w:type="fixed"/>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blLayout w:type="fixed"/>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blLayout w:type="fixed"/>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blLayout w:type="fixed"/>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blLayout w:type="fixed"/>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blLayout w:type="fixed"/>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blLayout w:type="fixed"/>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6">
    <w:name w:val="Light Grid Accent 5"/>
    <w:basedOn w:val="35"/>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Layout w:type="fixed"/>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blLayout w:type="fixed"/>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blLayout w:type="fixed"/>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blLayout w:type="fixed"/>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blLayout w:type="fixed"/>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blLayout w:type="fixed"/>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blLayout w:type="fixed"/>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7">
    <w:name w:val="Light Grid Accent 6"/>
    <w:basedOn w:val="35"/>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Layout w:type="fixed"/>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blLayout w:type="fixed"/>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blLayout w:type="fixed"/>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blLayout w:type="fixed"/>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blLayout w:type="fixed"/>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blLayout w:type="fixed"/>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blLayout w:type="fixed"/>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8">
    <w:name w:val="Medium Shading 1"/>
    <w:basedOn w:val="35"/>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blLayout w:type="fixed"/>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blLayout w:type="fixed"/>
      </w:tblPr>
      <w:tcPr>
        <w:shd w:val="clear" w:color="auto" w:fill="BFBFBF" w:themeFill="text1" w:themeFillTint="3F"/>
      </w:tcPr>
    </w:tblStylePr>
    <w:tblStylePr w:type="band1Horz">
      <w:tblPr>
        <w:tblLayout w:type="fixed"/>
      </w:tblPr>
      <w:tcPr>
        <w:tcBorders>
          <w:insideH w:val="nil"/>
          <w:insideV w:val="nil"/>
        </w:tcBorders>
        <w:shd w:val="clear" w:color="auto" w:fill="BFBFBF" w:themeFill="text1" w:themeFillTint="3F"/>
      </w:tcPr>
    </w:tblStylePr>
    <w:tblStylePr w:type="band2Horz">
      <w:tblPr>
        <w:tblLayout w:type="fixed"/>
      </w:tblPr>
      <w:tcPr>
        <w:tcBorders>
          <w:insideH w:val="nil"/>
          <w:insideV w:val="nil"/>
        </w:tcBorders>
      </w:tcPr>
    </w:tblStylePr>
  </w:style>
  <w:style w:type="table" w:styleId="59">
    <w:name w:val="Medium Shading 1 Accent 1"/>
    <w:basedOn w:val="35"/>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blLayout w:type="fixed"/>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blLayout w:type="fixed"/>
      </w:tblPr>
      <w:tcPr>
        <w:shd w:val="clear" w:color="auto" w:fill="D3DFEE" w:themeFill="accent1" w:themeFillTint="3F"/>
      </w:tcPr>
    </w:tblStylePr>
    <w:tblStylePr w:type="band1Horz">
      <w:tblPr>
        <w:tblLayout w:type="fixed"/>
      </w:tblPr>
      <w:tcPr>
        <w:tcBorders>
          <w:insideH w:val="nil"/>
          <w:insideV w:val="nil"/>
        </w:tcBorders>
        <w:shd w:val="clear" w:color="auto" w:fill="D3DFEE" w:themeFill="accent1" w:themeFillTint="3F"/>
      </w:tcPr>
    </w:tblStylePr>
    <w:tblStylePr w:type="band2Horz">
      <w:tblPr>
        <w:tblLayout w:type="fixed"/>
      </w:tblPr>
      <w:tcPr>
        <w:tcBorders>
          <w:insideH w:val="nil"/>
          <w:insideV w:val="nil"/>
        </w:tcBorders>
      </w:tcPr>
    </w:tblStylePr>
  </w:style>
  <w:style w:type="table" w:styleId="60">
    <w:name w:val="Medium Shading 1 Accent 2"/>
    <w:basedOn w:val="35"/>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blLayout w:type="fixed"/>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blLayout w:type="fixed"/>
      </w:tblPr>
      <w:tcPr>
        <w:shd w:val="clear" w:color="auto" w:fill="EFD3D3" w:themeFill="accent2" w:themeFillTint="3F"/>
      </w:tcPr>
    </w:tblStylePr>
    <w:tblStylePr w:type="band1Horz">
      <w:tblPr>
        <w:tblLayout w:type="fixed"/>
      </w:tblPr>
      <w:tcPr>
        <w:tcBorders>
          <w:insideH w:val="nil"/>
          <w:insideV w:val="nil"/>
        </w:tcBorders>
        <w:shd w:val="clear" w:color="auto" w:fill="EFD3D3" w:themeFill="accent2" w:themeFillTint="3F"/>
      </w:tcPr>
    </w:tblStylePr>
    <w:tblStylePr w:type="band2Horz">
      <w:tblPr>
        <w:tblLayout w:type="fixed"/>
      </w:tblPr>
      <w:tcPr>
        <w:tcBorders>
          <w:insideH w:val="nil"/>
          <w:insideV w:val="nil"/>
        </w:tcBorders>
      </w:tcPr>
    </w:tblStylePr>
  </w:style>
  <w:style w:type="table" w:styleId="61">
    <w:name w:val="Medium Shading 1 Accent 3"/>
    <w:basedOn w:val="35"/>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blLayout w:type="fixed"/>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blLayout w:type="fixed"/>
      </w:tblPr>
      <w:tcPr>
        <w:shd w:val="clear" w:color="auto" w:fill="E6EED5" w:themeFill="accent3" w:themeFillTint="3F"/>
      </w:tcPr>
    </w:tblStylePr>
    <w:tblStylePr w:type="band1Horz">
      <w:tblPr>
        <w:tblLayout w:type="fixed"/>
      </w:tblPr>
      <w:tcPr>
        <w:tcBorders>
          <w:insideH w:val="nil"/>
          <w:insideV w:val="nil"/>
        </w:tcBorders>
        <w:shd w:val="clear" w:color="auto" w:fill="E6EED5" w:themeFill="accent3" w:themeFillTint="3F"/>
      </w:tcPr>
    </w:tblStylePr>
    <w:tblStylePr w:type="band2Horz">
      <w:tblPr>
        <w:tblLayout w:type="fixed"/>
      </w:tblPr>
      <w:tcPr>
        <w:tcBorders>
          <w:insideH w:val="nil"/>
          <w:insideV w:val="nil"/>
        </w:tcBorders>
      </w:tcPr>
    </w:tblStylePr>
  </w:style>
  <w:style w:type="table" w:styleId="62">
    <w:name w:val="Medium Shading 1 Accent 4"/>
    <w:basedOn w:val="35"/>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blLayout w:type="fixed"/>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blLayout w:type="fixed"/>
      </w:tblPr>
      <w:tcPr>
        <w:shd w:val="clear" w:color="auto" w:fill="DFD8E8" w:themeFill="accent4" w:themeFillTint="3F"/>
      </w:tcPr>
    </w:tblStylePr>
    <w:tblStylePr w:type="band1Horz">
      <w:tblPr>
        <w:tblLayout w:type="fixed"/>
      </w:tblPr>
      <w:tcPr>
        <w:tcBorders>
          <w:insideH w:val="nil"/>
          <w:insideV w:val="nil"/>
        </w:tcBorders>
        <w:shd w:val="clear" w:color="auto" w:fill="DFD8E8" w:themeFill="accent4" w:themeFillTint="3F"/>
      </w:tcPr>
    </w:tblStylePr>
    <w:tblStylePr w:type="band2Horz">
      <w:tblPr>
        <w:tblLayout w:type="fixed"/>
      </w:tblPr>
      <w:tcPr>
        <w:tcBorders>
          <w:insideH w:val="nil"/>
          <w:insideV w:val="nil"/>
        </w:tcBorders>
      </w:tcPr>
    </w:tblStylePr>
  </w:style>
  <w:style w:type="table" w:styleId="63">
    <w:name w:val="Medium Shading 1 Accent 5"/>
    <w:basedOn w:val="35"/>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blLayout w:type="fixed"/>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blLayout w:type="fixed"/>
      </w:tblPr>
      <w:tcPr>
        <w:shd w:val="clear" w:color="auto" w:fill="D2EAF0" w:themeFill="accent5" w:themeFillTint="3F"/>
      </w:tcPr>
    </w:tblStylePr>
    <w:tblStylePr w:type="band1Horz">
      <w:tblPr>
        <w:tblLayout w:type="fixed"/>
      </w:tblPr>
      <w:tcPr>
        <w:tcBorders>
          <w:insideH w:val="nil"/>
          <w:insideV w:val="nil"/>
        </w:tcBorders>
        <w:shd w:val="clear" w:color="auto" w:fill="D2EAF0" w:themeFill="accent5" w:themeFillTint="3F"/>
      </w:tcPr>
    </w:tblStylePr>
    <w:tblStylePr w:type="band2Horz">
      <w:tblPr>
        <w:tblLayout w:type="fixed"/>
      </w:tblPr>
      <w:tcPr>
        <w:tcBorders>
          <w:insideH w:val="nil"/>
          <w:insideV w:val="nil"/>
        </w:tcBorders>
      </w:tcPr>
    </w:tblStylePr>
  </w:style>
  <w:style w:type="table" w:styleId="64">
    <w:name w:val="Medium Shading 1 Accent 6"/>
    <w:basedOn w:val="35"/>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blLayout w:type="fixed"/>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blLayout w:type="fixed"/>
      </w:tblPr>
      <w:tcPr>
        <w:shd w:val="clear" w:color="auto" w:fill="FDE5D1" w:themeFill="accent6" w:themeFillTint="3F"/>
      </w:tcPr>
    </w:tblStylePr>
    <w:tblStylePr w:type="band1Horz">
      <w:tblPr>
        <w:tblLayout w:type="fixed"/>
      </w:tblPr>
      <w:tcPr>
        <w:tcBorders>
          <w:insideH w:val="nil"/>
          <w:insideV w:val="nil"/>
        </w:tcBorders>
        <w:shd w:val="clear" w:color="auto" w:fill="FDE5D1" w:themeFill="accent6" w:themeFillTint="3F"/>
      </w:tcPr>
    </w:tblStylePr>
    <w:tblStylePr w:type="band2Horz">
      <w:tblPr>
        <w:tblLayout w:type="fixed"/>
      </w:tblPr>
      <w:tcPr>
        <w:tcBorders>
          <w:insideH w:val="nil"/>
          <w:insideV w:val="nil"/>
        </w:tcBorders>
      </w:tcPr>
    </w:tblStylePr>
  </w:style>
  <w:style w:type="table" w:styleId="65">
    <w:name w:val="Medium Shading 2"/>
    <w:basedOn w:val="35"/>
    <w:uiPriority w:val="64"/>
    <w:pPr>
      <w:spacing w:after="0" w:line="240" w:lineRule="auto"/>
    </w:pPr>
    <w:tblPr>
      <w:tblBorders>
        <w:top w:val="single" w:color="auto" w:sz="18" w:space="0"/>
        <w:bottom w:val="single" w:color="auto" w:sz="1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blLayout w:type="fixed"/>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blLayout w:type="fixed"/>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blLayout w:type="fixed"/>
      </w:tblPr>
      <w:tcPr>
        <w:tcBorders>
          <w:left w:val="nil"/>
          <w:right w:val="nil"/>
          <w:insideH w:val="nil"/>
          <w:insideV w:val="nil"/>
        </w:tcBorders>
        <w:shd w:val="clear" w:color="auto" w:fill="000000" w:themeFill="text1"/>
      </w:tcPr>
    </w:tblStylePr>
    <w:tblStylePr w:type="band1Vert">
      <w:tblPr>
        <w:tblLayout w:type="fixed"/>
      </w:tblPr>
      <w:tcPr>
        <w:tcBorders>
          <w:left w:val="nil"/>
          <w:right w:val="nil"/>
          <w:insideH w:val="nil"/>
          <w:insideV w:val="nil"/>
        </w:tcBorders>
        <w:shd w:val="clear" w:color="auto" w:fill="D7D7D7" w:themeFill="background1" w:themeFillShade="D8"/>
      </w:tcPr>
    </w:tblStylePr>
    <w:tblStylePr w:type="band1Horz">
      <w:tblPr>
        <w:tblLayout w:type="fixed"/>
      </w:tblPr>
      <w:tcPr>
        <w:shd w:val="clear" w:color="auto" w:fill="D7D7D7" w:themeFill="background1" w:themeFillShade="D8"/>
      </w:tcPr>
    </w:tblStylePr>
    <w:tblStylePr w:type="neCell">
      <w:tblPr>
        <w:tblLayout w:type="fixed"/>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35"/>
    <w:uiPriority w:val="64"/>
    <w:pPr>
      <w:spacing w:after="0" w:line="240" w:lineRule="auto"/>
    </w:pPr>
    <w:tblPr>
      <w:tblBorders>
        <w:top w:val="single" w:color="auto" w:sz="18" w:space="0"/>
        <w:bottom w:val="single" w:color="auto" w:sz="1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blLayout w:type="fixed"/>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blLayout w:type="fixed"/>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blLayout w:type="fixed"/>
      </w:tblPr>
      <w:tcPr>
        <w:tcBorders>
          <w:left w:val="nil"/>
          <w:right w:val="nil"/>
          <w:insideH w:val="nil"/>
          <w:insideV w:val="nil"/>
        </w:tcBorders>
        <w:shd w:val="clear" w:color="auto" w:fill="4F81BD" w:themeFill="accent1"/>
      </w:tcPr>
    </w:tblStylePr>
    <w:tblStylePr w:type="band1Vert">
      <w:tblPr>
        <w:tblLayout w:type="fixed"/>
      </w:tblPr>
      <w:tcPr>
        <w:tcBorders>
          <w:left w:val="nil"/>
          <w:right w:val="nil"/>
          <w:insideH w:val="nil"/>
          <w:insideV w:val="nil"/>
        </w:tcBorders>
        <w:shd w:val="clear" w:color="auto" w:fill="D7D7D7" w:themeFill="background1" w:themeFillShade="D8"/>
      </w:tcPr>
    </w:tblStylePr>
    <w:tblStylePr w:type="band1Horz">
      <w:tblPr>
        <w:tblLayout w:type="fixed"/>
      </w:tblPr>
      <w:tcPr>
        <w:shd w:val="clear" w:color="auto" w:fill="D7D7D7" w:themeFill="background1" w:themeFillShade="D8"/>
      </w:tcPr>
    </w:tblStylePr>
    <w:tblStylePr w:type="neCell">
      <w:tblPr>
        <w:tblLayout w:type="fixed"/>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35"/>
    <w:uiPriority w:val="64"/>
    <w:pPr>
      <w:spacing w:after="0" w:line="240" w:lineRule="auto"/>
    </w:pPr>
    <w:tblPr>
      <w:tblBorders>
        <w:top w:val="single" w:color="auto" w:sz="18" w:space="0"/>
        <w:bottom w:val="single" w:color="auto" w:sz="1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blLayout w:type="fixed"/>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blLayout w:type="fixed"/>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blLayout w:type="fixed"/>
      </w:tblPr>
      <w:tcPr>
        <w:tcBorders>
          <w:left w:val="nil"/>
          <w:right w:val="nil"/>
          <w:insideH w:val="nil"/>
          <w:insideV w:val="nil"/>
        </w:tcBorders>
        <w:shd w:val="clear" w:color="auto" w:fill="C0504D" w:themeFill="accent2"/>
      </w:tcPr>
    </w:tblStylePr>
    <w:tblStylePr w:type="band1Vert">
      <w:tblPr>
        <w:tblLayout w:type="fixed"/>
      </w:tblPr>
      <w:tcPr>
        <w:tcBorders>
          <w:left w:val="nil"/>
          <w:right w:val="nil"/>
          <w:insideH w:val="nil"/>
          <w:insideV w:val="nil"/>
        </w:tcBorders>
        <w:shd w:val="clear" w:color="auto" w:fill="D7D7D7" w:themeFill="background1" w:themeFillShade="D8"/>
      </w:tcPr>
    </w:tblStylePr>
    <w:tblStylePr w:type="band1Horz">
      <w:tblPr>
        <w:tblLayout w:type="fixed"/>
      </w:tblPr>
      <w:tcPr>
        <w:shd w:val="clear" w:color="auto" w:fill="D7D7D7" w:themeFill="background1" w:themeFillShade="D8"/>
      </w:tcPr>
    </w:tblStylePr>
    <w:tblStylePr w:type="neCell">
      <w:tblPr>
        <w:tblLayout w:type="fixed"/>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35"/>
    <w:uiPriority w:val="64"/>
    <w:pPr>
      <w:spacing w:after="0" w:line="240" w:lineRule="auto"/>
    </w:pPr>
    <w:tblPr>
      <w:tblBorders>
        <w:top w:val="single" w:color="auto" w:sz="18" w:space="0"/>
        <w:bottom w:val="single" w:color="auto" w:sz="1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blLayout w:type="fixed"/>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blLayout w:type="fixed"/>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blLayout w:type="fixed"/>
      </w:tblPr>
      <w:tcPr>
        <w:tcBorders>
          <w:left w:val="nil"/>
          <w:right w:val="nil"/>
          <w:insideH w:val="nil"/>
          <w:insideV w:val="nil"/>
        </w:tcBorders>
        <w:shd w:val="clear" w:color="auto" w:fill="9BBB59" w:themeFill="accent3"/>
      </w:tcPr>
    </w:tblStylePr>
    <w:tblStylePr w:type="band1Vert">
      <w:tblPr>
        <w:tblLayout w:type="fixed"/>
      </w:tblPr>
      <w:tcPr>
        <w:tcBorders>
          <w:left w:val="nil"/>
          <w:right w:val="nil"/>
          <w:insideH w:val="nil"/>
          <w:insideV w:val="nil"/>
        </w:tcBorders>
        <w:shd w:val="clear" w:color="auto" w:fill="D7D7D7" w:themeFill="background1" w:themeFillShade="D8"/>
      </w:tcPr>
    </w:tblStylePr>
    <w:tblStylePr w:type="band1Horz">
      <w:tblPr>
        <w:tblLayout w:type="fixed"/>
      </w:tblPr>
      <w:tcPr>
        <w:shd w:val="clear" w:color="auto" w:fill="D7D7D7" w:themeFill="background1" w:themeFillShade="D8"/>
      </w:tcPr>
    </w:tblStylePr>
    <w:tblStylePr w:type="neCell">
      <w:tblPr>
        <w:tblLayout w:type="fixed"/>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35"/>
    <w:uiPriority w:val="64"/>
    <w:pPr>
      <w:spacing w:after="0" w:line="240" w:lineRule="auto"/>
    </w:pPr>
    <w:tblPr>
      <w:tblBorders>
        <w:top w:val="single" w:color="auto" w:sz="18" w:space="0"/>
        <w:bottom w:val="single" w:color="auto" w:sz="1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blLayout w:type="fixed"/>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blLayout w:type="fixed"/>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blLayout w:type="fixed"/>
      </w:tblPr>
      <w:tcPr>
        <w:tcBorders>
          <w:left w:val="nil"/>
          <w:right w:val="nil"/>
          <w:insideH w:val="nil"/>
          <w:insideV w:val="nil"/>
        </w:tcBorders>
        <w:shd w:val="clear" w:color="auto" w:fill="8064A2" w:themeFill="accent4"/>
      </w:tcPr>
    </w:tblStylePr>
    <w:tblStylePr w:type="band1Vert">
      <w:tblPr>
        <w:tblLayout w:type="fixed"/>
      </w:tblPr>
      <w:tcPr>
        <w:tcBorders>
          <w:left w:val="nil"/>
          <w:right w:val="nil"/>
          <w:insideH w:val="nil"/>
          <w:insideV w:val="nil"/>
        </w:tcBorders>
        <w:shd w:val="clear" w:color="auto" w:fill="D7D7D7" w:themeFill="background1" w:themeFillShade="D8"/>
      </w:tcPr>
    </w:tblStylePr>
    <w:tblStylePr w:type="band1Horz">
      <w:tblPr>
        <w:tblLayout w:type="fixed"/>
      </w:tblPr>
      <w:tcPr>
        <w:shd w:val="clear" w:color="auto" w:fill="D7D7D7" w:themeFill="background1" w:themeFillShade="D8"/>
      </w:tcPr>
    </w:tblStylePr>
    <w:tblStylePr w:type="neCell">
      <w:tblPr>
        <w:tblLayout w:type="fixed"/>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35"/>
    <w:uiPriority w:val="64"/>
    <w:pPr>
      <w:spacing w:after="0" w:line="240" w:lineRule="auto"/>
    </w:pPr>
    <w:tblPr>
      <w:tblBorders>
        <w:top w:val="single" w:color="auto" w:sz="18" w:space="0"/>
        <w:bottom w:val="single" w:color="auto" w:sz="1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blLayout w:type="fixed"/>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blLayout w:type="fixed"/>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blLayout w:type="fixed"/>
      </w:tblPr>
      <w:tcPr>
        <w:tcBorders>
          <w:left w:val="nil"/>
          <w:right w:val="nil"/>
          <w:insideH w:val="nil"/>
          <w:insideV w:val="nil"/>
        </w:tcBorders>
        <w:shd w:val="clear" w:color="auto" w:fill="4BACC6" w:themeFill="accent5"/>
      </w:tcPr>
    </w:tblStylePr>
    <w:tblStylePr w:type="band1Vert">
      <w:tblPr>
        <w:tblLayout w:type="fixed"/>
      </w:tblPr>
      <w:tcPr>
        <w:tcBorders>
          <w:left w:val="nil"/>
          <w:right w:val="nil"/>
          <w:insideH w:val="nil"/>
          <w:insideV w:val="nil"/>
        </w:tcBorders>
        <w:shd w:val="clear" w:color="auto" w:fill="D7D7D7" w:themeFill="background1" w:themeFillShade="D8"/>
      </w:tcPr>
    </w:tblStylePr>
    <w:tblStylePr w:type="band1Horz">
      <w:tblPr>
        <w:tblLayout w:type="fixed"/>
      </w:tblPr>
      <w:tcPr>
        <w:shd w:val="clear" w:color="auto" w:fill="D7D7D7" w:themeFill="background1" w:themeFillShade="D8"/>
      </w:tcPr>
    </w:tblStylePr>
    <w:tblStylePr w:type="neCell">
      <w:tblPr>
        <w:tblLayout w:type="fixed"/>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35"/>
    <w:uiPriority w:val="64"/>
    <w:pPr>
      <w:spacing w:after="0" w:line="240" w:lineRule="auto"/>
    </w:pPr>
    <w:tblPr>
      <w:tblBorders>
        <w:top w:val="single" w:color="auto" w:sz="18" w:space="0"/>
        <w:bottom w:val="single" w:color="auto" w:sz="1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blLayout w:type="fixed"/>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blLayout w:type="fixed"/>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blLayout w:type="fixed"/>
      </w:tblPr>
      <w:tcPr>
        <w:tcBorders>
          <w:left w:val="nil"/>
          <w:right w:val="nil"/>
          <w:insideH w:val="nil"/>
          <w:insideV w:val="nil"/>
        </w:tcBorders>
        <w:shd w:val="clear" w:color="auto" w:fill="F79646" w:themeFill="accent6"/>
      </w:tcPr>
    </w:tblStylePr>
    <w:tblStylePr w:type="band1Vert">
      <w:tblPr>
        <w:tblLayout w:type="fixed"/>
      </w:tblPr>
      <w:tcPr>
        <w:tcBorders>
          <w:left w:val="nil"/>
          <w:right w:val="nil"/>
          <w:insideH w:val="nil"/>
          <w:insideV w:val="nil"/>
        </w:tcBorders>
        <w:shd w:val="clear" w:color="auto" w:fill="D7D7D7" w:themeFill="background1" w:themeFillShade="D8"/>
      </w:tcPr>
    </w:tblStylePr>
    <w:tblStylePr w:type="band1Horz">
      <w:tblPr>
        <w:tblLayout w:type="fixed"/>
      </w:tblPr>
      <w:tcPr>
        <w:shd w:val="clear" w:color="auto" w:fill="D7D7D7" w:themeFill="background1" w:themeFillShade="D8"/>
      </w:tcPr>
    </w:tblStylePr>
    <w:tblStylePr w:type="neCell">
      <w:tblPr>
        <w:tblLayout w:type="fixed"/>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tcPr>
    </w:tblStylePr>
  </w:style>
  <w:style w:type="table" w:styleId="72">
    <w:name w:val="Medium List 1"/>
    <w:basedOn w:val="35"/>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Layout w:type="fixed"/>
      <w:tblCellMar>
        <w:top w:w="0" w:type="dxa"/>
        <w:left w:w="108" w:type="dxa"/>
        <w:bottom w:w="0" w:type="dxa"/>
        <w:right w:w="108" w:type="dxa"/>
      </w:tblCellMar>
    </w:tblPr>
    <w:tblStylePr w:type="firstRow">
      <w:rPr>
        <w:rFonts w:asciiTheme="majorHAnsi" w:hAnsiTheme="majorHAnsi" w:eastAsiaTheme="majorEastAsia" w:cstheme="majorBidi"/>
      </w:rPr>
      <w:tblPr>
        <w:tblLayout w:type="fixed"/>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blLayout w:type="fixed"/>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blLayout w:type="fixed"/>
      </w:tblPr>
      <w:tcPr>
        <w:tcBorders>
          <w:top w:val="single" w:color="000000" w:themeColor="text1" w:sz="8" w:space="0"/>
          <w:bottom w:val="single" w:color="000000" w:themeColor="text1" w:sz="8" w:space="0"/>
        </w:tcBorders>
      </w:tcPr>
    </w:tblStylePr>
    <w:tblStylePr w:type="band1Vert">
      <w:tblPr>
        <w:tblLayout w:type="fixed"/>
      </w:tblPr>
      <w:tcPr>
        <w:shd w:val="clear" w:color="auto" w:fill="BFBFBF" w:themeFill="text1" w:themeFillTint="3F"/>
      </w:tcPr>
    </w:tblStylePr>
    <w:tblStylePr w:type="band1Horz">
      <w:tblPr>
        <w:tblLayout w:type="fixed"/>
      </w:tblPr>
      <w:tcPr>
        <w:shd w:val="clear" w:color="auto" w:fill="BFBFBF" w:themeFill="text1" w:themeFillTint="3F"/>
      </w:tcPr>
    </w:tblStylePr>
  </w:style>
  <w:style w:type="table" w:styleId="73">
    <w:name w:val="Medium List 1 Accent 1"/>
    <w:basedOn w:val="35"/>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Layout w:type="fixed"/>
      <w:tblCellMar>
        <w:top w:w="0" w:type="dxa"/>
        <w:left w:w="108" w:type="dxa"/>
        <w:bottom w:w="0" w:type="dxa"/>
        <w:right w:w="108" w:type="dxa"/>
      </w:tblCellMar>
    </w:tblPr>
    <w:tblStylePr w:type="firstRow">
      <w:rPr>
        <w:rFonts w:asciiTheme="majorHAnsi" w:hAnsiTheme="majorHAnsi" w:eastAsiaTheme="majorEastAsia" w:cstheme="majorBidi"/>
      </w:rPr>
      <w:tblPr>
        <w:tblLayout w:type="fixed"/>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blLayout w:type="fixed"/>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blLayout w:type="fixed"/>
      </w:tblPr>
      <w:tcPr>
        <w:tcBorders>
          <w:top w:val="single" w:color="4F81BD" w:themeColor="accent1" w:sz="8" w:space="0"/>
          <w:bottom w:val="single" w:color="4F81BD" w:themeColor="accent1" w:sz="8" w:space="0"/>
        </w:tcBorders>
      </w:tcPr>
    </w:tblStylePr>
    <w:tblStylePr w:type="band1Vert">
      <w:tblPr>
        <w:tblLayout w:type="fixed"/>
      </w:tblPr>
      <w:tcPr>
        <w:shd w:val="clear" w:color="auto" w:fill="D3DFEE" w:themeFill="accent1" w:themeFillTint="3F"/>
      </w:tcPr>
    </w:tblStylePr>
    <w:tblStylePr w:type="band1Horz">
      <w:tblPr>
        <w:tblLayout w:type="fixed"/>
      </w:tblPr>
      <w:tcPr>
        <w:shd w:val="clear" w:color="auto" w:fill="D3DFEE" w:themeFill="accent1" w:themeFillTint="3F"/>
      </w:tcPr>
    </w:tblStylePr>
  </w:style>
  <w:style w:type="table" w:styleId="74">
    <w:name w:val="Medium List 1 Accent 2"/>
    <w:basedOn w:val="35"/>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Layout w:type="fixed"/>
      <w:tblCellMar>
        <w:top w:w="0" w:type="dxa"/>
        <w:left w:w="108" w:type="dxa"/>
        <w:bottom w:w="0" w:type="dxa"/>
        <w:right w:w="108" w:type="dxa"/>
      </w:tblCellMar>
    </w:tblPr>
    <w:tblStylePr w:type="firstRow">
      <w:rPr>
        <w:rFonts w:asciiTheme="majorHAnsi" w:hAnsiTheme="majorHAnsi" w:eastAsiaTheme="majorEastAsia" w:cstheme="majorBidi"/>
      </w:rPr>
      <w:tblPr>
        <w:tblLayout w:type="fixed"/>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blLayout w:type="fixed"/>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blLayout w:type="fixed"/>
      </w:tblPr>
      <w:tcPr>
        <w:tcBorders>
          <w:top w:val="single" w:color="C0504D" w:themeColor="accent2" w:sz="8" w:space="0"/>
          <w:bottom w:val="single" w:color="C0504D" w:themeColor="accent2" w:sz="8" w:space="0"/>
        </w:tcBorders>
      </w:tcPr>
    </w:tblStylePr>
    <w:tblStylePr w:type="band1Vert">
      <w:tblPr>
        <w:tblLayout w:type="fixed"/>
      </w:tblPr>
      <w:tcPr>
        <w:shd w:val="clear" w:color="auto" w:fill="EFD3D3" w:themeFill="accent2" w:themeFillTint="3F"/>
      </w:tcPr>
    </w:tblStylePr>
    <w:tblStylePr w:type="band1Horz">
      <w:tblPr>
        <w:tblLayout w:type="fixed"/>
      </w:tblPr>
      <w:tcPr>
        <w:shd w:val="clear" w:color="auto" w:fill="EFD3D3" w:themeFill="accent2" w:themeFillTint="3F"/>
      </w:tcPr>
    </w:tblStylePr>
  </w:style>
  <w:style w:type="table" w:styleId="75">
    <w:name w:val="Medium List 1 Accent 3"/>
    <w:basedOn w:val="35"/>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Layout w:type="fixed"/>
      <w:tblCellMar>
        <w:top w:w="0" w:type="dxa"/>
        <w:left w:w="108" w:type="dxa"/>
        <w:bottom w:w="0" w:type="dxa"/>
        <w:right w:w="108" w:type="dxa"/>
      </w:tblCellMar>
    </w:tblPr>
    <w:tblStylePr w:type="firstRow">
      <w:rPr>
        <w:rFonts w:asciiTheme="majorHAnsi" w:hAnsiTheme="majorHAnsi" w:eastAsiaTheme="majorEastAsia" w:cstheme="majorBidi"/>
      </w:rPr>
      <w:tblPr>
        <w:tblLayout w:type="fixed"/>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blLayout w:type="fixed"/>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blLayout w:type="fixed"/>
      </w:tblPr>
      <w:tcPr>
        <w:tcBorders>
          <w:top w:val="single" w:color="9BBB59" w:themeColor="accent3" w:sz="8" w:space="0"/>
          <w:bottom w:val="single" w:color="9BBB59" w:themeColor="accent3" w:sz="8" w:space="0"/>
        </w:tcBorders>
      </w:tcPr>
    </w:tblStylePr>
    <w:tblStylePr w:type="band1Vert">
      <w:tblPr>
        <w:tblLayout w:type="fixed"/>
      </w:tblPr>
      <w:tcPr>
        <w:shd w:val="clear" w:color="auto" w:fill="E6EED5" w:themeFill="accent3" w:themeFillTint="3F"/>
      </w:tcPr>
    </w:tblStylePr>
    <w:tblStylePr w:type="band1Horz">
      <w:tblPr>
        <w:tblLayout w:type="fixed"/>
      </w:tblPr>
      <w:tcPr>
        <w:shd w:val="clear" w:color="auto" w:fill="E6EED5" w:themeFill="accent3" w:themeFillTint="3F"/>
      </w:tcPr>
    </w:tblStylePr>
  </w:style>
  <w:style w:type="table" w:styleId="76">
    <w:name w:val="Medium List 1 Accent 4"/>
    <w:basedOn w:val="35"/>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Layout w:type="fixed"/>
      <w:tblCellMar>
        <w:top w:w="0" w:type="dxa"/>
        <w:left w:w="108" w:type="dxa"/>
        <w:bottom w:w="0" w:type="dxa"/>
        <w:right w:w="108" w:type="dxa"/>
      </w:tblCellMar>
    </w:tblPr>
    <w:tblStylePr w:type="firstRow">
      <w:rPr>
        <w:rFonts w:asciiTheme="majorHAnsi" w:hAnsiTheme="majorHAnsi" w:eastAsiaTheme="majorEastAsia" w:cstheme="majorBidi"/>
      </w:rPr>
      <w:tblPr>
        <w:tblLayout w:type="fixed"/>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blLayout w:type="fixed"/>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blLayout w:type="fixed"/>
      </w:tblPr>
      <w:tcPr>
        <w:tcBorders>
          <w:top w:val="single" w:color="8064A2" w:themeColor="accent4" w:sz="8" w:space="0"/>
          <w:bottom w:val="single" w:color="8064A2" w:themeColor="accent4" w:sz="8" w:space="0"/>
        </w:tcBorders>
      </w:tcPr>
    </w:tblStylePr>
    <w:tblStylePr w:type="band1Vert">
      <w:tblPr>
        <w:tblLayout w:type="fixed"/>
      </w:tblPr>
      <w:tcPr>
        <w:shd w:val="clear" w:color="auto" w:fill="DFD8E8" w:themeFill="accent4" w:themeFillTint="3F"/>
      </w:tcPr>
    </w:tblStylePr>
    <w:tblStylePr w:type="band1Horz">
      <w:tblPr>
        <w:tblLayout w:type="fixed"/>
      </w:tblPr>
      <w:tcPr>
        <w:shd w:val="clear" w:color="auto" w:fill="DFD8E8" w:themeFill="accent4" w:themeFillTint="3F"/>
      </w:tcPr>
    </w:tblStylePr>
  </w:style>
  <w:style w:type="table" w:styleId="77">
    <w:name w:val="Medium List 1 Accent 5"/>
    <w:basedOn w:val="35"/>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Layout w:type="fixed"/>
      <w:tblCellMar>
        <w:top w:w="0" w:type="dxa"/>
        <w:left w:w="108" w:type="dxa"/>
        <w:bottom w:w="0" w:type="dxa"/>
        <w:right w:w="108" w:type="dxa"/>
      </w:tblCellMar>
    </w:tblPr>
    <w:tblStylePr w:type="firstRow">
      <w:rPr>
        <w:rFonts w:asciiTheme="majorHAnsi" w:hAnsiTheme="majorHAnsi" w:eastAsiaTheme="majorEastAsia" w:cstheme="majorBidi"/>
      </w:rPr>
      <w:tblPr>
        <w:tblLayout w:type="fixed"/>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blLayout w:type="fixed"/>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blLayout w:type="fixed"/>
      </w:tblPr>
      <w:tcPr>
        <w:tcBorders>
          <w:top w:val="single" w:color="4BACC6" w:themeColor="accent5" w:sz="8" w:space="0"/>
          <w:bottom w:val="single" w:color="4BACC6" w:themeColor="accent5" w:sz="8" w:space="0"/>
        </w:tcBorders>
      </w:tcPr>
    </w:tblStylePr>
    <w:tblStylePr w:type="band1Vert">
      <w:tblPr>
        <w:tblLayout w:type="fixed"/>
      </w:tblPr>
      <w:tcPr>
        <w:shd w:val="clear" w:color="auto" w:fill="D2EAF0" w:themeFill="accent5" w:themeFillTint="3F"/>
      </w:tcPr>
    </w:tblStylePr>
    <w:tblStylePr w:type="band1Horz">
      <w:tblPr>
        <w:tblLayout w:type="fixed"/>
      </w:tblPr>
      <w:tcPr>
        <w:shd w:val="clear" w:color="auto" w:fill="D2EAF0" w:themeFill="accent5" w:themeFillTint="3F"/>
      </w:tcPr>
    </w:tblStylePr>
  </w:style>
  <w:style w:type="table" w:styleId="78">
    <w:name w:val="Medium List 1 Accent 6"/>
    <w:basedOn w:val="35"/>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Layout w:type="fixed"/>
      <w:tblCellMar>
        <w:top w:w="0" w:type="dxa"/>
        <w:left w:w="108" w:type="dxa"/>
        <w:bottom w:w="0" w:type="dxa"/>
        <w:right w:w="108" w:type="dxa"/>
      </w:tblCellMar>
    </w:tblPr>
    <w:tblStylePr w:type="firstRow">
      <w:rPr>
        <w:rFonts w:asciiTheme="majorHAnsi" w:hAnsiTheme="majorHAnsi" w:eastAsiaTheme="majorEastAsia" w:cstheme="majorBidi"/>
      </w:rPr>
      <w:tblPr>
        <w:tblLayout w:type="fixed"/>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blLayout w:type="fixed"/>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blLayout w:type="fixed"/>
      </w:tblPr>
      <w:tcPr>
        <w:tcBorders>
          <w:top w:val="single" w:color="F79646" w:themeColor="accent6" w:sz="8" w:space="0"/>
          <w:bottom w:val="single" w:color="F79646" w:themeColor="accent6" w:sz="8" w:space="0"/>
        </w:tcBorders>
      </w:tcPr>
    </w:tblStylePr>
    <w:tblStylePr w:type="band1Vert">
      <w:tblPr>
        <w:tblLayout w:type="fixed"/>
      </w:tblPr>
      <w:tcPr>
        <w:shd w:val="clear" w:color="auto" w:fill="FDE5D1" w:themeFill="accent6" w:themeFillTint="3F"/>
      </w:tcPr>
    </w:tblStylePr>
    <w:tblStylePr w:type="band1Horz">
      <w:tblPr>
        <w:tblLayout w:type="fixed"/>
      </w:tblPr>
      <w:tcPr>
        <w:shd w:val="clear" w:color="auto" w:fill="FDE5D1" w:themeFill="accent6" w:themeFillTint="3F"/>
      </w:tcPr>
    </w:tblStylePr>
  </w:style>
  <w:style w:type="table" w:styleId="79">
    <w:name w:val="Medium List 2"/>
    <w:basedOn w:val="35"/>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Layout w:type="fixed"/>
      <w:tblCellMar>
        <w:top w:w="0" w:type="dxa"/>
        <w:left w:w="108" w:type="dxa"/>
        <w:bottom w:w="0" w:type="dxa"/>
        <w:right w:w="108" w:type="dxa"/>
      </w:tblCellMar>
    </w:tblPr>
    <w:tblStylePr w:type="firstRow">
      <w:rPr>
        <w:sz w:val="24"/>
        <w:szCs w:val="24"/>
      </w:rPr>
      <w:tblPr>
        <w:tblLayout w:type="fixed"/>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blLayout w:type="fixed"/>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blLayout w:type="fixed"/>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blLayout w:type="fixed"/>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blLayout w:type="fixed"/>
      </w:tblPr>
      <w:tcPr>
        <w:tcBorders>
          <w:left w:val="nil"/>
          <w:right w:val="nil"/>
          <w:insideH w:val="nil"/>
          <w:insideV w:val="nil"/>
        </w:tcBorders>
        <w:shd w:val="clear" w:color="auto" w:fill="BFBFBF" w:themeFill="text1" w:themeFillTint="3F"/>
      </w:tcPr>
    </w:tblStylePr>
    <w:tblStylePr w:type="band1Horz">
      <w:tblPr>
        <w:tblLayout w:type="fixed"/>
      </w:tblPr>
      <w:tcPr>
        <w:tcBorders>
          <w:top w:val="nil"/>
          <w:bottom w:val="nil"/>
          <w:insideH w:val="nil"/>
          <w:insideV w:val="nil"/>
        </w:tcBorders>
        <w:shd w:val="clear" w:color="auto" w:fill="BFBFBF" w:themeFill="text1" w:themeFillTint="3F"/>
      </w:tcPr>
    </w:tblStylePr>
    <w:tblStylePr w:type="nwCell">
      <w:tblPr>
        <w:tblLayout w:type="fixed"/>
      </w:tblPr>
      <w:tcPr>
        <w:shd w:val="clear" w:color="auto" w:fill="FFFFFF" w:themeFill="background1"/>
      </w:tcPr>
    </w:tblStylePr>
    <w:tblStylePr w:type="swCell">
      <w:tblPr>
        <w:tblLayout w:type="fixed"/>
      </w:tblPr>
      <w:tcPr>
        <w:tcBorders>
          <w:top w:val="nil"/>
        </w:tcBorders>
      </w:tcPr>
    </w:tblStylePr>
  </w:style>
  <w:style w:type="table" w:styleId="80">
    <w:name w:val="Medium List 2 Accent 1"/>
    <w:basedOn w:val="35"/>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Layout w:type="fixed"/>
      <w:tblCellMar>
        <w:top w:w="0" w:type="dxa"/>
        <w:left w:w="108" w:type="dxa"/>
        <w:bottom w:w="0" w:type="dxa"/>
        <w:right w:w="108" w:type="dxa"/>
      </w:tblCellMar>
    </w:tblPr>
    <w:tblStylePr w:type="firstRow">
      <w:rPr>
        <w:sz w:val="24"/>
        <w:szCs w:val="24"/>
      </w:rPr>
      <w:tblPr>
        <w:tblLayout w:type="fixed"/>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blLayout w:type="fixed"/>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blLayout w:type="fixed"/>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blLayout w:type="fixed"/>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blLayout w:type="fixed"/>
      </w:tblPr>
      <w:tcPr>
        <w:tcBorders>
          <w:left w:val="nil"/>
          <w:right w:val="nil"/>
          <w:insideH w:val="nil"/>
          <w:insideV w:val="nil"/>
        </w:tcBorders>
        <w:shd w:val="clear" w:color="auto" w:fill="D3DFEE" w:themeFill="accent1" w:themeFillTint="3F"/>
      </w:tcPr>
    </w:tblStylePr>
    <w:tblStylePr w:type="band1Horz">
      <w:tblPr>
        <w:tblLayout w:type="fixed"/>
      </w:tblPr>
      <w:tcPr>
        <w:tcBorders>
          <w:top w:val="nil"/>
          <w:bottom w:val="nil"/>
          <w:insideH w:val="nil"/>
          <w:insideV w:val="nil"/>
        </w:tcBorders>
        <w:shd w:val="clear" w:color="auto" w:fill="D3DFEE" w:themeFill="accent1" w:themeFillTint="3F"/>
      </w:tcPr>
    </w:tblStylePr>
    <w:tblStylePr w:type="nwCell">
      <w:tblPr>
        <w:tblLayout w:type="fixed"/>
      </w:tblPr>
      <w:tcPr>
        <w:shd w:val="clear" w:color="auto" w:fill="FFFFFF" w:themeFill="background1"/>
      </w:tcPr>
    </w:tblStylePr>
    <w:tblStylePr w:type="swCell">
      <w:tblPr>
        <w:tblLayout w:type="fixed"/>
      </w:tblPr>
      <w:tcPr>
        <w:tcBorders>
          <w:top w:val="nil"/>
        </w:tcBorders>
      </w:tcPr>
    </w:tblStylePr>
  </w:style>
  <w:style w:type="table" w:styleId="81">
    <w:name w:val="Medium List 2 Accent 2"/>
    <w:basedOn w:val="35"/>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Layout w:type="fixed"/>
      <w:tblCellMar>
        <w:top w:w="0" w:type="dxa"/>
        <w:left w:w="108" w:type="dxa"/>
        <w:bottom w:w="0" w:type="dxa"/>
        <w:right w:w="108" w:type="dxa"/>
      </w:tblCellMar>
    </w:tblPr>
    <w:tblStylePr w:type="firstRow">
      <w:rPr>
        <w:sz w:val="24"/>
        <w:szCs w:val="24"/>
      </w:rPr>
      <w:tblPr>
        <w:tblLayout w:type="fixed"/>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blLayout w:type="fixed"/>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blLayout w:type="fixed"/>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blLayout w:type="fixed"/>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blLayout w:type="fixed"/>
      </w:tblPr>
      <w:tcPr>
        <w:tcBorders>
          <w:left w:val="nil"/>
          <w:right w:val="nil"/>
          <w:insideH w:val="nil"/>
          <w:insideV w:val="nil"/>
        </w:tcBorders>
        <w:shd w:val="clear" w:color="auto" w:fill="EFD3D3" w:themeFill="accent2" w:themeFillTint="3F"/>
      </w:tcPr>
    </w:tblStylePr>
    <w:tblStylePr w:type="band1Horz">
      <w:tblPr>
        <w:tblLayout w:type="fixed"/>
      </w:tblPr>
      <w:tcPr>
        <w:tcBorders>
          <w:top w:val="nil"/>
          <w:bottom w:val="nil"/>
          <w:insideH w:val="nil"/>
          <w:insideV w:val="nil"/>
        </w:tcBorders>
        <w:shd w:val="clear" w:color="auto" w:fill="EFD3D3" w:themeFill="accent2" w:themeFillTint="3F"/>
      </w:tcPr>
    </w:tblStylePr>
    <w:tblStylePr w:type="nwCell">
      <w:tblPr>
        <w:tblLayout w:type="fixed"/>
      </w:tblPr>
      <w:tcPr>
        <w:shd w:val="clear" w:color="auto" w:fill="FFFFFF" w:themeFill="background1"/>
      </w:tcPr>
    </w:tblStylePr>
    <w:tblStylePr w:type="swCell">
      <w:tblPr>
        <w:tblLayout w:type="fixed"/>
      </w:tblPr>
      <w:tcPr>
        <w:tcBorders>
          <w:top w:val="nil"/>
        </w:tcBorders>
      </w:tcPr>
    </w:tblStylePr>
  </w:style>
  <w:style w:type="table" w:styleId="82">
    <w:name w:val="Medium List 2 Accent 3"/>
    <w:basedOn w:val="35"/>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Layout w:type="fixed"/>
      <w:tblCellMar>
        <w:top w:w="0" w:type="dxa"/>
        <w:left w:w="108" w:type="dxa"/>
        <w:bottom w:w="0" w:type="dxa"/>
        <w:right w:w="108" w:type="dxa"/>
      </w:tblCellMar>
    </w:tblPr>
    <w:tblStylePr w:type="firstRow">
      <w:rPr>
        <w:sz w:val="24"/>
        <w:szCs w:val="24"/>
      </w:rPr>
      <w:tblPr>
        <w:tblLayout w:type="fixed"/>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blLayout w:type="fixed"/>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blLayout w:type="fixed"/>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blLayout w:type="fixed"/>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blLayout w:type="fixed"/>
      </w:tblPr>
      <w:tcPr>
        <w:tcBorders>
          <w:left w:val="nil"/>
          <w:right w:val="nil"/>
          <w:insideH w:val="nil"/>
          <w:insideV w:val="nil"/>
        </w:tcBorders>
        <w:shd w:val="clear" w:color="auto" w:fill="E6EED5" w:themeFill="accent3" w:themeFillTint="3F"/>
      </w:tcPr>
    </w:tblStylePr>
    <w:tblStylePr w:type="band1Horz">
      <w:tblPr>
        <w:tblLayout w:type="fixed"/>
      </w:tblPr>
      <w:tcPr>
        <w:tcBorders>
          <w:top w:val="nil"/>
          <w:bottom w:val="nil"/>
          <w:insideH w:val="nil"/>
          <w:insideV w:val="nil"/>
        </w:tcBorders>
        <w:shd w:val="clear" w:color="auto" w:fill="E6EED5" w:themeFill="accent3" w:themeFillTint="3F"/>
      </w:tcPr>
    </w:tblStylePr>
    <w:tblStylePr w:type="nwCell">
      <w:tblPr>
        <w:tblLayout w:type="fixed"/>
      </w:tblPr>
      <w:tcPr>
        <w:shd w:val="clear" w:color="auto" w:fill="FFFFFF" w:themeFill="background1"/>
      </w:tcPr>
    </w:tblStylePr>
    <w:tblStylePr w:type="swCell">
      <w:tblPr>
        <w:tblLayout w:type="fixed"/>
      </w:tblPr>
      <w:tcPr>
        <w:tcBorders>
          <w:top w:val="nil"/>
        </w:tcBorders>
      </w:tcPr>
    </w:tblStylePr>
  </w:style>
  <w:style w:type="table" w:styleId="83">
    <w:name w:val="Medium List 2 Accent 4"/>
    <w:basedOn w:val="35"/>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Layout w:type="fixed"/>
      <w:tblCellMar>
        <w:top w:w="0" w:type="dxa"/>
        <w:left w:w="108" w:type="dxa"/>
        <w:bottom w:w="0" w:type="dxa"/>
        <w:right w:w="108" w:type="dxa"/>
      </w:tblCellMar>
    </w:tblPr>
    <w:tblStylePr w:type="firstRow">
      <w:rPr>
        <w:sz w:val="24"/>
        <w:szCs w:val="24"/>
      </w:rPr>
      <w:tblPr>
        <w:tblLayout w:type="fixed"/>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blLayout w:type="fixed"/>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blLayout w:type="fixed"/>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blLayout w:type="fixed"/>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blLayout w:type="fixed"/>
      </w:tblPr>
      <w:tcPr>
        <w:tcBorders>
          <w:left w:val="nil"/>
          <w:right w:val="nil"/>
          <w:insideH w:val="nil"/>
          <w:insideV w:val="nil"/>
        </w:tcBorders>
        <w:shd w:val="clear" w:color="auto" w:fill="DFD8E8" w:themeFill="accent4" w:themeFillTint="3F"/>
      </w:tcPr>
    </w:tblStylePr>
    <w:tblStylePr w:type="band1Horz">
      <w:tblPr>
        <w:tblLayout w:type="fixed"/>
      </w:tblPr>
      <w:tcPr>
        <w:tcBorders>
          <w:top w:val="nil"/>
          <w:bottom w:val="nil"/>
          <w:insideH w:val="nil"/>
          <w:insideV w:val="nil"/>
        </w:tcBorders>
        <w:shd w:val="clear" w:color="auto" w:fill="DFD8E8" w:themeFill="accent4" w:themeFillTint="3F"/>
      </w:tcPr>
    </w:tblStylePr>
    <w:tblStylePr w:type="nwCell">
      <w:tblPr>
        <w:tblLayout w:type="fixed"/>
      </w:tblPr>
      <w:tcPr>
        <w:shd w:val="clear" w:color="auto" w:fill="FFFFFF" w:themeFill="background1"/>
      </w:tcPr>
    </w:tblStylePr>
    <w:tblStylePr w:type="swCell">
      <w:tblPr>
        <w:tblLayout w:type="fixed"/>
      </w:tblPr>
      <w:tcPr>
        <w:tcBorders>
          <w:top w:val="nil"/>
        </w:tcBorders>
      </w:tcPr>
    </w:tblStylePr>
  </w:style>
  <w:style w:type="table" w:styleId="84">
    <w:name w:val="Medium List 2 Accent 5"/>
    <w:basedOn w:val="35"/>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Layout w:type="fixed"/>
      <w:tblCellMar>
        <w:top w:w="0" w:type="dxa"/>
        <w:left w:w="108" w:type="dxa"/>
        <w:bottom w:w="0" w:type="dxa"/>
        <w:right w:w="108" w:type="dxa"/>
      </w:tblCellMar>
    </w:tblPr>
    <w:tblStylePr w:type="firstRow">
      <w:rPr>
        <w:sz w:val="24"/>
        <w:szCs w:val="24"/>
      </w:rPr>
      <w:tblPr>
        <w:tblLayout w:type="fixed"/>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blLayout w:type="fixed"/>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blLayout w:type="fixed"/>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blLayout w:type="fixed"/>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blLayout w:type="fixed"/>
      </w:tblPr>
      <w:tcPr>
        <w:tcBorders>
          <w:left w:val="nil"/>
          <w:right w:val="nil"/>
          <w:insideH w:val="nil"/>
          <w:insideV w:val="nil"/>
        </w:tcBorders>
        <w:shd w:val="clear" w:color="auto" w:fill="D2EAF0" w:themeFill="accent5" w:themeFillTint="3F"/>
      </w:tcPr>
    </w:tblStylePr>
    <w:tblStylePr w:type="band1Horz">
      <w:tblPr>
        <w:tblLayout w:type="fixed"/>
      </w:tblPr>
      <w:tcPr>
        <w:tcBorders>
          <w:top w:val="nil"/>
          <w:bottom w:val="nil"/>
          <w:insideH w:val="nil"/>
          <w:insideV w:val="nil"/>
        </w:tcBorders>
        <w:shd w:val="clear" w:color="auto" w:fill="D2EAF0" w:themeFill="accent5" w:themeFillTint="3F"/>
      </w:tcPr>
    </w:tblStylePr>
    <w:tblStylePr w:type="nwCell">
      <w:tblPr>
        <w:tblLayout w:type="fixed"/>
      </w:tblPr>
      <w:tcPr>
        <w:shd w:val="clear" w:color="auto" w:fill="FFFFFF" w:themeFill="background1"/>
      </w:tcPr>
    </w:tblStylePr>
    <w:tblStylePr w:type="swCell">
      <w:tblPr>
        <w:tblLayout w:type="fixed"/>
      </w:tblPr>
      <w:tcPr>
        <w:tcBorders>
          <w:top w:val="nil"/>
        </w:tcBorders>
      </w:tcPr>
    </w:tblStylePr>
  </w:style>
  <w:style w:type="table" w:styleId="85">
    <w:name w:val="Medium List 2 Accent 6"/>
    <w:basedOn w:val="35"/>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Layout w:type="fixed"/>
      <w:tblCellMar>
        <w:top w:w="0" w:type="dxa"/>
        <w:left w:w="108" w:type="dxa"/>
        <w:bottom w:w="0" w:type="dxa"/>
        <w:right w:w="108" w:type="dxa"/>
      </w:tblCellMar>
    </w:tblPr>
    <w:tblStylePr w:type="firstRow">
      <w:rPr>
        <w:sz w:val="24"/>
        <w:szCs w:val="24"/>
      </w:rPr>
      <w:tblPr>
        <w:tblLayout w:type="fixed"/>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blLayout w:type="fixed"/>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blLayout w:type="fixed"/>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blLayout w:type="fixed"/>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blLayout w:type="fixed"/>
      </w:tblPr>
      <w:tcPr>
        <w:tcBorders>
          <w:left w:val="nil"/>
          <w:right w:val="nil"/>
          <w:insideH w:val="nil"/>
          <w:insideV w:val="nil"/>
        </w:tcBorders>
        <w:shd w:val="clear" w:color="auto" w:fill="FDE5D1" w:themeFill="accent6" w:themeFillTint="3F"/>
      </w:tcPr>
    </w:tblStylePr>
    <w:tblStylePr w:type="band1Horz">
      <w:tblPr>
        <w:tblLayout w:type="fixed"/>
      </w:tblPr>
      <w:tcPr>
        <w:tcBorders>
          <w:top w:val="nil"/>
          <w:bottom w:val="nil"/>
          <w:insideH w:val="nil"/>
          <w:insideV w:val="nil"/>
        </w:tcBorders>
        <w:shd w:val="clear" w:color="auto" w:fill="FDE5D1" w:themeFill="accent6" w:themeFillTint="3F"/>
      </w:tcPr>
    </w:tblStylePr>
    <w:tblStylePr w:type="nwCell">
      <w:tblPr>
        <w:tblLayout w:type="fixed"/>
      </w:tblPr>
      <w:tcPr>
        <w:shd w:val="clear" w:color="auto" w:fill="FFFFFF" w:themeFill="background1"/>
      </w:tcPr>
    </w:tblStylePr>
    <w:tblStylePr w:type="swCell">
      <w:tblPr>
        <w:tblLayout w:type="fixed"/>
      </w:tblPr>
      <w:tcPr>
        <w:tcBorders>
          <w:top w:val="nil"/>
        </w:tcBorders>
      </w:tcPr>
    </w:tblStylePr>
  </w:style>
  <w:style w:type="table" w:styleId="86">
    <w:name w:val="Medium Grid 1"/>
    <w:basedOn w:val="35"/>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Layout w:type="fixed"/>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blLayout w:type="fixed"/>
      </w:tblPr>
      <w:tcPr>
        <w:tcBorders>
          <w:top w:val="single" w:color="3F3F3F" w:themeColor="text1" w:themeTint="BF" w:sz="18" w:space="0"/>
        </w:tcBorders>
      </w:tcPr>
    </w:tblStylePr>
    <w:tblStylePr w:type="firstCol">
      <w:rPr>
        <w:b/>
        <w:bCs/>
      </w:rPr>
    </w:tblStylePr>
    <w:tblStylePr w:type="lastCol">
      <w:rPr>
        <w:b/>
        <w:bCs/>
      </w:rPr>
    </w:tblStylePr>
    <w:tblStylePr w:type="band1Vert">
      <w:tblPr>
        <w:tblLayout w:type="fixed"/>
      </w:tblPr>
      <w:tcPr>
        <w:shd w:val="clear" w:color="auto" w:fill="7F7F7F" w:themeFill="text1" w:themeFillTint="7F"/>
      </w:tcPr>
    </w:tblStylePr>
    <w:tblStylePr w:type="band1Horz">
      <w:tblPr>
        <w:tblLayout w:type="fixed"/>
      </w:tblPr>
      <w:tcPr>
        <w:shd w:val="clear" w:color="auto" w:fill="7F7F7F" w:themeFill="text1" w:themeFillTint="7F"/>
      </w:tcPr>
    </w:tblStylePr>
  </w:style>
  <w:style w:type="table" w:styleId="87">
    <w:name w:val="Medium Grid 1 Accent 1"/>
    <w:basedOn w:val="35"/>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Layout w:type="fixed"/>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blLayout w:type="fixed"/>
      </w:tblPr>
      <w:tcPr>
        <w:tcBorders>
          <w:top w:val="single" w:color="7BA0CD" w:themeColor="accent1" w:themeTint="BF" w:sz="18" w:space="0"/>
        </w:tcBorders>
      </w:tcPr>
    </w:tblStylePr>
    <w:tblStylePr w:type="firstCol">
      <w:rPr>
        <w:b/>
        <w:bCs/>
      </w:rPr>
    </w:tblStylePr>
    <w:tblStylePr w:type="lastCol">
      <w:rPr>
        <w:b/>
        <w:bCs/>
      </w:rPr>
    </w:tblStylePr>
    <w:tblStylePr w:type="band1Vert">
      <w:tblPr>
        <w:tblLayout w:type="fixed"/>
      </w:tblPr>
      <w:tcPr>
        <w:shd w:val="clear" w:color="auto" w:fill="A7C0DE" w:themeFill="accent1" w:themeFillTint="7F"/>
      </w:tcPr>
    </w:tblStylePr>
    <w:tblStylePr w:type="band1Horz">
      <w:tblPr>
        <w:tblLayout w:type="fixed"/>
      </w:tblPr>
      <w:tcPr>
        <w:shd w:val="clear" w:color="auto" w:fill="A7C0DE" w:themeFill="accent1" w:themeFillTint="7F"/>
      </w:tcPr>
    </w:tblStylePr>
  </w:style>
  <w:style w:type="table" w:styleId="88">
    <w:name w:val="Medium Grid 1 Accent 2"/>
    <w:basedOn w:val="35"/>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Layout w:type="fixed"/>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blLayout w:type="fixed"/>
      </w:tblPr>
      <w:tcPr>
        <w:tcBorders>
          <w:top w:val="single" w:color="CF7B79" w:themeColor="accent2" w:themeTint="BF" w:sz="18" w:space="0"/>
        </w:tcBorders>
      </w:tcPr>
    </w:tblStylePr>
    <w:tblStylePr w:type="firstCol">
      <w:rPr>
        <w:b/>
        <w:bCs/>
      </w:rPr>
    </w:tblStylePr>
    <w:tblStylePr w:type="lastCol">
      <w:rPr>
        <w:b/>
        <w:bCs/>
      </w:rPr>
    </w:tblStylePr>
    <w:tblStylePr w:type="band1Vert">
      <w:tblPr>
        <w:tblLayout w:type="fixed"/>
      </w:tblPr>
      <w:tcPr>
        <w:shd w:val="clear" w:color="auto" w:fill="DFA7A6" w:themeFill="accent2" w:themeFillTint="7F"/>
      </w:tcPr>
    </w:tblStylePr>
    <w:tblStylePr w:type="band1Horz">
      <w:tblPr>
        <w:tblLayout w:type="fixed"/>
      </w:tblPr>
      <w:tcPr>
        <w:shd w:val="clear" w:color="auto" w:fill="DFA7A6" w:themeFill="accent2" w:themeFillTint="7F"/>
      </w:tcPr>
    </w:tblStylePr>
  </w:style>
  <w:style w:type="table" w:styleId="89">
    <w:name w:val="Medium Grid 1 Accent 3"/>
    <w:basedOn w:val="35"/>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Layout w:type="fixed"/>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blLayout w:type="fixed"/>
      </w:tblPr>
      <w:tcPr>
        <w:tcBorders>
          <w:top w:val="single" w:color="B4CC82" w:themeColor="accent3" w:themeTint="BF" w:sz="18" w:space="0"/>
        </w:tcBorders>
      </w:tcPr>
    </w:tblStylePr>
    <w:tblStylePr w:type="firstCol">
      <w:rPr>
        <w:b/>
        <w:bCs/>
      </w:rPr>
    </w:tblStylePr>
    <w:tblStylePr w:type="lastCol">
      <w:rPr>
        <w:b/>
        <w:bCs/>
      </w:rPr>
    </w:tblStylePr>
    <w:tblStylePr w:type="band1Vert">
      <w:tblPr>
        <w:tblLayout w:type="fixed"/>
      </w:tblPr>
      <w:tcPr>
        <w:shd w:val="clear" w:color="auto" w:fill="CDDDAC" w:themeFill="accent3" w:themeFillTint="7F"/>
      </w:tcPr>
    </w:tblStylePr>
    <w:tblStylePr w:type="band1Horz">
      <w:tblPr>
        <w:tblLayout w:type="fixed"/>
      </w:tblPr>
      <w:tcPr>
        <w:shd w:val="clear" w:color="auto" w:fill="CDDDAC" w:themeFill="accent3" w:themeFillTint="7F"/>
      </w:tcPr>
    </w:tblStylePr>
  </w:style>
  <w:style w:type="table" w:styleId="90">
    <w:name w:val="Medium Grid 1 Accent 4"/>
    <w:basedOn w:val="35"/>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Layout w:type="fixed"/>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blLayout w:type="fixed"/>
      </w:tblPr>
      <w:tcPr>
        <w:tcBorders>
          <w:top w:val="single" w:color="9F8AB9" w:themeColor="accent4" w:themeTint="BF" w:sz="18" w:space="0"/>
        </w:tcBorders>
      </w:tcPr>
    </w:tblStylePr>
    <w:tblStylePr w:type="firstCol">
      <w:rPr>
        <w:b/>
        <w:bCs/>
      </w:rPr>
    </w:tblStylePr>
    <w:tblStylePr w:type="lastCol">
      <w:rPr>
        <w:b/>
        <w:bCs/>
      </w:rPr>
    </w:tblStylePr>
    <w:tblStylePr w:type="band1Vert">
      <w:tblPr>
        <w:tblLayout w:type="fixed"/>
      </w:tblPr>
      <w:tcPr>
        <w:shd w:val="clear" w:color="auto" w:fill="BFB1D0" w:themeFill="accent4" w:themeFillTint="7F"/>
      </w:tcPr>
    </w:tblStylePr>
    <w:tblStylePr w:type="band1Horz">
      <w:tblPr>
        <w:tblLayout w:type="fixed"/>
      </w:tblPr>
      <w:tcPr>
        <w:shd w:val="clear" w:color="auto" w:fill="BFB1D0" w:themeFill="accent4" w:themeFillTint="7F"/>
      </w:tcPr>
    </w:tblStylePr>
  </w:style>
  <w:style w:type="table" w:styleId="91">
    <w:name w:val="Medium Grid 1 Accent 5"/>
    <w:basedOn w:val="35"/>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Layout w:type="fixed"/>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blLayout w:type="fixed"/>
      </w:tblPr>
      <w:tcPr>
        <w:tcBorders>
          <w:top w:val="single" w:color="78C0D4" w:themeColor="accent5" w:themeTint="BF" w:sz="18" w:space="0"/>
        </w:tcBorders>
      </w:tcPr>
    </w:tblStylePr>
    <w:tblStylePr w:type="firstCol">
      <w:rPr>
        <w:b/>
        <w:bCs/>
      </w:rPr>
    </w:tblStylePr>
    <w:tblStylePr w:type="lastCol">
      <w:rPr>
        <w:b/>
        <w:bCs/>
      </w:rPr>
    </w:tblStylePr>
    <w:tblStylePr w:type="band1Vert">
      <w:tblPr>
        <w:tblLayout w:type="fixed"/>
      </w:tblPr>
      <w:tcPr>
        <w:shd w:val="clear" w:color="auto" w:fill="A5D5E2" w:themeFill="accent5" w:themeFillTint="7F"/>
      </w:tcPr>
    </w:tblStylePr>
    <w:tblStylePr w:type="band1Horz">
      <w:tblPr>
        <w:tblLayout w:type="fixed"/>
      </w:tblPr>
      <w:tcPr>
        <w:shd w:val="clear" w:color="auto" w:fill="A5D5E2" w:themeFill="accent5" w:themeFillTint="7F"/>
      </w:tcPr>
    </w:tblStylePr>
  </w:style>
  <w:style w:type="table" w:styleId="92">
    <w:name w:val="Medium Grid 1 Accent 6"/>
    <w:basedOn w:val="35"/>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Layout w:type="fixed"/>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blLayout w:type="fixed"/>
      </w:tblPr>
      <w:tcPr>
        <w:tcBorders>
          <w:top w:val="single" w:color="F9B074" w:themeColor="accent6" w:themeTint="BF" w:sz="18" w:space="0"/>
        </w:tcBorders>
      </w:tcPr>
    </w:tblStylePr>
    <w:tblStylePr w:type="firstCol">
      <w:rPr>
        <w:b/>
        <w:bCs/>
      </w:rPr>
    </w:tblStylePr>
    <w:tblStylePr w:type="lastCol">
      <w:rPr>
        <w:b/>
        <w:bCs/>
      </w:rPr>
    </w:tblStylePr>
    <w:tblStylePr w:type="band1Vert">
      <w:tblPr>
        <w:tblLayout w:type="fixed"/>
      </w:tblPr>
      <w:tcPr>
        <w:shd w:val="clear" w:color="auto" w:fill="FBCAA2" w:themeFill="accent6" w:themeFillTint="7F"/>
      </w:tcPr>
    </w:tblStylePr>
    <w:tblStylePr w:type="band1Horz">
      <w:tblPr>
        <w:tblLayout w:type="fixed"/>
      </w:tblPr>
      <w:tcPr>
        <w:shd w:val="clear" w:color="auto" w:fill="FBCAA2" w:themeFill="accent6" w:themeFillTint="7F"/>
      </w:tcPr>
    </w:tblStylePr>
  </w:style>
  <w:style w:type="table" w:styleId="93">
    <w:name w:val="Medium Grid 2"/>
    <w:basedOn w:val="35"/>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blLayout w:type="fixed"/>
      </w:tblPr>
      <w:tcPr>
        <w:shd w:val="clear" w:color="auto" w:fill="E5E5E5" w:themeFill="text1" w:themeFillTint="19"/>
      </w:tcPr>
    </w:tblStylePr>
    <w:tblStylePr w:type="lastRow">
      <w:rPr>
        <w:b/>
        <w:bCs/>
        <w:color w:val="000000" w:themeColor="text1"/>
        <w14:textFill>
          <w14:solidFill>
            <w14:schemeClr w14:val="tx1"/>
          </w14:solidFill>
        </w14:textFill>
      </w:rPr>
      <w:tblPr>
        <w:tblLayout w:type="fixed"/>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CCCCCC" w:themeFill="text1" w:themeFillTint="33"/>
      </w:tcPr>
    </w:tblStylePr>
    <w:tblStylePr w:type="band1Vert">
      <w:tblPr>
        <w:tblLayout w:type="fixed"/>
      </w:tblPr>
      <w:tcPr>
        <w:shd w:val="clear" w:color="auto" w:fill="7F7F7F" w:themeFill="text1" w:themeFillTint="7F"/>
      </w:tcPr>
    </w:tblStylePr>
    <w:tblStylePr w:type="band1Horz">
      <w:tblPr>
        <w:tblLayout w:type="fixed"/>
      </w:tblPr>
      <w:tcPr>
        <w:tcBorders>
          <w:insideH w:val="single" w:sz="6" w:space="0"/>
          <w:insideV w:val="single" w:sz="6" w:space="0"/>
        </w:tcBorders>
        <w:shd w:val="clear" w:color="auto" w:fill="7F7F7F" w:themeFill="text1" w:themeFillTint="7F"/>
      </w:tcPr>
    </w:tblStylePr>
    <w:tblStylePr w:type="nwCell">
      <w:tblPr>
        <w:tblLayout w:type="fixed"/>
      </w:tblPr>
      <w:tcPr>
        <w:shd w:val="clear" w:color="auto" w:fill="FFFFFF" w:themeFill="background1"/>
      </w:tcPr>
    </w:tblStylePr>
  </w:style>
  <w:style w:type="table" w:styleId="94">
    <w:name w:val="Medium Grid 2 Accent 1"/>
    <w:basedOn w:val="35"/>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Layout w:type="fixed"/>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blLayout w:type="fixed"/>
      </w:tblPr>
      <w:tcPr>
        <w:shd w:val="clear" w:color="auto" w:fill="EDF2F8" w:themeFill="accent1" w:themeFillTint="19"/>
      </w:tcPr>
    </w:tblStylePr>
    <w:tblStylePr w:type="lastRow">
      <w:rPr>
        <w:b/>
        <w:bCs/>
        <w:color w:val="000000" w:themeColor="text1"/>
        <w14:textFill>
          <w14:solidFill>
            <w14:schemeClr w14:val="tx1"/>
          </w14:solidFill>
        </w14:textFill>
      </w:rPr>
      <w:tblPr>
        <w:tblLayout w:type="fixed"/>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DBE5F1" w:themeFill="accent1" w:themeFillTint="33"/>
      </w:tcPr>
    </w:tblStylePr>
    <w:tblStylePr w:type="band1Vert">
      <w:tblPr>
        <w:tblLayout w:type="fixed"/>
      </w:tblPr>
      <w:tcPr>
        <w:shd w:val="clear" w:color="auto" w:fill="A7C0DE" w:themeFill="accent1" w:themeFillTint="7F"/>
      </w:tcPr>
    </w:tblStylePr>
    <w:tblStylePr w:type="band1Horz">
      <w:tblPr>
        <w:tblLayout w:type="fixed"/>
      </w:tblPr>
      <w:tcPr>
        <w:tcBorders>
          <w:insideH w:val="single" w:sz="6" w:space="0"/>
          <w:insideV w:val="single" w:sz="6" w:space="0"/>
        </w:tcBorders>
        <w:shd w:val="clear" w:color="auto" w:fill="A7C0DE" w:themeFill="accent1" w:themeFillTint="7F"/>
      </w:tcPr>
    </w:tblStylePr>
    <w:tblStylePr w:type="nwCell">
      <w:tblPr>
        <w:tblLayout w:type="fixed"/>
      </w:tblPr>
      <w:tcPr>
        <w:shd w:val="clear" w:color="auto" w:fill="FFFFFF" w:themeFill="background1"/>
      </w:tcPr>
    </w:tblStylePr>
  </w:style>
  <w:style w:type="table" w:styleId="95">
    <w:name w:val="Medium Grid 2 Accent 2"/>
    <w:basedOn w:val="35"/>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Layout w:type="fixed"/>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blLayout w:type="fixed"/>
      </w:tblPr>
      <w:tcPr>
        <w:shd w:val="clear" w:color="auto" w:fill="F8EDED" w:themeFill="accent2" w:themeFillTint="19"/>
      </w:tcPr>
    </w:tblStylePr>
    <w:tblStylePr w:type="lastRow">
      <w:rPr>
        <w:b/>
        <w:bCs/>
        <w:color w:val="000000" w:themeColor="text1"/>
        <w14:textFill>
          <w14:solidFill>
            <w14:schemeClr w14:val="tx1"/>
          </w14:solidFill>
        </w14:textFill>
      </w:rPr>
      <w:tblPr>
        <w:tblLayout w:type="fixed"/>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F2DBDB" w:themeFill="accent2" w:themeFillTint="33"/>
      </w:tcPr>
    </w:tblStylePr>
    <w:tblStylePr w:type="band1Vert">
      <w:tblPr>
        <w:tblLayout w:type="fixed"/>
      </w:tblPr>
      <w:tcPr>
        <w:shd w:val="clear" w:color="auto" w:fill="DFA7A6" w:themeFill="accent2" w:themeFillTint="7F"/>
      </w:tcPr>
    </w:tblStylePr>
    <w:tblStylePr w:type="band1Horz">
      <w:tblPr>
        <w:tblLayout w:type="fixed"/>
      </w:tblPr>
      <w:tcPr>
        <w:tcBorders>
          <w:insideH w:val="single" w:sz="6" w:space="0"/>
          <w:insideV w:val="single" w:sz="6" w:space="0"/>
        </w:tcBorders>
        <w:shd w:val="clear" w:color="auto" w:fill="DFA7A6" w:themeFill="accent2" w:themeFillTint="7F"/>
      </w:tcPr>
    </w:tblStylePr>
    <w:tblStylePr w:type="nwCell">
      <w:tblPr>
        <w:tblLayout w:type="fixed"/>
      </w:tblPr>
      <w:tcPr>
        <w:shd w:val="clear" w:color="auto" w:fill="FFFFFF" w:themeFill="background1"/>
      </w:tcPr>
    </w:tblStylePr>
  </w:style>
  <w:style w:type="table" w:styleId="96">
    <w:name w:val="Medium Grid 2 Accent 3"/>
    <w:basedOn w:val="35"/>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Layout w:type="fixed"/>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blLayout w:type="fixed"/>
      </w:tblPr>
      <w:tcPr>
        <w:shd w:val="clear" w:color="auto" w:fill="F5F8EE" w:themeFill="accent3" w:themeFillTint="19"/>
      </w:tcPr>
    </w:tblStylePr>
    <w:tblStylePr w:type="lastRow">
      <w:rPr>
        <w:b/>
        <w:bCs/>
        <w:color w:val="000000" w:themeColor="text1"/>
        <w14:textFill>
          <w14:solidFill>
            <w14:schemeClr w14:val="tx1"/>
          </w14:solidFill>
        </w14:textFill>
      </w:rPr>
      <w:tblPr>
        <w:tblLayout w:type="fixed"/>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EAF1DD" w:themeFill="accent3" w:themeFillTint="33"/>
      </w:tcPr>
    </w:tblStylePr>
    <w:tblStylePr w:type="band1Vert">
      <w:tblPr>
        <w:tblLayout w:type="fixed"/>
      </w:tblPr>
      <w:tcPr>
        <w:shd w:val="clear" w:color="auto" w:fill="CDDDAC" w:themeFill="accent3" w:themeFillTint="7F"/>
      </w:tcPr>
    </w:tblStylePr>
    <w:tblStylePr w:type="band1Horz">
      <w:tblPr>
        <w:tblLayout w:type="fixed"/>
      </w:tblPr>
      <w:tcPr>
        <w:tcBorders>
          <w:insideH w:val="single" w:sz="6" w:space="0"/>
          <w:insideV w:val="single" w:sz="6" w:space="0"/>
        </w:tcBorders>
        <w:shd w:val="clear" w:color="auto" w:fill="CDDDAC" w:themeFill="accent3" w:themeFillTint="7F"/>
      </w:tcPr>
    </w:tblStylePr>
    <w:tblStylePr w:type="nwCell">
      <w:tblPr>
        <w:tblLayout w:type="fixed"/>
      </w:tblPr>
      <w:tcPr>
        <w:shd w:val="clear" w:color="auto" w:fill="FFFFFF" w:themeFill="background1"/>
      </w:tcPr>
    </w:tblStylePr>
  </w:style>
  <w:style w:type="table" w:styleId="97">
    <w:name w:val="Medium Grid 2 Accent 4"/>
    <w:basedOn w:val="35"/>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Layout w:type="fixed"/>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blLayout w:type="fixed"/>
      </w:tblPr>
      <w:tcPr>
        <w:shd w:val="clear" w:color="auto" w:fill="F2EFF5" w:themeFill="accent4" w:themeFillTint="19"/>
      </w:tcPr>
    </w:tblStylePr>
    <w:tblStylePr w:type="lastRow">
      <w:rPr>
        <w:b/>
        <w:bCs/>
        <w:color w:val="000000" w:themeColor="text1"/>
        <w14:textFill>
          <w14:solidFill>
            <w14:schemeClr w14:val="tx1"/>
          </w14:solidFill>
        </w14:textFill>
      </w:rPr>
      <w:tblPr>
        <w:tblLayout w:type="fixed"/>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E5DFEC" w:themeFill="accent4" w:themeFillTint="33"/>
      </w:tcPr>
    </w:tblStylePr>
    <w:tblStylePr w:type="band1Vert">
      <w:tblPr>
        <w:tblLayout w:type="fixed"/>
      </w:tblPr>
      <w:tcPr>
        <w:shd w:val="clear" w:color="auto" w:fill="BFB1D0" w:themeFill="accent4" w:themeFillTint="7F"/>
      </w:tcPr>
    </w:tblStylePr>
    <w:tblStylePr w:type="band1Horz">
      <w:tblPr>
        <w:tblLayout w:type="fixed"/>
      </w:tblPr>
      <w:tcPr>
        <w:tcBorders>
          <w:insideH w:val="single" w:sz="6" w:space="0"/>
          <w:insideV w:val="single" w:sz="6" w:space="0"/>
        </w:tcBorders>
        <w:shd w:val="clear" w:color="auto" w:fill="BFB1D0" w:themeFill="accent4" w:themeFillTint="7F"/>
      </w:tcPr>
    </w:tblStylePr>
    <w:tblStylePr w:type="nwCell">
      <w:tblPr>
        <w:tblLayout w:type="fixed"/>
      </w:tblPr>
      <w:tcPr>
        <w:shd w:val="clear" w:color="auto" w:fill="FFFFFF" w:themeFill="background1"/>
      </w:tcPr>
    </w:tblStylePr>
  </w:style>
  <w:style w:type="table" w:styleId="98">
    <w:name w:val="Medium Grid 2 Accent 5"/>
    <w:basedOn w:val="35"/>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Layout w:type="fixed"/>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blLayout w:type="fixed"/>
      </w:tblPr>
      <w:tcPr>
        <w:shd w:val="clear" w:color="auto" w:fill="EDF6F9" w:themeFill="accent5" w:themeFillTint="19"/>
      </w:tcPr>
    </w:tblStylePr>
    <w:tblStylePr w:type="lastRow">
      <w:rPr>
        <w:b/>
        <w:bCs/>
        <w:color w:val="000000" w:themeColor="text1"/>
        <w14:textFill>
          <w14:solidFill>
            <w14:schemeClr w14:val="tx1"/>
          </w14:solidFill>
        </w14:textFill>
      </w:rPr>
      <w:tblPr>
        <w:tblLayout w:type="fixed"/>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DAEEF3" w:themeFill="accent5" w:themeFillTint="33"/>
      </w:tcPr>
    </w:tblStylePr>
    <w:tblStylePr w:type="band1Vert">
      <w:tblPr>
        <w:tblLayout w:type="fixed"/>
      </w:tblPr>
      <w:tcPr>
        <w:shd w:val="clear" w:color="auto" w:fill="A5D5E2" w:themeFill="accent5" w:themeFillTint="7F"/>
      </w:tcPr>
    </w:tblStylePr>
    <w:tblStylePr w:type="band1Horz">
      <w:tblPr>
        <w:tblLayout w:type="fixed"/>
      </w:tblPr>
      <w:tcPr>
        <w:tcBorders>
          <w:insideH w:val="single" w:sz="6" w:space="0"/>
          <w:insideV w:val="single" w:sz="6" w:space="0"/>
        </w:tcBorders>
        <w:shd w:val="clear" w:color="auto" w:fill="A5D5E2" w:themeFill="accent5" w:themeFillTint="7F"/>
      </w:tcPr>
    </w:tblStylePr>
    <w:tblStylePr w:type="nwCell">
      <w:tblPr>
        <w:tblLayout w:type="fixed"/>
      </w:tblPr>
      <w:tcPr>
        <w:shd w:val="clear" w:color="auto" w:fill="FFFFFF" w:themeFill="background1"/>
      </w:tcPr>
    </w:tblStylePr>
  </w:style>
  <w:style w:type="table" w:styleId="99">
    <w:name w:val="Medium Grid 2 Accent 6"/>
    <w:basedOn w:val="35"/>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Layout w:type="fixed"/>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blLayout w:type="fixed"/>
      </w:tblPr>
      <w:tcPr>
        <w:shd w:val="clear" w:color="auto" w:fill="FEF4EC" w:themeFill="accent6" w:themeFillTint="19"/>
      </w:tcPr>
    </w:tblStylePr>
    <w:tblStylePr w:type="lastRow">
      <w:rPr>
        <w:b/>
        <w:bCs/>
        <w:color w:val="000000" w:themeColor="text1"/>
        <w14:textFill>
          <w14:solidFill>
            <w14:schemeClr w14:val="tx1"/>
          </w14:solidFill>
        </w14:textFill>
      </w:rPr>
      <w:tblPr>
        <w:tblLayout w:type="fixed"/>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FDE9D9" w:themeFill="accent6" w:themeFillTint="33"/>
      </w:tcPr>
    </w:tblStylePr>
    <w:tblStylePr w:type="band1Vert">
      <w:tblPr>
        <w:tblLayout w:type="fixed"/>
      </w:tblPr>
      <w:tcPr>
        <w:shd w:val="clear" w:color="auto" w:fill="FBCAA2" w:themeFill="accent6" w:themeFillTint="7F"/>
      </w:tcPr>
    </w:tblStylePr>
    <w:tblStylePr w:type="band1Horz">
      <w:tblPr>
        <w:tblLayout w:type="fixed"/>
      </w:tblPr>
      <w:tcPr>
        <w:tcBorders>
          <w:insideH w:val="single" w:sz="6" w:space="0"/>
          <w:insideV w:val="single" w:sz="6" w:space="0"/>
        </w:tcBorders>
        <w:shd w:val="clear" w:color="auto" w:fill="FBCAA2" w:themeFill="accent6" w:themeFillTint="7F"/>
      </w:tcPr>
    </w:tblStylePr>
    <w:tblStylePr w:type="nwCell">
      <w:tblPr>
        <w:tblLayout w:type="fixed"/>
      </w:tblPr>
      <w:tcPr>
        <w:shd w:val="clear" w:color="auto" w:fill="FFFFFF" w:themeFill="background1"/>
      </w:tcPr>
    </w:tblStylePr>
  </w:style>
  <w:style w:type="table" w:styleId="100">
    <w:name w:val="Medium Grid 3"/>
    <w:basedOn w:val="35"/>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Layout w:type="fixed"/>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blLayout w:type="fixed"/>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blLayout w:type="fixed"/>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blLayout w:type="fixed"/>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blLayout w:type="fixed"/>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1">
    <w:name w:val="Medium Grid 3 Accent 1"/>
    <w:basedOn w:val="35"/>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Layout w:type="fixed"/>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blLayout w:type="fixed"/>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blLayout w:type="fixed"/>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blLayout w:type="fixed"/>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blLayout w:type="fixed"/>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2">
    <w:name w:val="Medium Grid 3 Accent 2"/>
    <w:basedOn w:val="35"/>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Layout w:type="fixed"/>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blLayout w:type="fixed"/>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blLayout w:type="fixed"/>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blLayout w:type="fixed"/>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blLayout w:type="fixed"/>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3">
    <w:name w:val="Medium Grid 3 Accent 3"/>
    <w:basedOn w:val="35"/>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Layout w:type="fixed"/>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blLayout w:type="fixed"/>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blLayout w:type="fixed"/>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blLayout w:type="fixed"/>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blLayout w:type="fixed"/>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4">
    <w:name w:val="Medium Grid 3 Accent 4"/>
    <w:basedOn w:val="35"/>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Layout w:type="fixed"/>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blLayout w:type="fixed"/>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blLayout w:type="fixed"/>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blLayout w:type="fixed"/>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blLayout w:type="fixed"/>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5">
    <w:name w:val="Medium Grid 3 Accent 5"/>
    <w:basedOn w:val="35"/>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Layout w:type="fixed"/>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blLayout w:type="fixed"/>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blLayout w:type="fixed"/>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blLayout w:type="fixed"/>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blLayout w:type="fixed"/>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6">
    <w:name w:val="Medium Grid 3 Accent 6"/>
    <w:basedOn w:val="35"/>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Layout w:type="fixed"/>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blLayout w:type="fixed"/>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blLayout w:type="fixed"/>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blLayout w:type="fixed"/>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blLayout w:type="fixed"/>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7">
    <w:name w:val="Dark List"/>
    <w:basedOn w:val="35"/>
    <w:uiPriority w:val="70"/>
    <w:pPr>
      <w:spacing w:after="0" w:line="240" w:lineRule="auto"/>
    </w:pPr>
    <w:rPr>
      <w:color w:val="FFFFFF" w:themeColor="background1"/>
      <w14:textFill>
        <w14:solidFill>
          <w14:schemeClr w14:val="bg1"/>
        </w14:solidFill>
      </w14:textFill>
    </w:rPr>
    <w:tblPr>
      <w:tblLayout w:type="fixed"/>
      <w:tblCellMar>
        <w:top w:w="0" w:type="dxa"/>
        <w:left w:w="108" w:type="dxa"/>
        <w:bottom w:w="0" w:type="dxa"/>
        <w:right w:w="108" w:type="dxa"/>
      </w:tblCellMar>
    </w:tblPr>
    <w:tcPr>
      <w:shd w:val="clear" w:color="auto" w:fill="000000" w:themeFill="text1"/>
    </w:tcPr>
    <w:tblStylePr w:type="firstRow">
      <w:rPr>
        <w:b/>
        <w:bCs/>
      </w:rPr>
      <w:tblPr>
        <w:tblLayout w:type="fixed"/>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blLayout w:type="fixed"/>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blLayout w:type="fixed"/>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blLayout w:type="fixed"/>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blLayout w:type="fixed"/>
      </w:tblPr>
      <w:tcPr>
        <w:tcBorders>
          <w:top w:val="nil"/>
          <w:left w:val="nil"/>
          <w:bottom w:val="nil"/>
          <w:right w:val="nil"/>
          <w:insideH w:val="nil"/>
          <w:insideV w:val="nil"/>
        </w:tcBorders>
        <w:shd w:val="clear" w:color="auto" w:fill="000000" w:themeFill="text1" w:themeFillShade="BF"/>
      </w:tcPr>
    </w:tblStylePr>
    <w:tblStylePr w:type="band1Horz">
      <w:tblPr>
        <w:tblLayout w:type="fixed"/>
      </w:tblPr>
      <w:tcPr>
        <w:tcBorders>
          <w:top w:val="nil"/>
          <w:left w:val="nil"/>
          <w:bottom w:val="nil"/>
          <w:right w:val="nil"/>
          <w:insideH w:val="nil"/>
          <w:insideV w:val="nil"/>
        </w:tcBorders>
        <w:shd w:val="clear" w:color="auto" w:fill="000000" w:themeFill="text1" w:themeFillShade="BF"/>
      </w:tcPr>
    </w:tblStylePr>
  </w:style>
  <w:style w:type="table" w:styleId="108">
    <w:name w:val="Dark List Accent 1"/>
    <w:basedOn w:val="35"/>
    <w:uiPriority w:val="70"/>
    <w:pPr>
      <w:spacing w:after="0" w:line="240" w:lineRule="auto"/>
    </w:pPr>
    <w:rPr>
      <w:color w:val="FFFFFF" w:themeColor="background1"/>
      <w14:textFill>
        <w14:solidFill>
          <w14:schemeClr w14:val="bg1"/>
        </w14:solidFill>
      </w14:textFill>
    </w:rPr>
    <w:tblPr>
      <w:tblLayout w:type="fixed"/>
      <w:tblCellMar>
        <w:top w:w="0" w:type="dxa"/>
        <w:left w:w="108" w:type="dxa"/>
        <w:bottom w:w="0" w:type="dxa"/>
        <w:right w:w="108" w:type="dxa"/>
      </w:tblCellMar>
    </w:tblPr>
    <w:tcPr>
      <w:shd w:val="clear" w:color="auto" w:fill="4F81BD" w:themeFill="accent1"/>
    </w:tcPr>
    <w:tblStylePr w:type="firstRow">
      <w:rPr>
        <w:b/>
        <w:bCs/>
      </w:rPr>
      <w:tblPr>
        <w:tblLayout w:type="fixed"/>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blLayout w:type="fixed"/>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blLayout w:type="fixed"/>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blLayout w:type="fixed"/>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blLayout w:type="fixed"/>
      </w:tblPr>
      <w:tcPr>
        <w:tcBorders>
          <w:top w:val="nil"/>
          <w:left w:val="nil"/>
          <w:bottom w:val="nil"/>
          <w:right w:val="nil"/>
          <w:insideH w:val="nil"/>
          <w:insideV w:val="nil"/>
        </w:tcBorders>
        <w:shd w:val="clear" w:color="auto" w:fill="366091" w:themeFill="accent1" w:themeFillShade="BF"/>
      </w:tcPr>
    </w:tblStylePr>
    <w:tblStylePr w:type="band1Horz">
      <w:tblPr>
        <w:tblLayout w:type="fixed"/>
      </w:tblPr>
      <w:tcPr>
        <w:tcBorders>
          <w:top w:val="nil"/>
          <w:left w:val="nil"/>
          <w:bottom w:val="nil"/>
          <w:right w:val="nil"/>
          <w:insideH w:val="nil"/>
          <w:insideV w:val="nil"/>
        </w:tcBorders>
        <w:shd w:val="clear" w:color="auto" w:fill="366091" w:themeFill="accent1" w:themeFillShade="BF"/>
      </w:tcPr>
    </w:tblStylePr>
  </w:style>
  <w:style w:type="table" w:styleId="109">
    <w:name w:val="Dark List Accent 2"/>
    <w:basedOn w:val="35"/>
    <w:uiPriority w:val="70"/>
    <w:pPr>
      <w:spacing w:after="0" w:line="240" w:lineRule="auto"/>
    </w:pPr>
    <w:rPr>
      <w:color w:val="FFFFFF" w:themeColor="background1"/>
      <w14:textFill>
        <w14:solidFill>
          <w14:schemeClr w14:val="bg1"/>
        </w14:solidFill>
      </w14:textFill>
    </w:rPr>
    <w:tblPr>
      <w:tblLayout w:type="fixed"/>
      <w:tblCellMar>
        <w:top w:w="0" w:type="dxa"/>
        <w:left w:w="108" w:type="dxa"/>
        <w:bottom w:w="0" w:type="dxa"/>
        <w:right w:w="108" w:type="dxa"/>
      </w:tblCellMar>
    </w:tblPr>
    <w:tcPr>
      <w:shd w:val="clear" w:color="auto" w:fill="C0504D" w:themeFill="accent2"/>
    </w:tcPr>
    <w:tblStylePr w:type="firstRow">
      <w:rPr>
        <w:b/>
        <w:bCs/>
      </w:rPr>
      <w:tblPr>
        <w:tblLayout w:type="fixed"/>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blLayout w:type="fixed"/>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blLayout w:type="fixed"/>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blLayout w:type="fixed"/>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blLayout w:type="fixed"/>
      </w:tblPr>
      <w:tcPr>
        <w:tcBorders>
          <w:top w:val="nil"/>
          <w:left w:val="nil"/>
          <w:bottom w:val="nil"/>
          <w:right w:val="nil"/>
          <w:insideH w:val="nil"/>
          <w:insideV w:val="nil"/>
        </w:tcBorders>
        <w:shd w:val="clear" w:color="auto" w:fill="943734" w:themeFill="accent2" w:themeFillShade="BF"/>
      </w:tcPr>
    </w:tblStylePr>
    <w:tblStylePr w:type="band1Horz">
      <w:tblPr>
        <w:tblLayout w:type="fixed"/>
      </w:tblPr>
      <w:tcPr>
        <w:tcBorders>
          <w:top w:val="nil"/>
          <w:left w:val="nil"/>
          <w:bottom w:val="nil"/>
          <w:right w:val="nil"/>
          <w:insideH w:val="nil"/>
          <w:insideV w:val="nil"/>
        </w:tcBorders>
        <w:shd w:val="clear" w:color="auto" w:fill="943734" w:themeFill="accent2" w:themeFillShade="BF"/>
      </w:tcPr>
    </w:tblStylePr>
  </w:style>
  <w:style w:type="table" w:styleId="110">
    <w:name w:val="Dark List Accent 3"/>
    <w:basedOn w:val="35"/>
    <w:uiPriority w:val="70"/>
    <w:pPr>
      <w:spacing w:after="0" w:line="240" w:lineRule="auto"/>
    </w:pPr>
    <w:rPr>
      <w:color w:val="FFFFFF" w:themeColor="background1"/>
      <w14:textFill>
        <w14:solidFill>
          <w14:schemeClr w14:val="bg1"/>
        </w14:solidFill>
      </w14:textFill>
    </w:rPr>
    <w:tblPr>
      <w:tblLayout w:type="fixed"/>
      <w:tblCellMar>
        <w:top w:w="0" w:type="dxa"/>
        <w:left w:w="108" w:type="dxa"/>
        <w:bottom w:w="0" w:type="dxa"/>
        <w:right w:w="108" w:type="dxa"/>
      </w:tblCellMar>
    </w:tblPr>
    <w:tcPr>
      <w:shd w:val="clear" w:color="auto" w:fill="9BBB59" w:themeFill="accent3"/>
    </w:tcPr>
    <w:tblStylePr w:type="firstRow">
      <w:rPr>
        <w:b/>
        <w:bCs/>
      </w:rPr>
      <w:tblPr>
        <w:tblLayout w:type="fixed"/>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blLayout w:type="fixed"/>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blLayout w:type="fixed"/>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blLayout w:type="fixed"/>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blLayout w:type="fixed"/>
      </w:tblPr>
      <w:tcPr>
        <w:tcBorders>
          <w:top w:val="nil"/>
          <w:left w:val="nil"/>
          <w:bottom w:val="nil"/>
          <w:right w:val="nil"/>
          <w:insideH w:val="nil"/>
          <w:insideV w:val="nil"/>
        </w:tcBorders>
        <w:shd w:val="clear" w:color="auto" w:fill="76923C" w:themeFill="accent3" w:themeFillShade="BF"/>
      </w:tcPr>
    </w:tblStylePr>
    <w:tblStylePr w:type="band1Horz">
      <w:tblPr>
        <w:tblLayout w:type="fixed"/>
      </w:tblPr>
      <w:tcPr>
        <w:tcBorders>
          <w:top w:val="nil"/>
          <w:left w:val="nil"/>
          <w:bottom w:val="nil"/>
          <w:right w:val="nil"/>
          <w:insideH w:val="nil"/>
          <w:insideV w:val="nil"/>
        </w:tcBorders>
        <w:shd w:val="clear" w:color="auto" w:fill="76923C" w:themeFill="accent3" w:themeFillShade="BF"/>
      </w:tcPr>
    </w:tblStylePr>
  </w:style>
  <w:style w:type="table" w:styleId="111">
    <w:name w:val="Dark List Accent 4"/>
    <w:basedOn w:val="35"/>
    <w:uiPriority w:val="70"/>
    <w:pPr>
      <w:spacing w:after="0" w:line="240" w:lineRule="auto"/>
    </w:pPr>
    <w:rPr>
      <w:color w:val="FFFFFF" w:themeColor="background1"/>
      <w14:textFill>
        <w14:solidFill>
          <w14:schemeClr w14:val="bg1"/>
        </w14:solidFill>
      </w14:textFill>
    </w:rPr>
    <w:tblPr>
      <w:tblLayout w:type="fixed"/>
      <w:tblCellMar>
        <w:top w:w="0" w:type="dxa"/>
        <w:left w:w="108" w:type="dxa"/>
        <w:bottom w:w="0" w:type="dxa"/>
        <w:right w:w="108" w:type="dxa"/>
      </w:tblCellMar>
    </w:tblPr>
    <w:tcPr>
      <w:shd w:val="clear" w:color="auto" w:fill="8064A2" w:themeFill="accent4"/>
    </w:tcPr>
    <w:tblStylePr w:type="firstRow">
      <w:rPr>
        <w:b/>
        <w:bCs/>
      </w:rPr>
      <w:tblPr>
        <w:tblLayout w:type="fixed"/>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blLayout w:type="fixed"/>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blLayout w:type="fixed"/>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blLayout w:type="fixed"/>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blLayout w:type="fixed"/>
      </w:tblPr>
      <w:tcPr>
        <w:tcBorders>
          <w:top w:val="nil"/>
          <w:left w:val="nil"/>
          <w:bottom w:val="nil"/>
          <w:right w:val="nil"/>
          <w:insideH w:val="nil"/>
          <w:insideV w:val="nil"/>
        </w:tcBorders>
        <w:shd w:val="clear" w:color="auto" w:fill="5F497A" w:themeFill="accent4" w:themeFillShade="BF"/>
      </w:tcPr>
    </w:tblStylePr>
    <w:tblStylePr w:type="band1Horz">
      <w:tblPr>
        <w:tblLayout w:type="fixed"/>
      </w:tblPr>
      <w:tcPr>
        <w:tcBorders>
          <w:top w:val="nil"/>
          <w:left w:val="nil"/>
          <w:bottom w:val="nil"/>
          <w:right w:val="nil"/>
          <w:insideH w:val="nil"/>
          <w:insideV w:val="nil"/>
        </w:tcBorders>
        <w:shd w:val="clear" w:color="auto" w:fill="5F497A" w:themeFill="accent4" w:themeFillShade="BF"/>
      </w:tcPr>
    </w:tblStylePr>
  </w:style>
  <w:style w:type="table" w:styleId="112">
    <w:name w:val="Dark List Accent 5"/>
    <w:basedOn w:val="35"/>
    <w:uiPriority w:val="70"/>
    <w:pPr>
      <w:spacing w:after="0" w:line="240" w:lineRule="auto"/>
    </w:pPr>
    <w:rPr>
      <w:color w:val="FFFFFF" w:themeColor="background1"/>
      <w14:textFill>
        <w14:solidFill>
          <w14:schemeClr w14:val="bg1"/>
        </w14:solidFill>
      </w14:textFill>
    </w:rPr>
    <w:tblPr>
      <w:tblLayout w:type="fixed"/>
      <w:tblCellMar>
        <w:top w:w="0" w:type="dxa"/>
        <w:left w:w="108" w:type="dxa"/>
        <w:bottom w:w="0" w:type="dxa"/>
        <w:right w:w="108" w:type="dxa"/>
      </w:tblCellMar>
    </w:tblPr>
    <w:tcPr>
      <w:shd w:val="clear" w:color="auto" w:fill="4BACC6" w:themeFill="accent5"/>
    </w:tcPr>
    <w:tblStylePr w:type="firstRow">
      <w:rPr>
        <w:b/>
        <w:bCs/>
      </w:rPr>
      <w:tblPr>
        <w:tblLayout w:type="fixed"/>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blLayout w:type="fixed"/>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blLayout w:type="fixed"/>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blLayout w:type="fixed"/>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blLayout w:type="fixed"/>
      </w:tblPr>
      <w:tcPr>
        <w:tcBorders>
          <w:top w:val="nil"/>
          <w:left w:val="nil"/>
          <w:bottom w:val="nil"/>
          <w:right w:val="nil"/>
          <w:insideH w:val="nil"/>
          <w:insideV w:val="nil"/>
        </w:tcBorders>
        <w:shd w:val="clear" w:color="auto" w:fill="31849B" w:themeFill="accent5" w:themeFillShade="BF"/>
      </w:tcPr>
    </w:tblStylePr>
    <w:tblStylePr w:type="band1Horz">
      <w:tblPr>
        <w:tblLayout w:type="fixed"/>
      </w:tblPr>
      <w:tcPr>
        <w:tcBorders>
          <w:top w:val="nil"/>
          <w:left w:val="nil"/>
          <w:bottom w:val="nil"/>
          <w:right w:val="nil"/>
          <w:insideH w:val="nil"/>
          <w:insideV w:val="nil"/>
        </w:tcBorders>
        <w:shd w:val="clear" w:color="auto" w:fill="31849B" w:themeFill="accent5" w:themeFillShade="BF"/>
      </w:tcPr>
    </w:tblStylePr>
  </w:style>
  <w:style w:type="table" w:styleId="113">
    <w:name w:val="Dark List Accent 6"/>
    <w:basedOn w:val="35"/>
    <w:qFormat/>
    <w:uiPriority w:val="70"/>
    <w:pPr>
      <w:spacing w:after="0" w:line="240" w:lineRule="auto"/>
    </w:pPr>
    <w:rPr>
      <w:color w:val="FFFFFF" w:themeColor="background1"/>
      <w14:textFill>
        <w14:solidFill>
          <w14:schemeClr w14:val="bg1"/>
        </w14:solidFill>
      </w14:textFill>
    </w:rPr>
    <w:tblPr>
      <w:tblLayout w:type="fixed"/>
      <w:tblCellMar>
        <w:top w:w="0" w:type="dxa"/>
        <w:left w:w="108" w:type="dxa"/>
        <w:bottom w:w="0" w:type="dxa"/>
        <w:right w:w="108" w:type="dxa"/>
      </w:tblCellMar>
    </w:tblPr>
    <w:tcPr>
      <w:shd w:val="clear" w:color="auto" w:fill="F79646" w:themeFill="accent6"/>
    </w:tcPr>
    <w:tblStylePr w:type="firstRow">
      <w:rPr>
        <w:b/>
        <w:bCs/>
      </w:rPr>
      <w:tblPr>
        <w:tblLayout w:type="fixed"/>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blLayout w:type="fixed"/>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blLayout w:type="fixed"/>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blLayout w:type="fixed"/>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blLayout w:type="fixed"/>
      </w:tblPr>
      <w:tcPr>
        <w:tcBorders>
          <w:top w:val="nil"/>
          <w:left w:val="nil"/>
          <w:bottom w:val="nil"/>
          <w:right w:val="nil"/>
          <w:insideH w:val="nil"/>
          <w:insideV w:val="nil"/>
        </w:tcBorders>
        <w:shd w:val="clear" w:color="auto" w:fill="E36C09" w:themeFill="accent6" w:themeFillShade="BF"/>
      </w:tcPr>
    </w:tblStylePr>
    <w:tblStylePr w:type="band1Horz">
      <w:tblPr>
        <w:tblLayout w:type="fixed"/>
      </w:tblPr>
      <w:tcPr>
        <w:tcBorders>
          <w:top w:val="nil"/>
          <w:left w:val="nil"/>
          <w:bottom w:val="nil"/>
          <w:right w:val="nil"/>
          <w:insideH w:val="nil"/>
          <w:insideV w:val="nil"/>
        </w:tcBorders>
        <w:shd w:val="clear" w:color="auto" w:fill="E36C09" w:themeFill="accent6" w:themeFillShade="BF"/>
      </w:tcPr>
    </w:tblStylePr>
  </w:style>
  <w:style w:type="table" w:styleId="114">
    <w:name w:val="Colorful Shading"/>
    <w:basedOn w:val="35"/>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
    <w:tcPr>
      <w:shd w:val="clear" w:color="auto" w:fill="E5E5E5" w:themeFill="text1" w:themeFillTint="19"/>
    </w:tcPr>
    <w:tblStylePr w:type="firstRow">
      <w:rPr>
        <w:b/>
        <w:bCs/>
      </w:rPr>
      <w:tblPr>
        <w:tblLayout w:type="fixed"/>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blLayout w:type="fixed"/>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blLayout w:type="fixed"/>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blLayout w:type="fixed"/>
      </w:tblPr>
      <w:tcPr>
        <w:tcBorders>
          <w:top w:val="nil"/>
          <w:left w:val="nil"/>
          <w:bottom w:val="nil"/>
          <w:right w:val="nil"/>
          <w:insideH w:val="nil"/>
          <w:insideV w:val="nil"/>
        </w:tcBorders>
        <w:shd w:val="clear" w:color="auto" w:fill="000000" w:themeFill="text1" w:themeFillShade="BF"/>
      </w:tcPr>
    </w:tblStylePr>
    <w:tblStylePr w:type="band1Vert">
      <w:tblPr>
        <w:tblLayout w:type="fixed"/>
      </w:tblPr>
      <w:tcPr>
        <w:shd w:val="clear" w:color="auto" w:fill="999999" w:themeFill="text1" w:themeFillTint="66"/>
      </w:tcPr>
    </w:tblStylePr>
    <w:tblStylePr w:type="band1Horz">
      <w:tblPr>
        <w:tblLayout w:type="fixed"/>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1"/>
    <w:basedOn w:val="35"/>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
    <w:tcPr>
      <w:shd w:val="clear" w:color="auto" w:fill="EDF2F8" w:themeFill="accent1" w:themeFillTint="19"/>
    </w:tcPr>
    <w:tblStylePr w:type="firstRow">
      <w:rPr>
        <w:b/>
        <w:bCs/>
      </w:rPr>
      <w:tblPr>
        <w:tblLayout w:type="fixed"/>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blLayout w:type="fixed"/>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blLayout w:type="fixed"/>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blLayout w:type="fixed"/>
      </w:tblPr>
      <w:tcPr>
        <w:tcBorders>
          <w:top w:val="nil"/>
          <w:left w:val="nil"/>
          <w:bottom w:val="nil"/>
          <w:right w:val="nil"/>
          <w:insideH w:val="nil"/>
          <w:insideV w:val="nil"/>
        </w:tcBorders>
        <w:shd w:val="clear" w:color="auto" w:fill="2B4D74" w:themeFill="accent1" w:themeFillShade="99"/>
      </w:tcPr>
    </w:tblStylePr>
    <w:tblStylePr w:type="band1Vert">
      <w:tblPr>
        <w:tblLayout w:type="fixed"/>
      </w:tblPr>
      <w:tcPr>
        <w:shd w:val="clear" w:color="auto" w:fill="B8CCE4" w:themeFill="accent1" w:themeFillTint="66"/>
      </w:tcPr>
    </w:tblStylePr>
    <w:tblStylePr w:type="band1Horz">
      <w:tblPr>
        <w:tblLayout w:type="fixed"/>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2"/>
    <w:basedOn w:val="35"/>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
    <w:tcPr>
      <w:shd w:val="clear" w:color="auto" w:fill="F8EDED" w:themeFill="accent2" w:themeFillTint="19"/>
    </w:tcPr>
    <w:tblStylePr w:type="firstRow">
      <w:rPr>
        <w:b/>
        <w:bCs/>
      </w:rPr>
      <w:tblPr>
        <w:tblLayout w:type="fixed"/>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blLayout w:type="fixed"/>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blLayout w:type="fixed"/>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blLayout w:type="fixed"/>
      </w:tblPr>
      <w:tcPr>
        <w:tcBorders>
          <w:top w:val="nil"/>
          <w:left w:val="nil"/>
          <w:bottom w:val="nil"/>
          <w:right w:val="nil"/>
          <w:insideH w:val="nil"/>
          <w:insideV w:val="nil"/>
        </w:tcBorders>
        <w:shd w:val="clear" w:color="auto" w:fill="772C2A" w:themeFill="accent2" w:themeFillShade="99"/>
      </w:tcPr>
    </w:tblStylePr>
    <w:tblStylePr w:type="band1Vert">
      <w:tblPr>
        <w:tblLayout w:type="fixed"/>
      </w:tblPr>
      <w:tcPr>
        <w:shd w:val="clear" w:color="auto" w:fill="E5B8B7" w:themeFill="accent2" w:themeFillTint="66"/>
      </w:tcPr>
    </w:tblStylePr>
    <w:tblStylePr w:type="band1Horz">
      <w:tblPr>
        <w:tblLayout w:type="fixed"/>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3"/>
    <w:basedOn w:val="35"/>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
    <w:tcPr>
      <w:shd w:val="clear" w:color="auto" w:fill="F5F8EE" w:themeFill="accent3" w:themeFillTint="19"/>
    </w:tcPr>
    <w:tblStylePr w:type="firstRow">
      <w:rPr>
        <w:b/>
        <w:bCs/>
      </w:rPr>
      <w:tblPr>
        <w:tblLayout w:type="fixed"/>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blLayout w:type="fixed"/>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blLayout w:type="fixed"/>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blLayout w:type="fixed"/>
      </w:tblPr>
      <w:tcPr>
        <w:tcBorders>
          <w:top w:val="nil"/>
          <w:left w:val="nil"/>
          <w:bottom w:val="nil"/>
          <w:right w:val="nil"/>
          <w:insideH w:val="nil"/>
          <w:insideV w:val="nil"/>
        </w:tcBorders>
        <w:shd w:val="clear" w:color="auto" w:fill="5E7530" w:themeFill="accent3" w:themeFillShade="99"/>
      </w:tcPr>
    </w:tblStylePr>
    <w:tblStylePr w:type="band1Vert">
      <w:tblPr>
        <w:tblLayout w:type="fixed"/>
      </w:tblPr>
      <w:tcPr>
        <w:shd w:val="clear" w:color="auto" w:fill="D6E3BC" w:themeFill="accent3" w:themeFillTint="66"/>
      </w:tcPr>
    </w:tblStylePr>
    <w:tblStylePr w:type="band1Horz">
      <w:tblPr>
        <w:tblLayout w:type="fixed"/>
      </w:tblPr>
      <w:tcPr>
        <w:shd w:val="clear" w:color="auto" w:fill="CDDDAC" w:themeFill="accent3" w:themeFillTint="7F"/>
      </w:tcPr>
    </w:tblStylePr>
  </w:style>
  <w:style w:type="table" w:styleId="118">
    <w:name w:val="Colorful Shading Accent 4"/>
    <w:basedOn w:val="35"/>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
    <w:tcPr>
      <w:shd w:val="clear" w:color="auto" w:fill="F2EFF5" w:themeFill="accent4" w:themeFillTint="19"/>
    </w:tcPr>
    <w:tblStylePr w:type="firstRow">
      <w:rPr>
        <w:b/>
        <w:bCs/>
      </w:rPr>
      <w:tblPr>
        <w:tblLayout w:type="fixed"/>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blLayout w:type="fixed"/>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blLayout w:type="fixed"/>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blLayout w:type="fixed"/>
      </w:tblPr>
      <w:tcPr>
        <w:tcBorders>
          <w:top w:val="nil"/>
          <w:left w:val="nil"/>
          <w:bottom w:val="nil"/>
          <w:right w:val="nil"/>
          <w:insideH w:val="nil"/>
          <w:insideV w:val="nil"/>
        </w:tcBorders>
        <w:shd w:val="clear" w:color="auto" w:fill="4C3A62" w:themeFill="accent4" w:themeFillShade="99"/>
      </w:tcPr>
    </w:tblStylePr>
    <w:tblStylePr w:type="band1Vert">
      <w:tblPr>
        <w:tblLayout w:type="fixed"/>
      </w:tblPr>
      <w:tcPr>
        <w:shd w:val="clear" w:color="auto" w:fill="CCC0D9" w:themeFill="accent4" w:themeFillTint="66"/>
      </w:tcPr>
    </w:tblStylePr>
    <w:tblStylePr w:type="band1Horz">
      <w:tblPr>
        <w:tblLayout w:type="fixed"/>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5"/>
    <w:basedOn w:val="35"/>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
    <w:tcPr>
      <w:shd w:val="clear" w:color="auto" w:fill="EDF6F9" w:themeFill="accent5" w:themeFillTint="19"/>
    </w:tcPr>
    <w:tblStylePr w:type="firstRow">
      <w:rPr>
        <w:b/>
        <w:bCs/>
      </w:rPr>
      <w:tblPr>
        <w:tblLayout w:type="fixed"/>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blLayout w:type="fixed"/>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blLayout w:type="fixed"/>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blLayout w:type="fixed"/>
      </w:tblPr>
      <w:tcPr>
        <w:tcBorders>
          <w:top w:val="nil"/>
          <w:left w:val="nil"/>
          <w:bottom w:val="nil"/>
          <w:right w:val="nil"/>
          <w:insideH w:val="nil"/>
          <w:insideV w:val="nil"/>
        </w:tcBorders>
        <w:shd w:val="clear" w:color="auto" w:fill="276A7C" w:themeFill="accent5" w:themeFillShade="99"/>
      </w:tcPr>
    </w:tblStylePr>
    <w:tblStylePr w:type="band1Vert">
      <w:tblPr>
        <w:tblLayout w:type="fixed"/>
      </w:tblPr>
      <w:tcPr>
        <w:shd w:val="clear" w:color="auto" w:fill="B6DDE8" w:themeFill="accent5" w:themeFillTint="66"/>
      </w:tcPr>
    </w:tblStylePr>
    <w:tblStylePr w:type="band1Horz">
      <w:tblPr>
        <w:tblLayout w:type="fixed"/>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6"/>
    <w:basedOn w:val="35"/>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
    <w:tcPr>
      <w:shd w:val="clear" w:color="auto" w:fill="FEF4EC" w:themeFill="accent6" w:themeFillTint="19"/>
    </w:tcPr>
    <w:tblStylePr w:type="firstRow">
      <w:rPr>
        <w:b/>
        <w:bCs/>
      </w:rPr>
      <w:tblPr>
        <w:tblLayout w:type="fixed"/>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blLayout w:type="fixed"/>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blLayout w:type="fixed"/>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blLayout w:type="fixed"/>
      </w:tblPr>
      <w:tcPr>
        <w:tcBorders>
          <w:top w:val="nil"/>
          <w:left w:val="nil"/>
          <w:bottom w:val="nil"/>
          <w:right w:val="nil"/>
          <w:insideH w:val="nil"/>
          <w:insideV w:val="nil"/>
        </w:tcBorders>
        <w:shd w:val="clear" w:color="auto" w:fill="B65607" w:themeFill="accent6" w:themeFillShade="99"/>
      </w:tcPr>
    </w:tblStylePr>
    <w:tblStylePr w:type="band1Vert">
      <w:tblPr>
        <w:tblLayout w:type="fixed"/>
      </w:tblPr>
      <w:tcPr>
        <w:shd w:val="clear" w:color="auto" w:fill="FBD4B4" w:themeFill="accent6" w:themeFillTint="66"/>
      </w:tcPr>
    </w:tblStylePr>
    <w:tblStylePr w:type="band1Horz">
      <w:tblPr>
        <w:tblLayout w:type="fixed"/>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List"/>
    <w:basedOn w:val="35"/>
    <w:uiPriority w:val="72"/>
    <w:pPr>
      <w:spacing w:after="0" w:line="240" w:lineRule="auto"/>
    </w:pPr>
    <w:rPr>
      <w:color w:val="000000" w:themeColor="text1"/>
      <w14:textFill>
        <w14:solidFill>
          <w14:schemeClr w14:val="tx1"/>
        </w14:solidFill>
      </w14:textFill>
    </w:rPr>
    <w:tblPr>
      <w:tblLayout w:type="fixed"/>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blLayout w:type="fixed"/>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blLayout w:type="fixed"/>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blLayout w:type="fixed"/>
      </w:tblPr>
      <w:tcPr>
        <w:tcBorders>
          <w:top w:val="nil"/>
          <w:left w:val="nil"/>
          <w:bottom w:val="nil"/>
          <w:right w:val="nil"/>
          <w:insideH w:val="nil"/>
          <w:insideV w:val="nil"/>
        </w:tcBorders>
        <w:shd w:val="clear" w:color="auto" w:fill="BFBFBF" w:themeFill="text1" w:themeFillTint="3F"/>
      </w:tcPr>
    </w:tblStylePr>
    <w:tblStylePr w:type="band1Horz">
      <w:tblPr>
        <w:tblLayout w:type="fixed"/>
      </w:tblPr>
      <w:tcPr>
        <w:shd w:val="clear" w:color="auto" w:fill="CCCCCC" w:themeFill="text1" w:themeFillTint="33"/>
      </w:tcPr>
    </w:tblStylePr>
  </w:style>
  <w:style w:type="table" w:styleId="122">
    <w:name w:val="Colorful List Accent 1"/>
    <w:basedOn w:val="35"/>
    <w:uiPriority w:val="72"/>
    <w:pPr>
      <w:spacing w:after="0" w:line="240" w:lineRule="auto"/>
    </w:pPr>
    <w:rPr>
      <w:color w:val="000000" w:themeColor="text1"/>
      <w14:textFill>
        <w14:solidFill>
          <w14:schemeClr w14:val="tx1"/>
        </w14:solidFill>
      </w14:textFill>
    </w:rPr>
    <w:tblPr>
      <w:tblLayout w:type="fixed"/>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blLayout w:type="fixed"/>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blLayout w:type="fixed"/>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blLayout w:type="fixed"/>
      </w:tblPr>
      <w:tcPr>
        <w:tcBorders>
          <w:top w:val="nil"/>
          <w:left w:val="nil"/>
          <w:bottom w:val="nil"/>
          <w:right w:val="nil"/>
          <w:insideH w:val="nil"/>
          <w:insideV w:val="nil"/>
        </w:tcBorders>
        <w:shd w:val="clear" w:color="auto" w:fill="D3DFEE" w:themeFill="accent1" w:themeFillTint="3F"/>
      </w:tcPr>
    </w:tblStylePr>
    <w:tblStylePr w:type="band1Horz">
      <w:tblPr>
        <w:tblLayout w:type="fixed"/>
      </w:tblPr>
      <w:tcPr>
        <w:shd w:val="clear" w:color="auto" w:fill="DBE5F1" w:themeFill="accent1" w:themeFillTint="33"/>
      </w:tcPr>
    </w:tblStylePr>
  </w:style>
  <w:style w:type="table" w:styleId="123">
    <w:name w:val="Colorful List Accent 2"/>
    <w:basedOn w:val="35"/>
    <w:uiPriority w:val="72"/>
    <w:pPr>
      <w:spacing w:after="0" w:line="240" w:lineRule="auto"/>
    </w:pPr>
    <w:rPr>
      <w:color w:val="000000" w:themeColor="text1"/>
      <w14:textFill>
        <w14:solidFill>
          <w14:schemeClr w14:val="tx1"/>
        </w14:solidFill>
      </w14:textFill>
    </w:rPr>
    <w:tblPr>
      <w:tblLayout w:type="fixed"/>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blLayout w:type="fixed"/>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blLayout w:type="fixed"/>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blLayout w:type="fixed"/>
      </w:tblPr>
      <w:tcPr>
        <w:tcBorders>
          <w:top w:val="nil"/>
          <w:left w:val="nil"/>
          <w:bottom w:val="nil"/>
          <w:right w:val="nil"/>
          <w:insideH w:val="nil"/>
          <w:insideV w:val="nil"/>
        </w:tcBorders>
        <w:shd w:val="clear" w:color="auto" w:fill="EFD3D3" w:themeFill="accent2" w:themeFillTint="3F"/>
      </w:tcPr>
    </w:tblStylePr>
    <w:tblStylePr w:type="band1Horz">
      <w:tblPr>
        <w:tblLayout w:type="fixed"/>
      </w:tblPr>
      <w:tcPr>
        <w:shd w:val="clear" w:color="auto" w:fill="F2DBDB" w:themeFill="accent2" w:themeFillTint="33"/>
      </w:tcPr>
    </w:tblStylePr>
  </w:style>
  <w:style w:type="table" w:styleId="124">
    <w:name w:val="Colorful List Accent 3"/>
    <w:basedOn w:val="35"/>
    <w:uiPriority w:val="72"/>
    <w:pPr>
      <w:spacing w:after="0" w:line="240" w:lineRule="auto"/>
    </w:pPr>
    <w:rPr>
      <w:color w:val="000000" w:themeColor="text1"/>
      <w14:textFill>
        <w14:solidFill>
          <w14:schemeClr w14:val="tx1"/>
        </w14:solidFill>
      </w14:textFill>
    </w:rPr>
    <w:tblPr>
      <w:tblLayout w:type="fixed"/>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blLayout w:type="fixed"/>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blLayout w:type="fixed"/>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blLayout w:type="fixed"/>
      </w:tblPr>
      <w:tcPr>
        <w:tcBorders>
          <w:top w:val="nil"/>
          <w:left w:val="nil"/>
          <w:bottom w:val="nil"/>
          <w:right w:val="nil"/>
          <w:insideH w:val="nil"/>
          <w:insideV w:val="nil"/>
        </w:tcBorders>
        <w:shd w:val="clear" w:color="auto" w:fill="E6EED5" w:themeFill="accent3" w:themeFillTint="3F"/>
      </w:tcPr>
    </w:tblStylePr>
    <w:tblStylePr w:type="band1Horz">
      <w:tblPr>
        <w:tblLayout w:type="fixed"/>
      </w:tblPr>
      <w:tcPr>
        <w:shd w:val="clear" w:color="auto" w:fill="EAF1DD" w:themeFill="accent3" w:themeFillTint="33"/>
      </w:tcPr>
    </w:tblStylePr>
  </w:style>
  <w:style w:type="table" w:styleId="125">
    <w:name w:val="Colorful List Accent 4"/>
    <w:basedOn w:val="35"/>
    <w:uiPriority w:val="72"/>
    <w:pPr>
      <w:spacing w:after="0" w:line="240" w:lineRule="auto"/>
    </w:pPr>
    <w:rPr>
      <w:color w:val="000000" w:themeColor="text1"/>
      <w14:textFill>
        <w14:solidFill>
          <w14:schemeClr w14:val="tx1"/>
        </w14:solidFill>
      </w14:textFill>
    </w:rPr>
    <w:tblPr>
      <w:tblLayout w:type="fixed"/>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blLayout w:type="fixed"/>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blLayout w:type="fixed"/>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blLayout w:type="fixed"/>
      </w:tblPr>
      <w:tcPr>
        <w:tcBorders>
          <w:top w:val="nil"/>
          <w:left w:val="nil"/>
          <w:bottom w:val="nil"/>
          <w:right w:val="nil"/>
          <w:insideH w:val="nil"/>
          <w:insideV w:val="nil"/>
        </w:tcBorders>
        <w:shd w:val="clear" w:color="auto" w:fill="DFD8E8" w:themeFill="accent4" w:themeFillTint="3F"/>
      </w:tcPr>
    </w:tblStylePr>
    <w:tblStylePr w:type="band1Horz">
      <w:tblPr>
        <w:tblLayout w:type="fixed"/>
      </w:tblPr>
      <w:tcPr>
        <w:shd w:val="clear" w:color="auto" w:fill="E5DFEC" w:themeFill="accent4" w:themeFillTint="33"/>
      </w:tcPr>
    </w:tblStylePr>
  </w:style>
  <w:style w:type="table" w:styleId="126">
    <w:name w:val="Colorful List Accent 5"/>
    <w:basedOn w:val="35"/>
    <w:uiPriority w:val="72"/>
    <w:pPr>
      <w:spacing w:after="0" w:line="240" w:lineRule="auto"/>
    </w:pPr>
    <w:rPr>
      <w:color w:val="000000" w:themeColor="text1"/>
      <w14:textFill>
        <w14:solidFill>
          <w14:schemeClr w14:val="tx1"/>
        </w14:solidFill>
      </w14:textFill>
    </w:rPr>
    <w:tblPr>
      <w:tblLayout w:type="fixed"/>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blLayout w:type="fixed"/>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blLayout w:type="fixed"/>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blLayout w:type="fixed"/>
      </w:tblPr>
      <w:tcPr>
        <w:tcBorders>
          <w:top w:val="nil"/>
          <w:left w:val="nil"/>
          <w:bottom w:val="nil"/>
          <w:right w:val="nil"/>
          <w:insideH w:val="nil"/>
          <w:insideV w:val="nil"/>
        </w:tcBorders>
        <w:shd w:val="clear" w:color="auto" w:fill="D2EAF0" w:themeFill="accent5" w:themeFillTint="3F"/>
      </w:tcPr>
    </w:tblStylePr>
    <w:tblStylePr w:type="band1Horz">
      <w:tblPr>
        <w:tblLayout w:type="fixed"/>
      </w:tblPr>
      <w:tcPr>
        <w:shd w:val="clear" w:color="auto" w:fill="DAEEF3" w:themeFill="accent5" w:themeFillTint="33"/>
      </w:tcPr>
    </w:tblStylePr>
  </w:style>
  <w:style w:type="table" w:styleId="127">
    <w:name w:val="Colorful List Accent 6"/>
    <w:basedOn w:val="35"/>
    <w:uiPriority w:val="72"/>
    <w:pPr>
      <w:spacing w:after="0" w:line="240" w:lineRule="auto"/>
    </w:pPr>
    <w:rPr>
      <w:color w:val="000000" w:themeColor="text1"/>
      <w14:textFill>
        <w14:solidFill>
          <w14:schemeClr w14:val="tx1"/>
        </w14:solidFill>
      </w14:textFill>
    </w:rPr>
    <w:tblPr>
      <w:tblLayout w:type="fixed"/>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blLayout w:type="fixed"/>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blLayout w:type="fixed"/>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blLayout w:type="fixed"/>
      </w:tblPr>
      <w:tcPr>
        <w:tcBorders>
          <w:top w:val="nil"/>
          <w:left w:val="nil"/>
          <w:bottom w:val="nil"/>
          <w:right w:val="nil"/>
          <w:insideH w:val="nil"/>
          <w:insideV w:val="nil"/>
        </w:tcBorders>
        <w:shd w:val="clear" w:color="auto" w:fill="FDE5D1" w:themeFill="accent6" w:themeFillTint="3F"/>
      </w:tcPr>
    </w:tblStylePr>
    <w:tblStylePr w:type="band1Horz">
      <w:tblPr>
        <w:tblLayout w:type="fixed"/>
      </w:tblPr>
      <w:tcPr>
        <w:shd w:val="clear" w:color="auto" w:fill="FDE9D9" w:themeFill="accent6" w:themeFillTint="33"/>
      </w:tcPr>
    </w:tblStylePr>
  </w:style>
  <w:style w:type="table" w:styleId="128">
    <w:name w:val="Colorful Grid"/>
    <w:basedOn w:val="35"/>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Layout w:type="fixed"/>
      <w:tblCellMar>
        <w:top w:w="0" w:type="dxa"/>
        <w:left w:w="108" w:type="dxa"/>
        <w:bottom w:w="0" w:type="dxa"/>
        <w:right w:w="108" w:type="dxa"/>
      </w:tblCellMar>
    </w:tblPr>
    <w:tcPr>
      <w:shd w:val="clear" w:color="auto" w:fill="CCCCCC" w:themeFill="text1" w:themeFillTint="33"/>
    </w:tcPr>
    <w:tblStylePr w:type="firstRow">
      <w:rPr>
        <w:b/>
        <w:bCs/>
      </w:rPr>
      <w:tblPr>
        <w:tblLayout w:type="fixed"/>
      </w:tblPr>
      <w:tcPr>
        <w:shd w:val="clear" w:color="auto" w:fill="999999" w:themeFill="text1" w:themeFillTint="66"/>
      </w:tcPr>
    </w:tblStylePr>
    <w:tblStylePr w:type="lastRow">
      <w:rPr>
        <w:b/>
        <w:bCs/>
        <w:color w:val="000000" w:themeColor="text1"/>
        <w14:textFill>
          <w14:solidFill>
            <w14:schemeClr w14:val="tx1"/>
          </w14:solidFill>
        </w14:textFill>
      </w:rPr>
      <w:tblPr>
        <w:tblLayout w:type="fixed"/>
      </w:tblPr>
      <w:tcPr>
        <w:shd w:val="clear" w:color="auto" w:fill="999999" w:themeFill="text1" w:themeFillTint="66"/>
      </w:tcPr>
    </w:tblStylePr>
    <w:tblStylePr w:type="firstCol">
      <w:rPr>
        <w:color w:val="FFFFFF" w:themeColor="background1"/>
        <w14:textFill>
          <w14:solidFill>
            <w14:schemeClr w14:val="bg1"/>
          </w14:solidFill>
        </w14:textFill>
      </w:rPr>
      <w:tblPr>
        <w:tblLayout w:type="fixed"/>
      </w:tblPr>
      <w:tcPr>
        <w:shd w:val="clear" w:color="auto" w:fill="000000" w:themeFill="text1" w:themeFillShade="BF"/>
      </w:tcPr>
    </w:tblStylePr>
    <w:tblStylePr w:type="lastCol">
      <w:rPr>
        <w:color w:val="FFFFFF" w:themeColor="background1"/>
        <w14:textFill>
          <w14:solidFill>
            <w14:schemeClr w14:val="bg1"/>
          </w14:solidFill>
        </w14:textFill>
      </w:rPr>
      <w:tblPr>
        <w:tblLayout w:type="fixed"/>
      </w:tblPr>
      <w:tcPr>
        <w:shd w:val="clear" w:color="auto" w:fill="000000" w:themeFill="text1" w:themeFillShade="BF"/>
      </w:tcPr>
    </w:tblStylePr>
    <w:tblStylePr w:type="band1Vert">
      <w:tblPr>
        <w:tblLayout w:type="fixed"/>
      </w:tblPr>
      <w:tcPr>
        <w:shd w:val="clear" w:color="auto" w:fill="7F7F7F" w:themeFill="text1" w:themeFillTint="7F"/>
      </w:tcPr>
    </w:tblStylePr>
    <w:tblStylePr w:type="band1Horz">
      <w:tblPr>
        <w:tblLayout w:type="fixed"/>
      </w:tblPr>
      <w:tcPr>
        <w:shd w:val="clear" w:color="auto" w:fill="7F7F7F" w:themeFill="text1" w:themeFillTint="7F"/>
      </w:tcPr>
    </w:tblStylePr>
  </w:style>
  <w:style w:type="table" w:styleId="129">
    <w:name w:val="Colorful Grid Accent 1"/>
    <w:basedOn w:val="35"/>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Layout w:type="fixed"/>
      <w:tblCellMar>
        <w:top w:w="0" w:type="dxa"/>
        <w:left w:w="108" w:type="dxa"/>
        <w:bottom w:w="0" w:type="dxa"/>
        <w:right w:w="108" w:type="dxa"/>
      </w:tblCellMar>
    </w:tblPr>
    <w:tcPr>
      <w:shd w:val="clear" w:color="auto" w:fill="DBE5F1" w:themeFill="accent1" w:themeFillTint="33"/>
    </w:tcPr>
    <w:tblStylePr w:type="firstRow">
      <w:rPr>
        <w:b/>
        <w:bCs/>
      </w:rPr>
      <w:tblPr>
        <w:tblLayout w:type="fixed"/>
      </w:tblPr>
      <w:tcPr>
        <w:shd w:val="clear" w:color="auto" w:fill="B8CCE4" w:themeFill="accent1" w:themeFillTint="66"/>
      </w:tcPr>
    </w:tblStylePr>
    <w:tblStylePr w:type="lastRow">
      <w:rPr>
        <w:b/>
        <w:bCs/>
        <w:color w:val="000000" w:themeColor="text1"/>
        <w14:textFill>
          <w14:solidFill>
            <w14:schemeClr w14:val="tx1"/>
          </w14:solidFill>
        </w14:textFill>
      </w:rPr>
      <w:tblPr>
        <w:tblLayout w:type="fixed"/>
      </w:tblPr>
      <w:tcPr>
        <w:shd w:val="clear" w:color="auto" w:fill="B8CCE4" w:themeFill="accent1" w:themeFillTint="66"/>
      </w:tcPr>
    </w:tblStylePr>
    <w:tblStylePr w:type="firstCol">
      <w:rPr>
        <w:color w:val="FFFFFF" w:themeColor="background1"/>
        <w14:textFill>
          <w14:solidFill>
            <w14:schemeClr w14:val="bg1"/>
          </w14:solidFill>
        </w14:textFill>
      </w:rPr>
      <w:tblPr>
        <w:tblLayout w:type="fixed"/>
      </w:tblPr>
      <w:tcPr>
        <w:shd w:val="clear" w:color="auto" w:fill="366091" w:themeFill="accent1" w:themeFillShade="BF"/>
      </w:tcPr>
    </w:tblStylePr>
    <w:tblStylePr w:type="lastCol">
      <w:rPr>
        <w:color w:val="FFFFFF" w:themeColor="background1"/>
        <w14:textFill>
          <w14:solidFill>
            <w14:schemeClr w14:val="bg1"/>
          </w14:solidFill>
        </w14:textFill>
      </w:rPr>
      <w:tblPr>
        <w:tblLayout w:type="fixed"/>
      </w:tblPr>
      <w:tcPr>
        <w:shd w:val="clear" w:color="auto" w:fill="366091" w:themeFill="accent1" w:themeFillShade="BF"/>
      </w:tcPr>
    </w:tblStylePr>
    <w:tblStylePr w:type="band1Vert">
      <w:tblPr>
        <w:tblLayout w:type="fixed"/>
      </w:tblPr>
      <w:tcPr>
        <w:shd w:val="clear" w:color="auto" w:fill="A7C0DE" w:themeFill="accent1" w:themeFillTint="7F"/>
      </w:tcPr>
    </w:tblStylePr>
    <w:tblStylePr w:type="band1Horz">
      <w:tblPr>
        <w:tblLayout w:type="fixed"/>
      </w:tblPr>
      <w:tcPr>
        <w:shd w:val="clear" w:color="auto" w:fill="A7C0DE" w:themeFill="accent1" w:themeFillTint="7F"/>
      </w:tcPr>
    </w:tblStylePr>
  </w:style>
  <w:style w:type="table" w:styleId="130">
    <w:name w:val="Colorful Grid Accent 2"/>
    <w:basedOn w:val="35"/>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Layout w:type="fixed"/>
      <w:tblCellMar>
        <w:top w:w="0" w:type="dxa"/>
        <w:left w:w="108" w:type="dxa"/>
        <w:bottom w:w="0" w:type="dxa"/>
        <w:right w:w="108" w:type="dxa"/>
      </w:tblCellMar>
    </w:tblPr>
    <w:tcPr>
      <w:shd w:val="clear" w:color="auto" w:fill="F2DBDB" w:themeFill="accent2" w:themeFillTint="33"/>
    </w:tcPr>
    <w:tblStylePr w:type="firstRow">
      <w:rPr>
        <w:b/>
        <w:bCs/>
      </w:rPr>
      <w:tblPr>
        <w:tblLayout w:type="fixed"/>
      </w:tblPr>
      <w:tcPr>
        <w:shd w:val="clear" w:color="auto" w:fill="E5B8B7" w:themeFill="accent2" w:themeFillTint="66"/>
      </w:tcPr>
    </w:tblStylePr>
    <w:tblStylePr w:type="lastRow">
      <w:rPr>
        <w:b/>
        <w:bCs/>
        <w:color w:val="000000" w:themeColor="text1"/>
        <w14:textFill>
          <w14:solidFill>
            <w14:schemeClr w14:val="tx1"/>
          </w14:solidFill>
        </w14:textFill>
      </w:rPr>
      <w:tblPr>
        <w:tblLayout w:type="fixed"/>
      </w:tblPr>
      <w:tcPr>
        <w:shd w:val="clear" w:color="auto" w:fill="E5B8B7" w:themeFill="accent2" w:themeFillTint="66"/>
      </w:tcPr>
    </w:tblStylePr>
    <w:tblStylePr w:type="firstCol">
      <w:rPr>
        <w:color w:val="FFFFFF" w:themeColor="background1"/>
        <w14:textFill>
          <w14:solidFill>
            <w14:schemeClr w14:val="bg1"/>
          </w14:solidFill>
        </w14:textFill>
      </w:rPr>
      <w:tblPr>
        <w:tblLayout w:type="fixed"/>
      </w:tblPr>
      <w:tcPr>
        <w:shd w:val="clear" w:color="auto" w:fill="943734" w:themeFill="accent2" w:themeFillShade="BF"/>
      </w:tcPr>
    </w:tblStylePr>
    <w:tblStylePr w:type="lastCol">
      <w:rPr>
        <w:color w:val="FFFFFF" w:themeColor="background1"/>
        <w14:textFill>
          <w14:solidFill>
            <w14:schemeClr w14:val="bg1"/>
          </w14:solidFill>
        </w14:textFill>
      </w:rPr>
      <w:tblPr>
        <w:tblLayout w:type="fixed"/>
      </w:tblPr>
      <w:tcPr>
        <w:shd w:val="clear" w:color="auto" w:fill="943734" w:themeFill="accent2" w:themeFillShade="BF"/>
      </w:tcPr>
    </w:tblStylePr>
    <w:tblStylePr w:type="band1Vert">
      <w:tblPr>
        <w:tblLayout w:type="fixed"/>
      </w:tblPr>
      <w:tcPr>
        <w:shd w:val="clear" w:color="auto" w:fill="DFA7A6" w:themeFill="accent2" w:themeFillTint="7F"/>
      </w:tcPr>
    </w:tblStylePr>
    <w:tblStylePr w:type="band1Horz">
      <w:tblPr>
        <w:tblLayout w:type="fixed"/>
      </w:tblPr>
      <w:tcPr>
        <w:shd w:val="clear" w:color="auto" w:fill="DFA7A6" w:themeFill="accent2" w:themeFillTint="7F"/>
      </w:tcPr>
    </w:tblStylePr>
  </w:style>
  <w:style w:type="table" w:styleId="131">
    <w:name w:val="Colorful Grid Accent 3"/>
    <w:basedOn w:val="35"/>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Layout w:type="fixed"/>
      <w:tblCellMar>
        <w:top w:w="0" w:type="dxa"/>
        <w:left w:w="108" w:type="dxa"/>
        <w:bottom w:w="0" w:type="dxa"/>
        <w:right w:w="108" w:type="dxa"/>
      </w:tblCellMar>
    </w:tblPr>
    <w:tcPr>
      <w:shd w:val="clear" w:color="auto" w:fill="EAF1DD" w:themeFill="accent3" w:themeFillTint="33"/>
    </w:tcPr>
    <w:tblStylePr w:type="firstRow">
      <w:rPr>
        <w:b/>
        <w:bCs/>
      </w:rPr>
      <w:tblPr>
        <w:tblLayout w:type="fixed"/>
      </w:tblPr>
      <w:tcPr>
        <w:shd w:val="clear" w:color="auto" w:fill="D6E3BC" w:themeFill="accent3" w:themeFillTint="66"/>
      </w:tcPr>
    </w:tblStylePr>
    <w:tblStylePr w:type="lastRow">
      <w:rPr>
        <w:b/>
        <w:bCs/>
        <w:color w:val="000000" w:themeColor="text1"/>
        <w14:textFill>
          <w14:solidFill>
            <w14:schemeClr w14:val="tx1"/>
          </w14:solidFill>
        </w14:textFill>
      </w:rPr>
      <w:tblPr>
        <w:tblLayout w:type="fixed"/>
      </w:tblPr>
      <w:tcPr>
        <w:shd w:val="clear" w:color="auto" w:fill="D6E3BC" w:themeFill="accent3" w:themeFillTint="66"/>
      </w:tcPr>
    </w:tblStylePr>
    <w:tblStylePr w:type="firstCol">
      <w:rPr>
        <w:color w:val="FFFFFF" w:themeColor="background1"/>
        <w14:textFill>
          <w14:solidFill>
            <w14:schemeClr w14:val="bg1"/>
          </w14:solidFill>
        </w14:textFill>
      </w:rPr>
      <w:tblPr>
        <w:tblLayout w:type="fixed"/>
      </w:tblPr>
      <w:tcPr>
        <w:shd w:val="clear" w:color="auto" w:fill="76923C" w:themeFill="accent3" w:themeFillShade="BF"/>
      </w:tcPr>
    </w:tblStylePr>
    <w:tblStylePr w:type="lastCol">
      <w:rPr>
        <w:color w:val="FFFFFF" w:themeColor="background1"/>
        <w14:textFill>
          <w14:solidFill>
            <w14:schemeClr w14:val="bg1"/>
          </w14:solidFill>
        </w14:textFill>
      </w:rPr>
      <w:tblPr>
        <w:tblLayout w:type="fixed"/>
      </w:tblPr>
      <w:tcPr>
        <w:shd w:val="clear" w:color="auto" w:fill="76923C" w:themeFill="accent3" w:themeFillShade="BF"/>
      </w:tcPr>
    </w:tblStylePr>
    <w:tblStylePr w:type="band1Vert">
      <w:tblPr>
        <w:tblLayout w:type="fixed"/>
      </w:tblPr>
      <w:tcPr>
        <w:shd w:val="clear" w:color="auto" w:fill="CDDDAC" w:themeFill="accent3" w:themeFillTint="7F"/>
      </w:tcPr>
    </w:tblStylePr>
    <w:tblStylePr w:type="band1Horz">
      <w:tblPr>
        <w:tblLayout w:type="fixed"/>
      </w:tblPr>
      <w:tcPr>
        <w:shd w:val="clear" w:color="auto" w:fill="CDDDAC" w:themeFill="accent3" w:themeFillTint="7F"/>
      </w:tcPr>
    </w:tblStylePr>
  </w:style>
  <w:style w:type="table" w:styleId="132">
    <w:name w:val="Colorful Grid Accent 4"/>
    <w:basedOn w:val="35"/>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Layout w:type="fixed"/>
      <w:tblCellMar>
        <w:top w:w="0" w:type="dxa"/>
        <w:left w:w="108" w:type="dxa"/>
        <w:bottom w:w="0" w:type="dxa"/>
        <w:right w:w="108" w:type="dxa"/>
      </w:tblCellMar>
    </w:tblPr>
    <w:tcPr>
      <w:shd w:val="clear" w:color="auto" w:fill="E5DFEC" w:themeFill="accent4" w:themeFillTint="33"/>
    </w:tcPr>
    <w:tblStylePr w:type="firstRow">
      <w:rPr>
        <w:b/>
        <w:bCs/>
      </w:rPr>
      <w:tblPr>
        <w:tblLayout w:type="fixed"/>
      </w:tblPr>
      <w:tcPr>
        <w:shd w:val="clear" w:color="auto" w:fill="CCC0D9" w:themeFill="accent4" w:themeFillTint="66"/>
      </w:tcPr>
    </w:tblStylePr>
    <w:tblStylePr w:type="lastRow">
      <w:rPr>
        <w:b/>
        <w:bCs/>
        <w:color w:val="000000" w:themeColor="text1"/>
        <w14:textFill>
          <w14:solidFill>
            <w14:schemeClr w14:val="tx1"/>
          </w14:solidFill>
        </w14:textFill>
      </w:rPr>
      <w:tblPr>
        <w:tblLayout w:type="fixed"/>
      </w:tblPr>
      <w:tcPr>
        <w:shd w:val="clear" w:color="auto" w:fill="CCC0D9" w:themeFill="accent4" w:themeFillTint="66"/>
      </w:tcPr>
    </w:tblStylePr>
    <w:tblStylePr w:type="firstCol">
      <w:rPr>
        <w:color w:val="FFFFFF" w:themeColor="background1"/>
        <w14:textFill>
          <w14:solidFill>
            <w14:schemeClr w14:val="bg1"/>
          </w14:solidFill>
        </w14:textFill>
      </w:rPr>
      <w:tblPr>
        <w:tblLayout w:type="fixed"/>
      </w:tblPr>
      <w:tcPr>
        <w:shd w:val="clear" w:color="auto" w:fill="5F497A" w:themeFill="accent4" w:themeFillShade="BF"/>
      </w:tcPr>
    </w:tblStylePr>
    <w:tblStylePr w:type="lastCol">
      <w:rPr>
        <w:color w:val="FFFFFF" w:themeColor="background1"/>
        <w14:textFill>
          <w14:solidFill>
            <w14:schemeClr w14:val="bg1"/>
          </w14:solidFill>
        </w14:textFill>
      </w:rPr>
      <w:tblPr>
        <w:tblLayout w:type="fixed"/>
      </w:tblPr>
      <w:tcPr>
        <w:shd w:val="clear" w:color="auto" w:fill="5F497A" w:themeFill="accent4" w:themeFillShade="BF"/>
      </w:tcPr>
    </w:tblStylePr>
    <w:tblStylePr w:type="band1Vert">
      <w:tblPr>
        <w:tblLayout w:type="fixed"/>
      </w:tblPr>
      <w:tcPr>
        <w:shd w:val="clear" w:color="auto" w:fill="BFB1D0" w:themeFill="accent4" w:themeFillTint="7F"/>
      </w:tcPr>
    </w:tblStylePr>
    <w:tblStylePr w:type="band1Horz">
      <w:tblPr>
        <w:tblLayout w:type="fixed"/>
      </w:tblPr>
      <w:tcPr>
        <w:shd w:val="clear" w:color="auto" w:fill="BFB1D0" w:themeFill="accent4" w:themeFillTint="7F"/>
      </w:tcPr>
    </w:tblStylePr>
  </w:style>
  <w:style w:type="table" w:styleId="133">
    <w:name w:val="Colorful Grid Accent 5"/>
    <w:basedOn w:val="35"/>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Layout w:type="fixed"/>
      <w:tblCellMar>
        <w:top w:w="0" w:type="dxa"/>
        <w:left w:w="108" w:type="dxa"/>
        <w:bottom w:w="0" w:type="dxa"/>
        <w:right w:w="108" w:type="dxa"/>
      </w:tblCellMar>
    </w:tblPr>
    <w:tcPr>
      <w:shd w:val="clear" w:color="auto" w:fill="DAEEF3" w:themeFill="accent5" w:themeFillTint="33"/>
    </w:tcPr>
    <w:tblStylePr w:type="firstRow">
      <w:rPr>
        <w:b/>
        <w:bCs/>
      </w:rPr>
      <w:tblPr>
        <w:tblLayout w:type="fixed"/>
      </w:tblPr>
      <w:tcPr>
        <w:shd w:val="clear" w:color="auto" w:fill="B6DDE8" w:themeFill="accent5" w:themeFillTint="66"/>
      </w:tcPr>
    </w:tblStylePr>
    <w:tblStylePr w:type="lastRow">
      <w:rPr>
        <w:b/>
        <w:bCs/>
        <w:color w:val="000000" w:themeColor="text1"/>
        <w14:textFill>
          <w14:solidFill>
            <w14:schemeClr w14:val="tx1"/>
          </w14:solidFill>
        </w14:textFill>
      </w:rPr>
      <w:tblPr>
        <w:tblLayout w:type="fixed"/>
      </w:tblPr>
      <w:tcPr>
        <w:shd w:val="clear" w:color="auto" w:fill="B6DDE8" w:themeFill="accent5" w:themeFillTint="66"/>
      </w:tcPr>
    </w:tblStylePr>
    <w:tblStylePr w:type="firstCol">
      <w:rPr>
        <w:color w:val="FFFFFF" w:themeColor="background1"/>
        <w14:textFill>
          <w14:solidFill>
            <w14:schemeClr w14:val="bg1"/>
          </w14:solidFill>
        </w14:textFill>
      </w:rPr>
      <w:tblPr>
        <w:tblLayout w:type="fixed"/>
      </w:tblPr>
      <w:tcPr>
        <w:shd w:val="clear" w:color="auto" w:fill="31849B" w:themeFill="accent5" w:themeFillShade="BF"/>
      </w:tcPr>
    </w:tblStylePr>
    <w:tblStylePr w:type="lastCol">
      <w:rPr>
        <w:color w:val="FFFFFF" w:themeColor="background1"/>
        <w14:textFill>
          <w14:solidFill>
            <w14:schemeClr w14:val="bg1"/>
          </w14:solidFill>
        </w14:textFill>
      </w:rPr>
      <w:tblPr>
        <w:tblLayout w:type="fixed"/>
      </w:tblPr>
      <w:tcPr>
        <w:shd w:val="clear" w:color="auto" w:fill="31849B" w:themeFill="accent5" w:themeFillShade="BF"/>
      </w:tcPr>
    </w:tblStylePr>
    <w:tblStylePr w:type="band1Vert">
      <w:tblPr>
        <w:tblLayout w:type="fixed"/>
      </w:tblPr>
      <w:tcPr>
        <w:shd w:val="clear" w:color="auto" w:fill="A5D5E2" w:themeFill="accent5" w:themeFillTint="7F"/>
      </w:tcPr>
    </w:tblStylePr>
    <w:tblStylePr w:type="band1Horz">
      <w:tblPr>
        <w:tblLayout w:type="fixed"/>
      </w:tblPr>
      <w:tcPr>
        <w:shd w:val="clear" w:color="auto" w:fill="A5D5E2" w:themeFill="accent5" w:themeFillTint="7F"/>
      </w:tcPr>
    </w:tblStylePr>
  </w:style>
  <w:style w:type="table" w:styleId="134">
    <w:name w:val="Colorful Grid Accent 6"/>
    <w:basedOn w:val="35"/>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Layout w:type="fixed"/>
      <w:tblCellMar>
        <w:top w:w="0" w:type="dxa"/>
        <w:left w:w="108" w:type="dxa"/>
        <w:bottom w:w="0" w:type="dxa"/>
        <w:right w:w="108" w:type="dxa"/>
      </w:tblCellMar>
    </w:tblPr>
    <w:tcPr>
      <w:shd w:val="clear" w:color="auto" w:fill="FDE9D9" w:themeFill="accent6" w:themeFillTint="33"/>
    </w:tcPr>
    <w:tblStylePr w:type="firstRow">
      <w:rPr>
        <w:b/>
        <w:bCs/>
      </w:rPr>
      <w:tblPr>
        <w:tblLayout w:type="fixed"/>
      </w:tblPr>
      <w:tcPr>
        <w:shd w:val="clear" w:color="auto" w:fill="FBD4B4" w:themeFill="accent6" w:themeFillTint="66"/>
      </w:tcPr>
    </w:tblStylePr>
    <w:tblStylePr w:type="lastRow">
      <w:rPr>
        <w:b/>
        <w:bCs/>
        <w:color w:val="000000" w:themeColor="text1"/>
        <w14:textFill>
          <w14:solidFill>
            <w14:schemeClr w14:val="tx1"/>
          </w14:solidFill>
        </w14:textFill>
      </w:rPr>
      <w:tblPr>
        <w:tblLayout w:type="fixed"/>
      </w:tblPr>
      <w:tcPr>
        <w:shd w:val="clear" w:color="auto" w:fill="FBD4B4" w:themeFill="accent6" w:themeFillTint="66"/>
      </w:tcPr>
    </w:tblStylePr>
    <w:tblStylePr w:type="firstCol">
      <w:rPr>
        <w:color w:val="FFFFFF" w:themeColor="background1"/>
        <w14:textFill>
          <w14:solidFill>
            <w14:schemeClr w14:val="bg1"/>
          </w14:solidFill>
        </w14:textFill>
      </w:rPr>
      <w:tblPr>
        <w:tblLayout w:type="fixed"/>
      </w:tblPr>
      <w:tcPr>
        <w:shd w:val="clear" w:color="auto" w:fill="E36C09" w:themeFill="accent6" w:themeFillShade="BF"/>
      </w:tcPr>
    </w:tblStylePr>
    <w:tblStylePr w:type="lastCol">
      <w:rPr>
        <w:color w:val="FFFFFF" w:themeColor="background1"/>
        <w14:textFill>
          <w14:solidFill>
            <w14:schemeClr w14:val="bg1"/>
          </w14:solidFill>
        </w14:textFill>
      </w:rPr>
      <w:tblPr>
        <w:tblLayout w:type="fixed"/>
      </w:tblPr>
      <w:tcPr>
        <w:shd w:val="clear" w:color="auto" w:fill="E36C09" w:themeFill="accent6" w:themeFillShade="BF"/>
      </w:tcPr>
    </w:tblStylePr>
    <w:tblStylePr w:type="band1Vert">
      <w:tblPr>
        <w:tblLayout w:type="fixed"/>
      </w:tblPr>
      <w:tcPr>
        <w:shd w:val="clear" w:color="auto" w:fill="FBCAA2" w:themeFill="accent6" w:themeFillTint="7F"/>
      </w:tcPr>
    </w:tblStylePr>
    <w:tblStylePr w:type="band1Horz">
      <w:tblPr>
        <w:tblLayout w:type="fixed"/>
      </w:tblPr>
      <w:tcPr>
        <w:shd w:val="clear" w:color="auto" w:fill="FBCAA2" w:themeFill="accent6" w:themeFillTint="7F"/>
      </w:tcPr>
    </w:tblStylePr>
  </w:style>
  <w:style w:type="character" w:customStyle="1" w:styleId="135">
    <w:name w:val="Header Char"/>
    <w:basedOn w:val="32"/>
    <w:link w:val="25"/>
    <w:qFormat/>
    <w:uiPriority w:val="99"/>
  </w:style>
  <w:style w:type="character" w:customStyle="1" w:styleId="136">
    <w:name w:val="Footer Char"/>
    <w:basedOn w:val="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32"/>
    <w:link w:val="2"/>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32"/>
    <w:link w:val="3"/>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32"/>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32"/>
    <w:link w:val="19"/>
    <w:qFormat/>
    <w:uiPriority w:val="99"/>
  </w:style>
  <w:style w:type="character" w:customStyle="1" w:styleId="145">
    <w:name w:val="Body Text 2 Char"/>
    <w:basedOn w:val="32"/>
    <w:link w:val="28"/>
    <w:uiPriority w:val="99"/>
  </w:style>
  <w:style w:type="character" w:customStyle="1" w:styleId="146">
    <w:name w:val="Body Text 3 Char"/>
    <w:basedOn w:val="32"/>
    <w:link w:val="17"/>
    <w:uiPriority w:val="99"/>
    <w:rPr>
      <w:sz w:val="16"/>
      <w:szCs w:val="16"/>
    </w:rPr>
  </w:style>
  <w:style w:type="character" w:customStyle="1" w:styleId="147">
    <w:name w:val="Macro Text Char"/>
    <w:basedOn w:val="32"/>
    <w:link w:val="13"/>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32"/>
    <w:link w:val="148"/>
    <w:qFormat/>
    <w:uiPriority w:val="29"/>
    <w:rPr>
      <w:i/>
      <w:iCs/>
      <w:color w:val="000000" w:themeColor="text1"/>
      <w14:textFill>
        <w14:solidFill>
          <w14:schemeClr w14:val="tx1"/>
        </w14:solidFill>
      </w14:textFill>
    </w:rPr>
  </w:style>
  <w:style w:type="character" w:customStyle="1" w:styleId="150">
    <w:name w:val="Heading 4 Char"/>
    <w:basedOn w:val="32"/>
    <w:link w:val="5"/>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32"/>
    <w:link w:val="6"/>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32"/>
    <w:link w:val="7"/>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32"/>
    <w:link w:val="8"/>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32"/>
    <w:link w:val="9"/>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32"/>
    <w:link w:val="10"/>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32"/>
    <w:link w:val="156"/>
    <w:qFormat/>
    <w:uiPriority w:val="30"/>
    <w:rPr>
      <w:b/>
      <w:bCs/>
      <w:i/>
      <w:iCs/>
      <w:color w:val="4F81BD" w:themeColor="accent1"/>
      <w14:textFill>
        <w14:solidFill>
          <w14:schemeClr w14:val="accent1"/>
        </w14:solidFill>
      </w14:textFill>
    </w:rPr>
  </w:style>
  <w:style w:type="character" w:customStyle="1" w:styleId="158">
    <w:name w:val="Subtle Emphasis"/>
    <w:basedOn w:val="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32"/>
    <w:qFormat/>
    <w:uiPriority w:val="21"/>
    <w:rPr>
      <w:b/>
      <w:bCs/>
      <w:i/>
      <w:iCs/>
      <w:color w:val="4F81BD" w:themeColor="accent1"/>
      <w14:textFill>
        <w14:solidFill>
          <w14:schemeClr w14:val="accent1"/>
        </w14:solidFill>
      </w14:textFill>
    </w:rPr>
  </w:style>
  <w:style w:type="character" w:customStyle="1" w:styleId="160">
    <w:name w:val="Subtle Reference"/>
    <w:basedOn w:val="32"/>
    <w:qFormat/>
    <w:uiPriority w:val="31"/>
    <w:rPr>
      <w:smallCaps/>
      <w:color w:val="C0504D" w:themeColor="accent2"/>
      <w:u w:val="single"/>
      <w14:textFill>
        <w14:solidFill>
          <w14:schemeClr w14:val="accent2"/>
        </w14:solidFill>
      </w14:textFill>
    </w:rPr>
  </w:style>
  <w:style w:type="character" w:customStyle="1" w:styleId="161">
    <w:name w:val="Intense Reference"/>
    <w:basedOn w:val="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32"/>
    <w:qFormat/>
    <w:uiPriority w:val="33"/>
    <w:rPr>
      <w:b/>
      <w:bCs/>
      <w:smallCaps/>
      <w:spacing w:val="5"/>
    </w:rPr>
  </w:style>
  <w:style w:type="paragraph" w:customStyle="1" w:styleId="163">
    <w:name w:val="TOC Heading"/>
    <w:basedOn w:val="2"/>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Administrator</cp:lastModifiedBy>
  <dcterms:modified xsi:type="dcterms:W3CDTF">2026-08-03T07:47:17Z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