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imes New Roman"/>
          <w:sz w:val="44"/>
        </w:rPr>
      </w:pPr>
    </w:p>
    <w:p>
      <w:pPr>
        <w:pStyle w:val="2"/>
        <w:rPr>
          <w:rFonts w:ascii="Times New Roman"/>
          <w:sz w:val="44"/>
        </w:rPr>
      </w:pPr>
    </w:p>
    <w:p>
      <w:pPr>
        <w:pStyle w:val="2"/>
        <w:spacing w:before="8"/>
        <w:rPr>
          <w:rFonts w:ascii="Times New Roman"/>
          <w:sz w:val="44"/>
        </w:rPr>
      </w:pPr>
    </w:p>
    <w:p>
      <w:pPr>
        <w:pStyle w:val="5"/>
      </w:pPr>
      <w:r>
        <w:rPr>
          <w:spacing w:val="-7"/>
        </w:rPr>
        <w:t>乌鲁木齐市沙依巴克区园林队</w:t>
      </w:r>
    </w:p>
    <w:p>
      <w:pPr>
        <w:pStyle w:val="5"/>
        <w:spacing w:before="110"/>
      </w:pPr>
      <w:r>
        <w:rPr>
          <w:spacing w:val="-4"/>
        </w:rPr>
        <w:t>2022</w:t>
      </w:r>
      <w:r>
        <w:rPr>
          <w:spacing w:val="-5"/>
        </w:rPr>
        <w:t>年度部门决算公开说明</w:t>
      </w:r>
    </w:p>
    <w:p>
      <w:pPr>
        <w:pStyle w:val="5"/>
        <w:sectPr>
          <w:type w:val="continuous"/>
          <w:pgSz w:w="12240" w:h="15840"/>
          <w:pgMar w:top="1820" w:right="1440" w:bottom="280" w:left="1800" w:header="720" w:footer="720" w:gutter="0"/>
          <w:cols w:space="720" w:num="1"/>
        </w:sectPr>
      </w:pPr>
    </w:p>
    <w:p>
      <w:pPr>
        <w:spacing w:before="25"/>
        <w:ind w:left="3781"/>
        <w:rPr>
          <w:b/>
          <w:sz w:val="36"/>
        </w:rPr>
      </w:pPr>
      <w:r>
        <w:rPr>
          <w:b/>
          <w:spacing w:val="-5"/>
          <w:sz w:val="36"/>
        </w:rPr>
        <w:t>目  录</w:t>
      </w:r>
    </w:p>
    <w:p>
      <w:pPr>
        <w:spacing w:before="113" w:line="312" w:lineRule="auto"/>
        <w:ind w:right="6278"/>
        <w:rPr>
          <w:sz w:val="32"/>
        </w:rPr>
      </w:pPr>
      <w:r>
        <w:rPr>
          <w:b/>
          <w:spacing w:val="-6"/>
          <w:sz w:val="32"/>
        </w:rPr>
        <w:t>第一部分 单位概况</w:t>
      </w:r>
      <w:r>
        <w:rPr>
          <w:spacing w:val="-2"/>
          <w:sz w:val="32"/>
        </w:rPr>
        <w:t>一、主要职能</w:t>
      </w:r>
    </w:p>
    <w:p>
      <w:pPr>
        <w:pStyle w:val="2"/>
        <w:spacing w:line="414" w:lineRule="exact"/>
      </w:pPr>
      <w:r>
        <w:rPr>
          <w:spacing w:val="-5"/>
        </w:rPr>
        <w:t>二、机构设置及人员情况</w:t>
      </w:r>
    </w:p>
    <w:p>
      <w:pPr>
        <w:spacing w:before="124" w:line="312" w:lineRule="auto"/>
        <w:ind w:right="4522"/>
        <w:rPr>
          <w:sz w:val="32"/>
        </w:rPr>
      </w:pPr>
      <w:r>
        <w:rPr>
          <w:b/>
          <w:sz w:val="32"/>
        </w:rPr>
        <w:t>第二部分 部门决算情况说明</w:t>
      </w:r>
      <w:r>
        <w:rPr>
          <w:b/>
          <w:spacing w:val="80"/>
          <w:sz w:val="32"/>
        </w:rPr>
        <w:t xml:space="preserve"> </w:t>
      </w:r>
      <w:r>
        <w:rPr>
          <w:spacing w:val="-2"/>
          <w:sz w:val="32"/>
        </w:rPr>
        <w:t>一、收入支出决算总体情况说明二、收入决算情况说明</w:t>
      </w:r>
    </w:p>
    <w:p>
      <w:pPr>
        <w:pStyle w:val="2"/>
        <w:spacing w:line="414" w:lineRule="exact"/>
      </w:pPr>
      <w:r>
        <w:rPr>
          <w:spacing w:val="-5"/>
        </w:rPr>
        <w:t>三、支出决算情况说明</w:t>
      </w:r>
    </w:p>
    <w:p>
      <w:pPr>
        <w:pStyle w:val="2"/>
        <w:spacing w:before="124"/>
      </w:pPr>
      <w:r>
        <w:rPr>
          <w:spacing w:val="-5"/>
        </w:rPr>
        <w:t>四、财政拨款收入支出决算总体情况说明</w:t>
      </w:r>
    </w:p>
    <w:p>
      <w:pPr>
        <w:pStyle w:val="2"/>
        <w:spacing w:before="124"/>
      </w:pPr>
      <w:r>
        <w:rPr>
          <w:spacing w:val="-5"/>
        </w:rPr>
        <w:t>五、一般公共预算财政拨款支出决算情况说明</w:t>
      </w:r>
    </w:p>
    <w:p>
      <w:pPr>
        <w:pStyle w:val="2"/>
        <w:spacing w:before="124" w:line="312" w:lineRule="auto"/>
        <w:ind w:right="1961"/>
      </w:pPr>
      <w:r>
        <w:rPr>
          <w:spacing w:val="-2"/>
        </w:rPr>
        <w:t>六、一般公共预算财政拨款基本支出决算情况说明七、财政拨款</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经费支出决算情况说明</w:t>
      </w:r>
    </w:p>
    <w:p>
      <w:pPr>
        <w:pStyle w:val="2"/>
        <w:spacing w:line="312" w:lineRule="auto"/>
        <w:ind w:right="1323"/>
      </w:pPr>
      <w:r>
        <w:rPr>
          <w:spacing w:val="-2"/>
        </w:rPr>
        <w:t>八、政府性基金预算财政拨款收入支出决算情况说明 九、国有资本经营预算财政拨款收入支出决算情况说明十、其他重要事项的情况说明</w:t>
      </w:r>
    </w:p>
    <w:p>
      <w:pPr>
        <w:pStyle w:val="2"/>
        <w:spacing w:line="414" w:lineRule="exact"/>
      </w:pPr>
      <w:r>
        <w:rPr>
          <w:spacing w:val="-4"/>
        </w:rPr>
        <w:t>（一）</w:t>
      </w:r>
      <w:r>
        <w:rPr>
          <w:spacing w:val="-5"/>
        </w:rPr>
        <w:t>机关运行经费支出情况</w:t>
      </w:r>
    </w:p>
    <w:p>
      <w:pPr>
        <w:pStyle w:val="2"/>
        <w:spacing w:before="123"/>
      </w:pPr>
      <w:r>
        <w:rPr>
          <w:spacing w:val="-4"/>
        </w:rPr>
        <w:t>（二）</w:t>
      </w:r>
      <w:r>
        <w:rPr>
          <w:spacing w:val="-5"/>
        </w:rPr>
        <w:t>政府采购情况</w:t>
      </w:r>
    </w:p>
    <w:p>
      <w:pPr>
        <w:spacing w:before="124" w:line="312" w:lineRule="auto"/>
        <w:ind w:right="4841"/>
        <w:rPr>
          <w:b/>
          <w:sz w:val="32"/>
        </w:rPr>
      </w:pPr>
      <w:r>
        <w:rPr>
          <w:spacing w:val="-2"/>
          <w:sz w:val="32"/>
        </w:rPr>
        <w:t xml:space="preserve">（三）国有资产占用情况说明十一、预算绩效的情况说明 </w:t>
      </w:r>
      <w:r>
        <w:rPr>
          <w:b/>
          <w:sz w:val="32"/>
        </w:rPr>
        <w:t>第三部分 专业名词解释</w:t>
      </w:r>
    </w:p>
    <w:p>
      <w:pPr>
        <w:spacing w:line="312" w:lineRule="auto"/>
        <w:ind w:right="4039"/>
        <w:rPr>
          <w:sz w:val="32"/>
        </w:rPr>
      </w:pPr>
      <w:r>
        <w:rPr>
          <w:b/>
          <w:spacing w:val="-6"/>
          <w:sz w:val="32"/>
        </w:rPr>
        <w:t>第四部分 部门决算报表</w:t>
      </w:r>
      <w:r>
        <w:rPr>
          <w:b/>
          <w:sz w:val="32"/>
        </w:rPr>
        <w:t>（见附表）</w:t>
      </w:r>
      <w:r>
        <w:rPr>
          <w:spacing w:val="-18"/>
          <w:sz w:val="32"/>
        </w:rPr>
        <w:t>一、《收入支出决算总表》</w:t>
      </w:r>
    </w:p>
    <w:p>
      <w:pPr>
        <w:pStyle w:val="2"/>
        <w:spacing w:line="312" w:lineRule="auto"/>
        <w:ind w:right="6278"/>
      </w:pPr>
      <w:r>
        <w:rPr>
          <w:spacing w:val="-21"/>
        </w:rPr>
        <w:t>二、《收入决算表》</w:t>
      </w:r>
      <w:r>
        <w:rPr>
          <w:spacing w:val="-24"/>
        </w:rPr>
        <w:t>三、《支出决算表》</w:t>
      </w:r>
    </w:p>
    <w:p>
      <w:pPr>
        <w:pStyle w:val="2"/>
        <w:spacing w:line="312" w:lineRule="auto"/>
        <w:sectPr>
          <w:pgSz w:w="12240" w:h="15840"/>
          <w:pgMar w:top="1480" w:right="1440" w:bottom="280" w:left="1800" w:header="720" w:footer="720" w:gutter="0"/>
          <w:cols w:space="720" w:num="1"/>
        </w:sectPr>
      </w:pPr>
    </w:p>
    <w:p>
      <w:pPr>
        <w:pStyle w:val="2"/>
        <w:spacing w:before="26"/>
      </w:pPr>
      <w:r>
        <w:rPr>
          <w:spacing w:val="-18"/>
        </w:rPr>
        <w:t>四、《财政拨款收入支出决算总表》</w:t>
      </w:r>
    </w:p>
    <w:p>
      <w:pPr>
        <w:pStyle w:val="2"/>
        <w:spacing w:before="124"/>
      </w:pPr>
      <w:r>
        <w:rPr>
          <w:spacing w:val="-18"/>
        </w:rPr>
        <w:t>五、《一般公共预算财政拨款支出决算表》</w:t>
      </w:r>
    </w:p>
    <w:p>
      <w:pPr>
        <w:pStyle w:val="2"/>
        <w:spacing w:before="124" w:line="312" w:lineRule="auto"/>
        <w:ind w:right="2441"/>
      </w:pPr>
      <w:r>
        <w:rPr>
          <w:spacing w:val="-16"/>
        </w:rPr>
        <w:t>六、《一般公共预算财政拨款基本支出决算表》</w:t>
      </w:r>
      <w:r>
        <w:rPr>
          <w:spacing w:val="-26"/>
        </w:rPr>
        <w:t>七、《财政拨款</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经费支出决算表》</w:t>
      </w:r>
    </w:p>
    <w:p>
      <w:pPr>
        <w:pStyle w:val="2"/>
        <w:spacing w:line="312" w:lineRule="auto"/>
        <w:ind w:right="1801"/>
      </w:pPr>
      <w:r>
        <w:rPr>
          <w:spacing w:val="-16"/>
        </w:rPr>
        <w:t>八、《政府性基金预算财政拨款收入支出决算表》</w:t>
      </w:r>
      <w:r>
        <w:rPr>
          <w:spacing w:val="-2"/>
        </w:rPr>
        <w:t xml:space="preserve"> </w:t>
      </w:r>
      <w:r>
        <w:rPr>
          <w:spacing w:val="-16"/>
        </w:rPr>
        <w:t>九、《国有资本经营预算财政拨款收入支出决算表》</w:t>
      </w:r>
    </w:p>
    <w:p>
      <w:pPr>
        <w:pStyle w:val="2"/>
        <w:spacing w:line="312" w:lineRule="auto"/>
        <w:sectPr>
          <w:pgSz w:w="12240" w:h="15840"/>
          <w:pgMar w:top="1520" w:right="1440" w:bottom="280" w:left="1800" w:header="720" w:footer="720" w:gutter="0"/>
          <w:cols w:space="720" w:num="1"/>
        </w:sectPr>
      </w:pPr>
    </w:p>
    <w:p>
      <w:pPr>
        <w:pStyle w:val="2"/>
        <w:spacing w:before="18"/>
        <w:ind w:left="4" w:right="362"/>
        <w:jc w:val="center"/>
        <w:rPr>
          <w:rFonts w:ascii="黑体" w:eastAsia="黑体"/>
        </w:rPr>
      </w:pPr>
      <w:r>
        <w:rPr>
          <w:rFonts w:ascii="黑体" w:eastAsia="黑体"/>
          <w:spacing w:val="-5"/>
        </w:rPr>
        <w:t>第一部分 单位概况</w:t>
      </w:r>
    </w:p>
    <w:p>
      <w:pPr>
        <w:pStyle w:val="2"/>
        <w:spacing w:before="208"/>
        <w:ind w:left="641"/>
        <w:rPr>
          <w:rFonts w:ascii="黑体" w:eastAsia="黑体"/>
        </w:rPr>
      </w:pPr>
      <w:r>
        <w:rPr>
          <w:rFonts w:ascii="黑体" w:eastAsia="黑体"/>
          <w:spacing w:val="-5"/>
        </w:rPr>
        <w:t>一、主要职能</w:t>
      </w:r>
    </w:p>
    <w:p>
      <w:pPr>
        <w:pStyle w:val="9"/>
        <w:numPr>
          <w:ilvl w:val="0"/>
          <w:numId w:val="1"/>
        </w:numPr>
        <w:tabs>
          <w:tab w:val="left" w:pos="1398"/>
        </w:tabs>
        <w:spacing w:before="208" w:line="360" w:lineRule="auto"/>
        <w:ind w:right="358" w:firstLine="640"/>
        <w:jc w:val="both"/>
        <w:rPr>
          <w:sz w:val="32"/>
        </w:rPr>
      </w:pPr>
      <w:r>
        <w:rPr>
          <w:spacing w:val="-6"/>
          <w:sz w:val="32"/>
        </w:rPr>
        <w:t>主要部门职能负责辖区公共绿化（行道树、花坛、庭</w:t>
      </w:r>
      <w:r>
        <w:rPr>
          <w:spacing w:val="-2"/>
          <w:sz w:val="32"/>
        </w:rPr>
        <w:t>院</w:t>
      </w:r>
      <w:r>
        <w:rPr>
          <w:spacing w:val="-80"/>
          <w:sz w:val="32"/>
        </w:rPr>
        <w:t>）</w:t>
      </w:r>
      <w:r>
        <w:rPr>
          <w:spacing w:val="-11"/>
          <w:sz w:val="32"/>
        </w:rPr>
        <w:t>荒山绿化工作，公共绿地和游园的管理维护工作,管护好园</w:t>
      </w:r>
      <w:r>
        <w:rPr>
          <w:spacing w:val="-2"/>
          <w:sz w:val="32"/>
        </w:rPr>
        <w:t>林绿地植被，美化城市环境。</w:t>
      </w:r>
    </w:p>
    <w:p>
      <w:pPr>
        <w:pStyle w:val="9"/>
        <w:numPr>
          <w:ilvl w:val="0"/>
          <w:numId w:val="1"/>
        </w:numPr>
        <w:tabs>
          <w:tab w:val="left" w:pos="1386"/>
        </w:tabs>
        <w:spacing w:line="360" w:lineRule="auto"/>
        <w:ind w:right="360" w:firstLine="640"/>
        <w:rPr>
          <w:sz w:val="32"/>
        </w:rPr>
      </w:pPr>
      <w:r>
        <w:rPr>
          <w:spacing w:val="-13"/>
          <w:sz w:val="32"/>
        </w:rPr>
        <w:t>组织、协调、指导和监督辖区植被社会化管护和植物</w:t>
      </w:r>
      <w:r>
        <w:rPr>
          <w:spacing w:val="-2"/>
          <w:sz w:val="32"/>
        </w:rPr>
        <w:t>病虫害防治工作。</w:t>
      </w:r>
    </w:p>
    <w:p>
      <w:pPr>
        <w:pStyle w:val="9"/>
        <w:numPr>
          <w:ilvl w:val="0"/>
          <w:numId w:val="1"/>
        </w:numPr>
        <w:tabs>
          <w:tab w:val="left" w:pos="1386"/>
        </w:tabs>
        <w:spacing w:before="1" w:line="360" w:lineRule="auto"/>
        <w:ind w:right="360" w:firstLine="640"/>
        <w:rPr>
          <w:sz w:val="32"/>
        </w:rPr>
      </w:pPr>
      <w:r>
        <w:rPr>
          <w:spacing w:val="-12"/>
          <w:sz w:val="32"/>
        </w:rPr>
        <w:t>负责林业科技、教育和外事的管理工作，指导辖区园</w:t>
      </w:r>
      <w:r>
        <w:rPr>
          <w:spacing w:val="-2"/>
          <w:sz w:val="32"/>
        </w:rPr>
        <w:t>林队伍建设。</w:t>
      </w:r>
    </w:p>
    <w:p>
      <w:pPr>
        <w:pStyle w:val="9"/>
        <w:numPr>
          <w:ilvl w:val="0"/>
          <w:numId w:val="1"/>
        </w:numPr>
        <w:tabs>
          <w:tab w:val="left" w:pos="1440"/>
        </w:tabs>
        <w:ind w:left="1440" w:hanging="799"/>
        <w:rPr>
          <w:sz w:val="32"/>
        </w:rPr>
      </w:pPr>
      <w:r>
        <w:rPr>
          <w:spacing w:val="-5"/>
          <w:sz w:val="32"/>
        </w:rPr>
        <w:t>承办市委、市政府和上级机关交办的其他事项。</w:t>
      </w:r>
    </w:p>
    <w:p>
      <w:pPr>
        <w:pStyle w:val="2"/>
        <w:spacing w:before="208"/>
        <w:ind w:left="641"/>
        <w:rPr>
          <w:rFonts w:ascii="黑体" w:eastAsia="黑体"/>
        </w:rPr>
      </w:pPr>
      <w:r>
        <w:rPr>
          <w:rFonts w:ascii="黑体" w:eastAsia="黑体"/>
          <w:spacing w:val="-5"/>
        </w:rPr>
        <w:t>二、机构设置及人员情况</w:t>
      </w:r>
    </w:p>
    <w:p>
      <w:pPr>
        <w:pStyle w:val="2"/>
        <w:spacing w:before="208" w:line="360" w:lineRule="auto"/>
        <w:ind w:right="195" w:firstLine="640"/>
      </w:pPr>
      <w:r>
        <w:rPr>
          <w:spacing w:val="-2"/>
        </w:rPr>
        <w:t>乌鲁木齐市沙依巴克区园林队2022年度，实有人数222人，其中：在职人员103人，离休人员0人，退休人员119人。</w:t>
      </w:r>
    </w:p>
    <w:p>
      <w:pPr>
        <w:pStyle w:val="2"/>
        <w:spacing w:line="360" w:lineRule="auto"/>
        <w:ind w:right="201" w:firstLine="640"/>
      </w:pPr>
      <w:r>
        <w:rPr>
          <w:spacing w:val="-2"/>
        </w:rPr>
        <w:t>从部门决算单位构成看，乌鲁木齐市沙依巴克区园林队部门决算包括：乌鲁木齐市沙依巴克区园林队决算。单位无下属预算单位，下设5个科室，分别是：综合科、财务科、人事科、业务科、驾驶科。</w:t>
      </w:r>
    </w:p>
    <w:p>
      <w:pPr>
        <w:pStyle w:val="2"/>
        <w:spacing w:before="102" w:line="376" w:lineRule="auto"/>
        <w:ind w:left="641" w:right="2680" w:firstLine="1678"/>
        <w:rPr>
          <w:rFonts w:ascii="黑体" w:eastAsia="黑体"/>
        </w:rPr>
      </w:pPr>
      <w:r>
        <w:rPr>
          <w:rFonts w:ascii="黑体" w:eastAsia="黑体"/>
          <w:spacing w:val="-6"/>
        </w:rPr>
        <w:t>第二部分 部门决算情况说明</w:t>
      </w:r>
      <w:r>
        <w:rPr>
          <w:rFonts w:ascii="黑体" w:eastAsia="黑体"/>
          <w:spacing w:val="-2"/>
        </w:rPr>
        <w:t>一、收入支出决算总体情况说明</w:t>
      </w:r>
    </w:p>
    <w:p>
      <w:pPr>
        <w:pStyle w:val="2"/>
        <w:spacing w:line="389" w:lineRule="exact"/>
        <w:ind w:left="641"/>
      </w:pPr>
      <w:r>
        <w:t>2022</w:t>
      </w:r>
      <w:r>
        <w:rPr>
          <w:spacing w:val="13"/>
        </w:rPr>
        <w:t>年度收入总计</w:t>
      </w:r>
      <w:r>
        <w:t>1,921.20</w:t>
      </w:r>
      <w:r>
        <w:rPr>
          <w:spacing w:val="11"/>
        </w:rPr>
        <w:t>万元，其中：本年收入合计</w:t>
      </w:r>
    </w:p>
    <w:p>
      <w:pPr>
        <w:pStyle w:val="2"/>
        <w:spacing w:line="389" w:lineRule="exact"/>
        <w:sectPr>
          <w:pgSz w:w="12240" w:h="15840"/>
          <w:pgMar w:top="1420" w:right="1440" w:bottom="280" w:left="1800" w:header="720" w:footer="720" w:gutter="0"/>
          <w:cols w:space="720" w:num="1"/>
        </w:sectPr>
      </w:pPr>
    </w:p>
    <w:p>
      <w:pPr>
        <w:pStyle w:val="2"/>
        <w:spacing w:before="18" w:line="360" w:lineRule="auto"/>
        <w:ind w:right="361"/>
        <w:jc w:val="both"/>
      </w:pPr>
      <w:r>
        <w:rPr>
          <w:spacing w:val="-2"/>
        </w:rPr>
        <w:t>1,812.35万元，使用非财政拨款结余0.00万元，年初结转和结余108.85万元。收入总计与上年相比，增加322.08万元，增长 20.14%，主要原因是：本年工资及社保基数调增，新增雅山防火中心、温室燃气费及电费项目经费，故收入增加。</w:t>
      </w:r>
    </w:p>
    <w:p>
      <w:pPr>
        <w:pStyle w:val="2"/>
        <w:spacing w:line="360" w:lineRule="auto"/>
        <w:ind w:right="200" w:firstLine="640"/>
      </w:pPr>
      <w:r>
        <w:rPr>
          <w:spacing w:val="-2"/>
        </w:rPr>
        <w:t>本年支出总计1,921.20</w:t>
      </w:r>
      <w:r>
        <w:rPr>
          <w:spacing w:val="-31"/>
        </w:rPr>
        <w:t>万元，其中：本年支出合计</w:t>
      </w:r>
      <w:r>
        <w:rPr>
          <w:spacing w:val="-2"/>
        </w:rPr>
        <w:t>1,812.35万元，结余分配0.00万元，年末结转和结余108.85万元。支出</w:t>
      </w:r>
      <w:r>
        <w:rPr>
          <w:spacing w:val="-9"/>
        </w:rPr>
        <w:t>总计与上年相比，增加</w:t>
      </w:r>
      <w:r>
        <w:rPr>
          <w:spacing w:val="-2"/>
        </w:rPr>
        <w:t>322.08</w:t>
      </w:r>
      <w:r>
        <w:rPr>
          <w:spacing w:val="-13"/>
        </w:rPr>
        <w:t>万元，增长</w:t>
      </w:r>
      <w:r>
        <w:rPr>
          <w:spacing w:val="-2"/>
        </w:rPr>
        <w:t>20.14%，主要原因是：本年工资及社保基数调增，新增雅山防火中心、温室燃气费及电费项目经费，故支出增加。</w:t>
      </w:r>
    </w:p>
    <w:p>
      <w:pPr>
        <w:pStyle w:val="2"/>
        <w:spacing w:before="1"/>
        <w:ind w:left="641"/>
        <w:rPr>
          <w:rFonts w:ascii="黑体" w:eastAsia="黑体"/>
        </w:rPr>
      </w:pPr>
      <w:r>
        <w:rPr>
          <w:rFonts w:ascii="黑体" w:eastAsia="黑体"/>
          <w:spacing w:val="-5"/>
        </w:rPr>
        <w:t>二、收入决算情况说明</w:t>
      </w:r>
    </w:p>
    <w:p>
      <w:pPr>
        <w:pStyle w:val="2"/>
        <w:spacing w:before="208"/>
        <w:ind w:left="641"/>
      </w:pPr>
      <w:r>
        <w:t>2022</w:t>
      </w:r>
      <w:r>
        <w:rPr>
          <w:spacing w:val="14"/>
        </w:rPr>
        <w:t>年度本年收入</w:t>
      </w:r>
      <w:r>
        <w:t>1,812.35</w:t>
      </w:r>
      <w:r>
        <w:rPr>
          <w:spacing w:val="12"/>
        </w:rPr>
        <w:t>万元，其中：财政拨款收入</w:t>
      </w:r>
    </w:p>
    <w:p>
      <w:pPr>
        <w:pStyle w:val="2"/>
        <w:spacing w:before="208" w:line="360" w:lineRule="auto"/>
        <w:ind w:right="197"/>
      </w:pPr>
      <w:r>
        <w:rPr>
          <w:spacing w:val="-2"/>
        </w:rPr>
        <w:t>1,793.01万元，占98.93%；上级补助收入0.00万元，占0.00%；事业收入0.00万元，占0.00%；经营收入0.00万元，占0.00%；附属单位上缴收入0.00万元，占0.00%；其他收入19.34万元，占1.07%。</w:t>
      </w:r>
    </w:p>
    <w:p>
      <w:pPr>
        <w:pStyle w:val="2"/>
        <w:ind w:left="641"/>
        <w:rPr>
          <w:rFonts w:ascii="黑体" w:eastAsia="黑体"/>
        </w:rPr>
      </w:pPr>
      <w:r>
        <w:rPr>
          <w:rFonts w:ascii="黑体" w:eastAsia="黑体"/>
          <w:spacing w:val="-5"/>
        </w:rPr>
        <w:t>三、支出决算情况说明</w:t>
      </w:r>
    </w:p>
    <w:p>
      <w:pPr>
        <w:pStyle w:val="2"/>
        <w:spacing w:before="209" w:line="360" w:lineRule="auto"/>
        <w:ind w:right="356" w:firstLine="640"/>
        <w:jc w:val="both"/>
      </w:pPr>
      <w:r>
        <w:rPr>
          <w:spacing w:val="-2"/>
        </w:rPr>
        <w:t>2022年度本年支出1,812.35</w:t>
      </w:r>
      <w:r>
        <w:rPr>
          <w:spacing w:val="-36"/>
        </w:rPr>
        <w:t>万元，其中：基本支出</w:t>
      </w:r>
      <w:r>
        <w:rPr>
          <w:spacing w:val="-2"/>
        </w:rPr>
        <w:t>1,793.40万元，占98.95%；项目支出18.95万元，占1.05%；上缴上级支出0.00万元，占0.00%；经营支出0.00万元，占0.00%；对附属单位补助支出0.00万元，占0.00%。</w:t>
      </w:r>
    </w:p>
    <w:p>
      <w:pPr>
        <w:pStyle w:val="2"/>
        <w:ind w:left="641"/>
        <w:rPr>
          <w:rFonts w:ascii="黑体" w:eastAsia="黑体"/>
        </w:rPr>
      </w:pPr>
      <w:r>
        <w:rPr>
          <w:rFonts w:ascii="黑体" w:eastAsia="黑体"/>
          <w:spacing w:val="-5"/>
        </w:rPr>
        <w:t>四、财政拨款收入支出决算总体情况说明</w:t>
      </w:r>
    </w:p>
    <w:p>
      <w:pPr>
        <w:pStyle w:val="2"/>
        <w:rPr>
          <w:rFonts w:ascii="黑体" w:eastAsia="黑体"/>
        </w:rPr>
        <w:sectPr>
          <w:pgSz w:w="12240" w:h="15840"/>
          <w:pgMar w:top="1420" w:right="1440" w:bottom="280" w:left="1800" w:header="720" w:footer="720" w:gutter="0"/>
          <w:cols w:space="720" w:num="1"/>
        </w:sectPr>
      </w:pPr>
    </w:p>
    <w:p>
      <w:pPr>
        <w:pStyle w:val="2"/>
        <w:spacing w:before="18" w:line="360" w:lineRule="auto"/>
        <w:ind w:right="197" w:firstLine="640"/>
        <w:jc w:val="both"/>
      </w:pPr>
      <w:r>
        <w:rPr>
          <w:spacing w:val="-2"/>
        </w:rPr>
        <w:t>2022年度财政拨款收入总计1,901.53万元，其中：年初财政拨款结转和结余108.52万元，财政拨款本年收入1,793.01万</w:t>
      </w:r>
      <w:r>
        <w:rPr>
          <w:spacing w:val="13"/>
        </w:rPr>
        <w:t>元。财政拨款收入总计与上年相比，增加</w:t>
      </w:r>
      <w:r>
        <w:t>303.72</w:t>
      </w:r>
      <w:r>
        <w:rPr>
          <w:spacing w:val="13"/>
        </w:rPr>
        <w:t xml:space="preserve">万元，增长 </w:t>
      </w:r>
      <w:r>
        <w:rPr>
          <w:spacing w:val="-4"/>
        </w:rPr>
        <w:t>19.01</w:t>
      </w:r>
      <w:r>
        <w:rPr>
          <w:spacing w:val="-14"/>
        </w:rPr>
        <w:t>%，主要原因是：本年工资及社保基数调增，故收入增加。</w:t>
      </w:r>
    </w:p>
    <w:p>
      <w:pPr>
        <w:pStyle w:val="2"/>
        <w:spacing w:line="360" w:lineRule="auto"/>
        <w:ind w:right="357" w:firstLine="640"/>
        <w:jc w:val="both"/>
      </w:pPr>
      <w:r>
        <w:rPr>
          <w:spacing w:val="-2"/>
        </w:rPr>
        <w:t>财政拨款支出总计1,901.53万元，其中：年末财政拨款结转和结余108.52万元，财政拨款本年支出1,793.01万元。财政拨款支出总计与上年相比，增加303.72万元，增长19.01%，主要原因是：本年工资及社保基数调增，故支出增加。</w:t>
      </w:r>
    </w:p>
    <w:p>
      <w:pPr>
        <w:pStyle w:val="2"/>
        <w:spacing w:before="1" w:line="360" w:lineRule="auto"/>
        <w:ind w:right="357" w:firstLine="640"/>
        <w:jc w:val="both"/>
      </w:pPr>
      <w:r>
        <w:rPr>
          <w:spacing w:val="11"/>
        </w:rPr>
        <w:t>与年初预算数相比情况：财政拨款收入总计年初预算数</w:t>
      </w:r>
      <w:r>
        <w:t xml:space="preserve"> </w:t>
      </w:r>
      <w:r>
        <w:rPr>
          <w:spacing w:val="-2"/>
        </w:rPr>
        <w:t>1,665.58万元，决算数1,901.53万元，预决算差异率14.17%，主要原因是：本年工资及社保基数调增，追加人员经费，故导致预决算差异。财政拨款支出总计年初预算数1,665.58万元，决算数1,901.53万元，预决算差异率14.17%，主要原因是：本</w:t>
      </w:r>
      <w:r>
        <w:rPr>
          <w:spacing w:val="-5"/>
        </w:rPr>
        <w:t>年工资及社保基数调增，追加人员经费，故导致预决算差异。</w:t>
      </w:r>
    </w:p>
    <w:p>
      <w:pPr>
        <w:pStyle w:val="2"/>
        <w:ind w:left="641"/>
        <w:rPr>
          <w:rFonts w:ascii="黑体" w:eastAsia="黑体"/>
        </w:rPr>
      </w:pPr>
      <w:r>
        <w:rPr>
          <w:rFonts w:ascii="黑体" w:eastAsia="黑体"/>
          <w:spacing w:val="-5"/>
        </w:rPr>
        <w:t>五、一般公共预算财政拨款支出决算情况说明</w:t>
      </w:r>
    </w:p>
    <w:p>
      <w:pPr>
        <w:pStyle w:val="2"/>
        <w:spacing w:before="206"/>
        <w:ind w:left="641"/>
        <w:rPr>
          <w:rFonts w:ascii="黑体" w:eastAsia="黑体"/>
        </w:rPr>
      </w:pPr>
      <w:r>
        <w:rPr>
          <w:rFonts w:ascii="黑体" w:eastAsia="黑体"/>
          <w:spacing w:val="-4"/>
        </w:rPr>
        <w:t>（一）</w:t>
      </w:r>
      <w:r>
        <w:rPr>
          <w:rFonts w:ascii="黑体" w:eastAsia="黑体"/>
          <w:spacing w:val="-5"/>
        </w:rPr>
        <w:t>一般公共预算财政拨款支出决算总体情况</w:t>
      </w:r>
    </w:p>
    <w:p>
      <w:pPr>
        <w:pStyle w:val="2"/>
        <w:spacing w:before="4" w:line="600" w:lineRule="exact"/>
        <w:ind w:right="197" w:firstLine="640"/>
        <w:jc w:val="both"/>
      </w:pPr>
      <w:r>
        <w:rPr>
          <w:spacing w:val="-2"/>
        </w:rPr>
        <w:t>2022年度一般公共预算财政拨款支出1,793.01万元，占本</w:t>
      </w:r>
      <w:r>
        <w:rPr>
          <w:spacing w:val="14"/>
        </w:rPr>
        <w:t>年支出合计的</w:t>
      </w:r>
      <w:r>
        <w:t>98.93</w:t>
      </w:r>
      <w:r>
        <w:rPr>
          <w:spacing w:val="8"/>
        </w:rPr>
        <w:t>%，与上年相比，增加</w:t>
      </w:r>
      <w:r>
        <w:t>303.02</w:t>
      </w:r>
      <w:r>
        <w:rPr>
          <w:spacing w:val="11"/>
        </w:rPr>
        <w:t>万元，增长</w:t>
      </w:r>
      <w:r>
        <w:t xml:space="preserve"> </w:t>
      </w:r>
      <w:r>
        <w:rPr>
          <w:spacing w:val="-4"/>
        </w:rPr>
        <w:t>20.34</w:t>
      </w:r>
      <w:r>
        <w:rPr>
          <w:spacing w:val="-14"/>
        </w:rPr>
        <w:t>%，主要原因是：本年工资及社保基数调增，故支出增加。</w:t>
      </w:r>
    </w:p>
    <w:p>
      <w:pPr>
        <w:pStyle w:val="2"/>
        <w:spacing w:line="412" w:lineRule="exact"/>
        <w:ind w:left="641"/>
        <w:rPr>
          <w:rFonts w:ascii="黑体" w:eastAsia="黑体"/>
        </w:rPr>
      </w:pPr>
      <w:r>
        <w:rPr>
          <w:rFonts w:ascii="黑体" w:eastAsia="黑体"/>
          <w:spacing w:val="-4"/>
        </w:rPr>
        <w:t>（二）</w:t>
      </w:r>
      <w:r>
        <w:rPr>
          <w:rFonts w:ascii="黑体" w:eastAsia="黑体"/>
          <w:spacing w:val="-5"/>
        </w:rPr>
        <w:t>一般公共预算财政拨款支出决算结构情况</w:t>
      </w:r>
    </w:p>
    <w:p>
      <w:pPr>
        <w:pStyle w:val="9"/>
        <w:numPr>
          <w:ilvl w:val="0"/>
          <w:numId w:val="2"/>
        </w:numPr>
        <w:tabs>
          <w:tab w:val="left" w:pos="962"/>
        </w:tabs>
        <w:spacing w:before="160"/>
        <w:ind w:hanging="321"/>
        <w:rPr>
          <w:sz w:val="32"/>
        </w:rPr>
      </w:pPr>
      <w:r>
        <w:rPr>
          <w:spacing w:val="-4"/>
          <w:sz w:val="32"/>
        </w:rPr>
        <w:t>社会保障和就业支出（类）145.80万元，占8.13%；</w:t>
      </w:r>
    </w:p>
    <w:p>
      <w:pPr>
        <w:pStyle w:val="9"/>
        <w:rPr>
          <w:sz w:val="32"/>
        </w:rPr>
        <w:sectPr>
          <w:pgSz w:w="12240" w:h="15840"/>
          <w:pgMar w:top="1420" w:right="1440" w:bottom="280" w:left="1800" w:header="720" w:footer="720" w:gutter="0"/>
          <w:cols w:space="720" w:num="1"/>
        </w:sectPr>
      </w:pPr>
    </w:p>
    <w:p>
      <w:pPr>
        <w:pStyle w:val="9"/>
        <w:numPr>
          <w:ilvl w:val="0"/>
          <w:numId w:val="2"/>
        </w:numPr>
        <w:tabs>
          <w:tab w:val="left" w:pos="962"/>
        </w:tabs>
        <w:spacing w:before="34"/>
        <w:ind w:hanging="321"/>
        <w:rPr>
          <w:sz w:val="32"/>
        </w:rPr>
      </w:pPr>
      <w:r>
        <w:rPr>
          <w:spacing w:val="-4"/>
          <w:sz w:val="32"/>
        </w:rPr>
        <w:t>农林水支出（类）1,647.21万元，占91.87%</w:t>
      </w:r>
      <w:r>
        <w:rPr>
          <w:spacing w:val="-10"/>
          <w:sz w:val="32"/>
        </w:rPr>
        <w:t>。</w:t>
      </w:r>
    </w:p>
    <w:p>
      <w:pPr>
        <w:pStyle w:val="2"/>
        <w:spacing w:before="28"/>
        <w:ind w:left="641"/>
        <w:rPr>
          <w:rFonts w:ascii="黑体" w:eastAsia="黑体"/>
        </w:rPr>
      </w:pPr>
      <w:r>
        <w:rPr>
          <w:rFonts w:ascii="黑体" w:eastAsia="黑体"/>
          <w:spacing w:val="-4"/>
        </w:rPr>
        <w:t>（三）</w:t>
      </w:r>
      <w:r>
        <w:rPr>
          <w:rFonts w:ascii="黑体" w:eastAsia="黑体"/>
          <w:spacing w:val="-5"/>
        </w:rPr>
        <w:t>一般公共预算财政拨款支出决算具体情况</w:t>
      </w:r>
    </w:p>
    <w:p>
      <w:pPr>
        <w:pStyle w:val="9"/>
        <w:numPr>
          <w:ilvl w:val="0"/>
          <w:numId w:val="3"/>
        </w:numPr>
        <w:tabs>
          <w:tab w:val="left" w:pos="961"/>
        </w:tabs>
        <w:spacing w:before="208" w:line="360" w:lineRule="auto"/>
        <w:ind w:right="202" w:firstLine="640"/>
        <w:rPr>
          <w:sz w:val="32"/>
        </w:rPr>
      </w:pPr>
      <w:r>
        <w:rPr>
          <w:spacing w:val="-8"/>
          <w:sz w:val="32"/>
        </w:rPr>
        <w:t>社会保障和就业支出</w:t>
      </w:r>
      <w:r>
        <w:rPr>
          <w:spacing w:val="-2"/>
          <w:sz w:val="32"/>
        </w:rPr>
        <w:t>（类</w:t>
      </w:r>
      <w:r>
        <w:rPr>
          <w:spacing w:val="-53"/>
          <w:sz w:val="32"/>
        </w:rPr>
        <w:t>）</w:t>
      </w:r>
      <w:r>
        <w:rPr>
          <w:spacing w:val="-8"/>
          <w:sz w:val="32"/>
        </w:rPr>
        <w:t>行政事业单位养老支出</w:t>
      </w:r>
      <w:r>
        <w:rPr>
          <w:spacing w:val="-2"/>
          <w:sz w:val="32"/>
        </w:rPr>
        <w:t>（款）</w:t>
      </w:r>
      <w:r>
        <w:rPr>
          <w:spacing w:val="18"/>
          <w:sz w:val="32"/>
        </w:rPr>
        <w:t>机关事业单位基本养老保险缴费支出（</w:t>
      </w:r>
      <w:r>
        <w:rPr>
          <w:spacing w:val="19"/>
          <w:sz w:val="32"/>
        </w:rPr>
        <w:t>项）:</w:t>
      </w:r>
      <w:r>
        <w:rPr>
          <w:spacing w:val="15"/>
          <w:sz w:val="32"/>
        </w:rPr>
        <w:t>支出决算数为</w:t>
      </w:r>
      <w:r>
        <w:rPr>
          <w:sz w:val="32"/>
        </w:rPr>
        <w:t xml:space="preserve"> </w:t>
      </w:r>
      <w:r>
        <w:rPr>
          <w:spacing w:val="-2"/>
          <w:sz w:val="32"/>
        </w:rPr>
        <w:t>131.10</w:t>
      </w:r>
      <w:r>
        <w:rPr>
          <w:spacing w:val="-10"/>
          <w:sz w:val="32"/>
        </w:rPr>
        <w:t>万元，比上年决算增加</w:t>
      </w:r>
      <w:r>
        <w:rPr>
          <w:spacing w:val="-2"/>
          <w:sz w:val="32"/>
        </w:rPr>
        <w:t>9.77</w:t>
      </w:r>
      <w:r>
        <w:rPr>
          <w:spacing w:val="-13"/>
          <w:sz w:val="32"/>
        </w:rPr>
        <w:t>万元，增长</w:t>
      </w:r>
      <w:r>
        <w:rPr>
          <w:spacing w:val="-2"/>
          <w:sz w:val="32"/>
        </w:rPr>
        <w:t>8.05%，主要原因是：本年社保缴费基数调增，故机关事业单位基本养老保险缴费支出增加；</w:t>
      </w:r>
    </w:p>
    <w:p>
      <w:pPr>
        <w:pStyle w:val="9"/>
        <w:numPr>
          <w:ilvl w:val="0"/>
          <w:numId w:val="3"/>
        </w:numPr>
        <w:tabs>
          <w:tab w:val="left" w:pos="961"/>
        </w:tabs>
        <w:spacing w:before="1" w:line="360" w:lineRule="auto"/>
        <w:ind w:right="198" w:firstLine="640"/>
        <w:rPr>
          <w:sz w:val="32"/>
        </w:rPr>
      </w:pPr>
      <w:r>
        <w:rPr>
          <w:spacing w:val="-8"/>
          <w:sz w:val="32"/>
        </w:rPr>
        <w:t>社会保障和就业支出</w:t>
      </w:r>
      <w:r>
        <w:rPr>
          <w:spacing w:val="-2"/>
          <w:sz w:val="32"/>
        </w:rPr>
        <w:t>（类</w:t>
      </w:r>
      <w:r>
        <w:rPr>
          <w:spacing w:val="-53"/>
          <w:sz w:val="32"/>
        </w:rPr>
        <w:t>）</w:t>
      </w:r>
      <w:r>
        <w:rPr>
          <w:spacing w:val="-8"/>
          <w:sz w:val="32"/>
        </w:rPr>
        <w:t>行政事业单位养老支出</w:t>
      </w:r>
      <w:r>
        <w:rPr>
          <w:spacing w:val="-2"/>
          <w:sz w:val="32"/>
        </w:rPr>
        <w:t>（款）机关事业单位职业年金缴费支出（项）:支出决算数为14.70万</w:t>
      </w:r>
      <w:r>
        <w:rPr>
          <w:spacing w:val="-10"/>
          <w:sz w:val="32"/>
        </w:rPr>
        <w:t>元，比上年决算增加</w:t>
      </w:r>
      <w:r>
        <w:rPr>
          <w:spacing w:val="-2"/>
          <w:sz w:val="32"/>
        </w:rPr>
        <w:t>14.61</w:t>
      </w:r>
      <w:r>
        <w:rPr>
          <w:spacing w:val="-13"/>
          <w:sz w:val="32"/>
        </w:rPr>
        <w:t>万元，增长</w:t>
      </w:r>
      <w:r>
        <w:rPr>
          <w:spacing w:val="-2"/>
          <w:sz w:val="32"/>
        </w:rPr>
        <w:t>16233.33%，主要原因是：本年新增退休人员，故机关事业单位职业年金缴费支出增加；</w:t>
      </w:r>
    </w:p>
    <w:p>
      <w:pPr>
        <w:pStyle w:val="9"/>
        <w:numPr>
          <w:ilvl w:val="0"/>
          <w:numId w:val="3"/>
        </w:numPr>
        <w:tabs>
          <w:tab w:val="left" w:pos="968"/>
        </w:tabs>
        <w:spacing w:line="360" w:lineRule="auto"/>
        <w:ind w:right="354" w:firstLine="640"/>
        <w:jc w:val="both"/>
        <w:rPr>
          <w:sz w:val="32"/>
        </w:rPr>
      </w:pPr>
      <w:r>
        <w:rPr>
          <w:spacing w:val="-2"/>
          <w:sz w:val="32"/>
        </w:rPr>
        <w:t>农林水支出（类）林业和草原（款）事业机构（项）:支出决算数为1,647.21万元，比上年决算增加361.67万元，增长28.13%，主要原因是：本年工资及社保基数调增，故支出增</w:t>
      </w:r>
      <w:r>
        <w:rPr>
          <w:spacing w:val="-6"/>
          <w:sz w:val="32"/>
        </w:rPr>
        <w:t>加；</w:t>
      </w:r>
    </w:p>
    <w:p>
      <w:pPr>
        <w:pStyle w:val="9"/>
        <w:numPr>
          <w:ilvl w:val="0"/>
          <w:numId w:val="3"/>
        </w:numPr>
        <w:tabs>
          <w:tab w:val="left" w:pos="961"/>
        </w:tabs>
        <w:spacing w:line="360" w:lineRule="auto"/>
        <w:ind w:right="195" w:firstLine="640"/>
        <w:rPr>
          <w:sz w:val="32"/>
        </w:rPr>
      </w:pPr>
      <w:r>
        <w:rPr>
          <w:spacing w:val="-2"/>
          <w:sz w:val="32"/>
        </w:rPr>
        <w:t>农林水支出（类）林业和草原（款）其他林业和草原支</w:t>
      </w:r>
      <w:r>
        <w:rPr>
          <w:spacing w:val="-53"/>
          <w:sz w:val="32"/>
        </w:rPr>
        <w:t>出</w:t>
      </w:r>
      <w:r>
        <w:rPr>
          <w:spacing w:val="-2"/>
          <w:sz w:val="32"/>
        </w:rPr>
        <w:t>（项）:支出决算数为0.00</w:t>
      </w:r>
      <w:r>
        <w:rPr>
          <w:spacing w:val="-10"/>
          <w:sz w:val="32"/>
        </w:rPr>
        <w:t>万元，比上年决算减少</w:t>
      </w:r>
      <w:r>
        <w:rPr>
          <w:spacing w:val="-2"/>
          <w:sz w:val="32"/>
        </w:rPr>
        <w:t>83.03万元，下降100.00%，主要原因是：本年单位无此项支出。</w:t>
      </w:r>
    </w:p>
    <w:p>
      <w:pPr>
        <w:pStyle w:val="2"/>
        <w:spacing w:before="1"/>
        <w:ind w:left="641"/>
        <w:rPr>
          <w:rFonts w:ascii="黑体" w:eastAsia="黑体"/>
        </w:rPr>
      </w:pPr>
      <w:r>
        <w:rPr>
          <w:rFonts w:ascii="黑体" w:eastAsia="黑体"/>
          <w:spacing w:val="-5"/>
        </w:rPr>
        <w:t>六、一般公共预算财政拨款基本支出决算情况说明</w:t>
      </w:r>
    </w:p>
    <w:p>
      <w:pPr>
        <w:pStyle w:val="2"/>
        <w:spacing w:before="208" w:line="360" w:lineRule="auto"/>
        <w:ind w:right="358" w:firstLine="640"/>
      </w:pPr>
      <w:r>
        <w:rPr>
          <w:spacing w:val="-2"/>
        </w:rPr>
        <w:t>2022年度一般公共预算财政拨款基本支出1,793.01万元，</w:t>
      </w:r>
      <w:r>
        <w:rPr>
          <w:spacing w:val="-4"/>
        </w:rPr>
        <w:t>其中：</w:t>
      </w:r>
    </w:p>
    <w:p>
      <w:pPr>
        <w:pStyle w:val="2"/>
        <w:spacing w:line="360" w:lineRule="auto"/>
        <w:sectPr>
          <w:pgSz w:w="12240" w:h="15840"/>
          <w:pgMar w:top="1560" w:right="1440" w:bottom="280" w:left="1800" w:header="720" w:footer="720" w:gutter="0"/>
          <w:cols w:space="720" w:num="1"/>
        </w:sectPr>
      </w:pPr>
    </w:p>
    <w:p>
      <w:pPr>
        <w:pStyle w:val="2"/>
        <w:spacing w:before="18" w:line="360" w:lineRule="auto"/>
        <w:ind w:right="360" w:firstLine="640"/>
        <w:jc w:val="both"/>
      </w:pPr>
      <w:r>
        <w:rPr>
          <w:spacing w:val="-2"/>
        </w:rPr>
        <w:t>人员经费1,750.51万元，包括：基本工资、津贴补贴、奖金、绩效工资、机关事业单位基本养老保险缴费、职业年金缴费、职工基本医疗保险缴费、公务员医疗补助缴费、其他社会保障缴费、住房公积金、退休费、抚恤金、医疗费补助、奖励</w:t>
      </w:r>
      <w:r>
        <w:rPr>
          <w:spacing w:val="-6"/>
        </w:rPr>
        <w:t>金。</w:t>
      </w:r>
    </w:p>
    <w:p>
      <w:pPr>
        <w:pStyle w:val="2"/>
        <w:spacing w:line="360" w:lineRule="auto"/>
        <w:ind w:right="358" w:firstLine="640"/>
      </w:pPr>
      <w:r>
        <w:rPr>
          <w:spacing w:val="-6"/>
        </w:rPr>
        <w:t>公用经费42.50万元，包括：办公费、电费、邮电费、工会</w:t>
      </w:r>
      <w:r>
        <w:rPr>
          <w:spacing w:val="-5"/>
        </w:rPr>
        <w:t>经费、福利费、公务用车运行维护费、其他商品和服务支出。</w:t>
      </w:r>
    </w:p>
    <w:p>
      <w:pPr>
        <w:pStyle w:val="2"/>
        <w:spacing w:before="1"/>
        <w:ind w:left="641"/>
        <w:rPr>
          <w:rFonts w:ascii="黑体" w:hAnsi="黑体" w:eastAsia="黑体"/>
        </w:rPr>
      </w:pPr>
      <w:r>
        <w:rPr>
          <w:rFonts w:ascii="黑体" w:hAnsi="黑体" w:eastAsia="黑体"/>
          <w:spacing w:val="-4"/>
        </w:rPr>
        <w:t>七、财政拨款</w:t>
      </w:r>
      <w:r>
        <w:rPr>
          <w:rFonts w:ascii="Times New Roman" w:hAnsi="Times New Roman" w:eastAsia="Times New Roman"/>
          <w:spacing w:val="-4"/>
        </w:rPr>
        <w:t>“</w:t>
      </w:r>
      <w:r>
        <w:rPr>
          <w:rFonts w:ascii="黑体" w:hAnsi="黑体" w:eastAsia="黑体"/>
          <w:spacing w:val="-4"/>
        </w:rPr>
        <w:t>三公</w:t>
      </w:r>
      <w:r>
        <w:rPr>
          <w:rFonts w:ascii="Times New Roman" w:hAnsi="Times New Roman" w:eastAsia="Times New Roman"/>
          <w:spacing w:val="-4"/>
        </w:rPr>
        <w:t>”</w:t>
      </w:r>
      <w:r>
        <w:rPr>
          <w:rFonts w:ascii="黑体" w:hAnsi="黑体" w:eastAsia="黑体"/>
          <w:spacing w:val="-5"/>
        </w:rPr>
        <w:t>经费支出决算情况说明</w:t>
      </w:r>
    </w:p>
    <w:p>
      <w:pPr>
        <w:pStyle w:val="2"/>
        <w:spacing w:before="208" w:line="360" w:lineRule="auto"/>
        <w:ind w:right="197" w:firstLine="640"/>
      </w:pPr>
      <w:r>
        <w:rPr>
          <w:spacing w:val="-2"/>
        </w:rPr>
        <w:t>2022年度财政拨款</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经费支出决算2.00万元，比上年增加1.81万元，增长952.63%，主要原因是：单位车辆老旧，车辆维修维护费支出增加。其中：因公出国（境）费支出0.00万</w:t>
      </w:r>
      <w:r>
        <w:rPr>
          <w:spacing w:val="-6"/>
        </w:rPr>
        <w:t>元，占0.00%，比上年增加0.00万元，增长0.00%，主要原因是：</w:t>
      </w:r>
      <w:r>
        <w:rPr>
          <w:spacing w:val="-2"/>
        </w:rPr>
        <w:t>本年单位无因公出国（境）费支出；公务用车购置及运行维护</w:t>
      </w:r>
      <w:r>
        <w:rPr>
          <w:spacing w:val="22"/>
        </w:rPr>
        <w:t>费支出</w:t>
      </w:r>
      <w:r>
        <w:t>2.00</w:t>
      </w:r>
      <w:r>
        <w:rPr>
          <w:spacing w:val="22"/>
        </w:rPr>
        <w:t>万元，占</w:t>
      </w:r>
      <w:r>
        <w:t>100.00</w:t>
      </w:r>
      <w:r>
        <w:rPr>
          <w:spacing w:val="14"/>
        </w:rPr>
        <w:t>%，比上年增加</w:t>
      </w:r>
      <w:r>
        <w:t>1.81</w:t>
      </w:r>
      <w:r>
        <w:rPr>
          <w:spacing w:val="17"/>
        </w:rPr>
        <w:t>万元，增长</w:t>
      </w:r>
      <w:r>
        <w:t xml:space="preserve"> </w:t>
      </w:r>
      <w:r>
        <w:rPr>
          <w:spacing w:val="-2"/>
        </w:rPr>
        <w:t>952.63</w:t>
      </w:r>
      <w:r>
        <w:rPr>
          <w:spacing w:val="-12"/>
        </w:rPr>
        <w:t>%，主要原因是：单位车辆老旧，车辆维修维护费支出增</w:t>
      </w:r>
      <w:r>
        <w:rPr>
          <w:spacing w:val="-18"/>
        </w:rPr>
        <w:t>加；公务接待费支出</w:t>
      </w:r>
      <w:r>
        <w:rPr>
          <w:spacing w:val="-4"/>
        </w:rPr>
        <w:t>0.00</w:t>
      </w:r>
      <w:r>
        <w:rPr>
          <w:spacing w:val="-30"/>
        </w:rPr>
        <w:t>万元，占</w:t>
      </w:r>
      <w:r>
        <w:rPr>
          <w:spacing w:val="13"/>
        </w:rPr>
        <w:t>0</w:t>
      </w:r>
      <w:r>
        <w:rPr>
          <w:spacing w:val="11"/>
        </w:rPr>
        <w:t>.</w:t>
      </w:r>
      <w:r>
        <w:rPr>
          <w:spacing w:val="13"/>
        </w:rPr>
        <w:t>00</w:t>
      </w:r>
      <w:r>
        <w:rPr>
          <w:spacing w:val="-16"/>
        </w:rPr>
        <w:t>%，比上年增加</w:t>
      </w:r>
      <w:r>
        <w:rPr>
          <w:spacing w:val="-4"/>
        </w:rPr>
        <w:t>0.00万元，</w:t>
      </w:r>
      <w:r>
        <w:rPr>
          <w:spacing w:val="-8"/>
        </w:rPr>
        <w:t>增长</w:t>
      </w:r>
      <w:r>
        <w:rPr>
          <w:spacing w:val="9"/>
        </w:rPr>
        <w:t>0.00%</w:t>
      </w:r>
      <w:r>
        <w:rPr>
          <w:spacing w:val="-26"/>
        </w:rPr>
        <w:t>，主要原因是：本年单位无此项支出。具体情况如下：</w:t>
      </w:r>
    </w:p>
    <w:p>
      <w:pPr>
        <w:pStyle w:val="2"/>
        <w:spacing w:before="1" w:line="360" w:lineRule="auto"/>
        <w:ind w:right="362" w:firstLine="640"/>
        <w:jc w:val="both"/>
      </w:pPr>
      <w:r>
        <w:rPr>
          <w:spacing w:val="-2"/>
        </w:rPr>
        <w:t>因公出国（境）费支出0.00万元，开支内容包括本年单位无因公出国（境）费支出。单位全年安排的因公出国（境）团组0个，因公出国（境）0人次。</w:t>
      </w:r>
    </w:p>
    <w:p>
      <w:pPr>
        <w:pStyle w:val="2"/>
        <w:ind w:left="641"/>
      </w:pPr>
      <w:r>
        <w:rPr>
          <w:spacing w:val="-4"/>
        </w:rPr>
        <w:t>公务用车购置及运行维护费2.00</w:t>
      </w:r>
      <w:r>
        <w:rPr>
          <w:spacing w:val="-5"/>
        </w:rPr>
        <w:t>万元，其中：公务用车购</w:t>
      </w:r>
    </w:p>
    <w:p>
      <w:pPr>
        <w:pStyle w:val="2"/>
        <w:sectPr>
          <w:pgSz w:w="12240" w:h="15840"/>
          <w:pgMar w:top="1420" w:right="1440" w:bottom="280" w:left="1800" w:header="720" w:footer="720" w:gutter="0"/>
          <w:cols w:space="720" w:num="1"/>
        </w:sectPr>
      </w:pPr>
    </w:p>
    <w:p>
      <w:pPr>
        <w:pStyle w:val="2"/>
        <w:spacing w:before="18" w:line="360" w:lineRule="auto"/>
        <w:ind w:right="360"/>
        <w:jc w:val="both"/>
      </w:pPr>
      <w:r>
        <w:rPr>
          <w:spacing w:val="-2"/>
        </w:rPr>
        <w:t>置费0.00万元，公务用车运行维护费2.00万元。公务用车运行维护费开支内容包括公务用车燃油费、车辆维修维护费、保险费、过路费等。公务用车购置数0辆，公务用车保有量1辆。</w:t>
      </w:r>
    </w:p>
    <w:p>
      <w:pPr>
        <w:pStyle w:val="2"/>
        <w:spacing w:line="360" w:lineRule="auto"/>
        <w:ind w:right="197" w:firstLine="640"/>
      </w:pPr>
      <w:r>
        <w:rPr>
          <w:spacing w:val="-2"/>
        </w:rPr>
        <w:t>公务接待费0.00</w:t>
      </w:r>
      <w:r>
        <w:rPr>
          <w:spacing w:val="-16"/>
        </w:rPr>
        <w:t>万元，开支内容包括本年单位无此项支出。</w:t>
      </w:r>
      <w:r>
        <w:rPr>
          <w:spacing w:val="-2"/>
        </w:rPr>
        <w:t>单位全年安排的国内公务接待0批次，0人次。</w:t>
      </w:r>
    </w:p>
    <w:p>
      <w:pPr>
        <w:pStyle w:val="2"/>
        <w:spacing w:line="360" w:lineRule="auto"/>
        <w:ind w:right="195" w:firstLine="640"/>
      </w:pPr>
      <w:r>
        <w:rPr>
          <w:spacing w:val="-2"/>
        </w:rPr>
        <w:t>与全年预算数相比情况：</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经费支出全年预算数2.89万元，决算数2.00万元，预决算差异率-30.80%，主要原因是：本年车辆出行次数减少，燃油费减少。其中：因公出国（境）费全年预算数0.00</w:t>
      </w:r>
      <w:r>
        <w:rPr>
          <w:spacing w:val="-29"/>
        </w:rPr>
        <w:t>万元，决算数</w:t>
      </w:r>
      <w:r>
        <w:rPr>
          <w:spacing w:val="-2"/>
        </w:rPr>
        <w:t>0.00</w:t>
      </w:r>
      <w:r>
        <w:rPr>
          <w:spacing w:val="-21"/>
        </w:rPr>
        <w:t>万元，预决算差异率</w:t>
      </w:r>
      <w:r>
        <w:rPr>
          <w:spacing w:val="-2"/>
        </w:rPr>
        <w:t>0.00%，主要原因是：本年单位无因公出国（境）费支出；公务用车购</w:t>
      </w:r>
      <w:r>
        <w:rPr>
          <w:spacing w:val="13"/>
        </w:rPr>
        <w:t>置费全年预算数</w:t>
      </w:r>
      <w:r>
        <w:t>0.00</w:t>
      </w:r>
      <w:r>
        <w:rPr>
          <w:spacing w:val="13"/>
        </w:rPr>
        <w:t>万元，决算数</w:t>
      </w:r>
      <w:r>
        <w:t>0.00</w:t>
      </w:r>
      <w:r>
        <w:rPr>
          <w:spacing w:val="10"/>
        </w:rPr>
        <w:t>万元，预决算差异率</w:t>
      </w:r>
      <w:r>
        <w:t xml:space="preserve"> </w:t>
      </w:r>
      <w:r>
        <w:rPr>
          <w:spacing w:val="-2"/>
        </w:rPr>
        <w:t>0.00</w:t>
      </w:r>
      <w:r>
        <w:rPr>
          <w:spacing w:val="-12"/>
        </w:rPr>
        <w:t>%，主要原因是：本年单位无此项支出；公务用车运行费全</w:t>
      </w:r>
      <w:r>
        <w:rPr>
          <w:spacing w:val="-2"/>
        </w:rPr>
        <w:t>年预算数2.89万元，决算数2.00万元，预决算差异率-30.80%，主要原因是：本年车辆出行次数减少，燃油费减少；公务接待费全年预算数0.00</w:t>
      </w:r>
      <w:r>
        <w:rPr>
          <w:spacing w:val="-29"/>
        </w:rPr>
        <w:t>万元，决算数</w:t>
      </w:r>
      <w:r>
        <w:rPr>
          <w:spacing w:val="-2"/>
        </w:rPr>
        <w:t>0.00</w:t>
      </w:r>
      <w:r>
        <w:rPr>
          <w:spacing w:val="-21"/>
        </w:rPr>
        <w:t>万元，预决算差异率</w:t>
      </w:r>
      <w:r>
        <w:rPr>
          <w:spacing w:val="-2"/>
        </w:rPr>
        <w:t>0.00%，主要原因是：本年单位无此项支出。</w:t>
      </w:r>
    </w:p>
    <w:p>
      <w:pPr>
        <w:pStyle w:val="2"/>
        <w:spacing w:before="2"/>
        <w:ind w:left="641"/>
        <w:rPr>
          <w:rFonts w:ascii="黑体" w:eastAsia="黑体"/>
        </w:rPr>
      </w:pPr>
      <w:r>
        <w:rPr>
          <w:rFonts w:ascii="黑体" w:eastAsia="黑体"/>
          <w:spacing w:val="-5"/>
        </w:rPr>
        <w:t>八、政府性基金预算财政拨款收入支出决算情况说明</w:t>
      </w:r>
    </w:p>
    <w:p>
      <w:pPr>
        <w:pStyle w:val="2"/>
        <w:spacing w:before="208" w:line="360" w:lineRule="auto"/>
        <w:ind w:right="358" w:firstLine="640"/>
        <w:jc w:val="both"/>
      </w:pPr>
      <w:r>
        <w:rPr>
          <w:spacing w:val="-2"/>
        </w:rPr>
        <w:t>我单位本年度无政府性基金预算财政拨款收入支出，政府性基金预算财政拨款收入支出决算表反映年初结转和结余6.46万元，年末结转和结余6.46万元。</w:t>
      </w:r>
    </w:p>
    <w:p>
      <w:pPr>
        <w:pStyle w:val="2"/>
        <w:ind w:left="641"/>
        <w:rPr>
          <w:rFonts w:ascii="黑体" w:eastAsia="黑体"/>
        </w:rPr>
      </w:pPr>
      <w:r>
        <w:rPr>
          <w:rFonts w:ascii="黑体" w:eastAsia="黑体"/>
          <w:spacing w:val="-5"/>
        </w:rPr>
        <w:t>九、国有资本经营预算财政拨款收入支出决算情况说明</w:t>
      </w:r>
    </w:p>
    <w:p>
      <w:pPr>
        <w:pStyle w:val="2"/>
        <w:rPr>
          <w:rFonts w:ascii="黑体" w:eastAsia="黑体"/>
        </w:rPr>
        <w:sectPr>
          <w:pgSz w:w="12240" w:h="15840"/>
          <w:pgMar w:top="1420" w:right="1440" w:bottom="280" w:left="1800" w:header="720" w:footer="720" w:gutter="0"/>
          <w:cols w:space="720" w:num="1"/>
        </w:sectPr>
      </w:pPr>
    </w:p>
    <w:p>
      <w:pPr>
        <w:pStyle w:val="2"/>
        <w:spacing w:before="18" w:line="360" w:lineRule="auto"/>
        <w:ind w:right="363" w:firstLine="640"/>
        <w:jc w:val="both"/>
      </w:pPr>
      <w:r>
        <w:rPr>
          <w:spacing w:val="-2"/>
        </w:rPr>
        <w:t>我单位本年度无国有资本经营预算财政拨款收入、支出及结转和结余，国有资本经营预算财政拨款收入支出决算表为空</w:t>
      </w:r>
      <w:r>
        <w:rPr>
          <w:spacing w:val="-6"/>
        </w:rPr>
        <w:t>表。</w:t>
      </w:r>
    </w:p>
    <w:p>
      <w:pPr>
        <w:pStyle w:val="2"/>
        <w:ind w:left="641"/>
        <w:rPr>
          <w:rFonts w:ascii="黑体" w:eastAsia="黑体"/>
        </w:rPr>
      </w:pPr>
      <w:r>
        <w:rPr>
          <w:rFonts w:ascii="黑体" w:eastAsia="黑体"/>
          <w:spacing w:val="-5"/>
        </w:rPr>
        <w:t>十、其他重要事项的情况说明</w:t>
      </w:r>
    </w:p>
    <w:p>
      <w:pPr>
        <w:pStyle w:val="2"/>
        <w:spacing w:before="208"/>
        <w:ind w:left="641"/>
        <w:rPr>
          <w:rFonts w:ascii="黑体" w:eastAsia="黑体"/>
        </w:rPr>
      </w:pPr>
      <w:r>
        <w:rPr>
          <w:rFonts w:ascii="黑体" w:eastAsia="黑体"/>
          <w:spacing w:val="-4"/>
        </w:rPr>
        <w:t>（一）</w:t>
      </w:r>
      <w:r>
        <w:rPr>
          <w:rFonts w:ascii="黑体" w:eastAsia="黑体"/>
          <w:spacing w:val="-5"/>
        </w:rPr>
        <w:t>机关运行经费支出情况</w:t>
      </w:r>
    </w:p>
    <w:p>
      <w:pPr>
        <w:pStyle w:val="2"/>
        <w:spacing w:before="208"/>
        <w:ind w:left="641"/>
      </w:pPr>
      <w:r>
        <w:t>2022</w:t>
      </w:r>
      <w:r>
        <w:rPr>
          <w:spacing w:val="12"/>
        </w:rPr>
        <w:t xml:space="preserve"> 年度乌鲁木齐市沙依巴克区园林队单位公用经费</w:t>
      </w:r>
    </w:p>
    <w:p>
      <w:pPr>
        <w:pStyle w:val="2"/>
        <w:spacing w:before="209" w:line="360" w:lineRule="auto"/>
        <w:ind w:right="198"/>
      </w:pPr>
      <w:r>
        <w:rPr>
          <w:spacing w:val="-2"/>
        </w:rPr>
        <w:t>42.50</w:t>
      </w:r>
      <w:r>
        <w:rPr>
          <w:spacing w:val="-10"/>
        </w:rPr>
        <w:t>万元，比上年减少</w:t>
      </w:r>
      <w:r>
        <w:rPr>
          <w:spacing w:val="-2"/>
        </w:rPr>
        <w:t>85.00</w:t>
      </w:r>
      <w:r>
        <w:rPr>
          <w:spacing w:val="-13"/>
        </w:rPr>
        <w:t>万元，下降</w:t>
      </w:r>
      <w:r>
        <w:rPr>
          <w:spacing w:val="-2"/>
        </w:rPr>
        <w:t>66.67%，主要原因是：本年单位水费、取暖费支出较上年减少。</w:t>
      </w:r>
    </w:p>
    <w:p>
      <w:pPr>
        <w:pStyle w:val="2"/>
        <w:ind w:left="641"/>
        <w:rPr>
          <w:rFonts w:ascii="黑体" w:eastAsia="黑体"/>
        </w:rPr>
      </w:pPr>
      <w:r>
        <w:rPr>
          <w:rFonts w:ascii="黑体" w:eastAsia="黑体"/>
          <w:spacing w:val="-4"/>
        </w:rPr>
        <w:t>（二）</w:t>
      </w:r>
      <w:r>
        <w:rPr>
          <w:rFonts w:ascii="黑体" w:eastAsia="黑体"/>
          <w:spacing w:val="-5"/>
        </w:rPr>
        <w:t>政府采购情况</w:t>
      </w:r>
    </w:p>
    <w:p>
      <w:pPr>
        <w:pStyle w:val="2"/>
        <w:spacing w:before="208" w:line="360" w:lineRule="auto"/>
        <w:ind w:right="359" w:firstLine="640"/>
        <w:jc w:val="both"/>
      </w:pPr>
      <w:r>
        <w:rPr>
          <w:spacing w:val="-2"/>
        </w:rPr>
        <w:t>2022年度政府采购支出总额114.78万元，其中：政府采购货物支出9.24万元、政府采购工程支出0.00万元、政府采购服务支出105.54万元。</w:t>
      </w:r>
    </w:p>
    <w:p>
      <w:pPr>
        <w:pStyle w:val="2"/>
        <w:spacing w:line="360" w:lineRule="auto"/>
        <w:ind w:right="359" w:firstLine="640"/>
        <w:jc w:val="both"/>
      </w:pPr>
      <w:r>
        <w:rPr>
          <w:spacing w:val="-2"/>
        </w:rPr>
        <w:t>授予中小企业合同金额45.06</w:t>
      </w:r>
      <w:r>
        <w:rPr>
          <w:spacing w:val="-17"/>
        </w:rPr>
        <w:t>万元，占政府采购支出总额的</w:t>
      </w:r>
      <w:r>
        <w:rPr>
          <w:spacing w:val="-2"/>
        </w:rPr>
        <w:t xml:space="preserve"> </w:t>
      </w:r>
      <w:r>
        <w:rPr>
          <w:spacing w:val="-4"/>
        </w:rPr>
        <w:t>39.26</w:t>
      </w:r>
      <w:r>
        <w:rPr>
          <w:spacing w:val="-11"/>
        </w:rPr>
        <w:t>%，其中：授予小微企业合同金额</w:t>
      </w:r>
      <w:r>
        <w:rPr>
          <w:spacing w:val="-4"/>
        </w:rPr>
        <w:t>14.76</w:t>
      </w:r>
      <w:r>
        <w:rPr>
          <w:spacing w:val="-12"/>
        </w:rPr>
        <w:t>万元，占政府采购</w:t>
      </w:r>
      <w:r>
        <w:rPr>
          <w:spacing w:val="-2"/>
        </w:rPr>
        <w:t>支出总额的12.86%。</w:t>
      </w:r>
    </w:p>
    <w:p>
      <w:pPr>
        <w:pStyle w:val="2"/>
        <w:ind w:left="641"/>
        <w:rPr>
          <w:rFonts w:ascii="黑体" w:eastAsia="黑体"/>
        </w:rPr>
      </w:pPr>
      <w:r>
        <w:rPr>
          <w:rFonts w:ascii="黑体" w:eastAsia="黑体"/>
          <w:spacing w:val="-4"/>
        </w:rPr>
        <w:t>（三）</w:t>
      </w:r>
      <w:r>
        <w:rPr>
          <w:rFonts w:ascii="黑体" w:eastAsia="黑体"/>
          <w:spacing w:val="-5"/>
        </w:rPr>
        <w:t>国有资产占用情况说明</w:t>
      </w:r>
    </w:p>
    <w:p>
      <w:pPr>
        <w:pStyle w:val="2"/>
        <w:spacing w:before="209" w:line="360" w:lineRule="auto"/>
        <w:ind w:right="195" w:firstLine="640"/>
      </w:pPr>
      <w:bookmarkStart w:id="0" w:name="_GoBack"/>
      <w:bookmarkEnd w:id="0"/>
      <w:r>
        <w:rPr>
          <w:rFonts w:hint="eastAsia"/>
          <w:spacing w:val="14"/>
          <w:lang w:eastAsia="zh-CN"/>
        </w:rPr>
        <w:t>截至</w:t>
      </w:r>
      <w:r>
        <w:t>2022</w:t>
      </w:r>
      <w:r>
        <w:rPr>
          <w:spacing w:val="14"/>
        </w:rPr>
        <w:t>年</w:t>
      </w:r>
      <w:r>
        <w:t>12</w:t>
      </w:r>
      <w:r>
        <w:rPr>
          <w:spacing w:val="14"/>
        </w:rPr>
        <w:t>月</w:t>
      </w:r>
      <w:r>
        <w:rPr>
          <w:spacing w:val="9"/>
        </w:rPr>
        <w:t>31</w:t>
      </w:r>
      <w:r>
        <w:rPr>
          <w:spacing w:val="14"/>
        </w:rPr>
        <w:t>日，固定资产原值</w:t>
      </w:r>
      <w:r>
        <w:t>945.05</w:t>
      </w:r>
      <w:r>
        <w:rPr>
          <w:spacing w:val="14"/>
        </w:rPr>
        <w:t xml:space="preserve">万元，房屋 </w:t>
      </w:r>
      <w:r>
        <w:rPr>
          <w:spacing w:val="-2"/>
        </w:rPr>
        <w:t>467.75</w:t>
      </w:r>
      <w:r>
        <w:rPr>
          <w:spacing w:val="-12"/>
        </w:rPr>
        <w:t>平方米，价值</w:t>
      </w:r>
      <w:r>
        <w:rPr>
          <w:spacing w:val="-2"/>
        </w:rPr>
        <w:t>257.31</w:t>
      </w:r>
      <w:r>
        <w:rPr>
          <w:spacing w:val="-13"/>
        </w:rPr>
        <w:t>万元。车辆</w:t>
      </w:r>
      <w:r>
        <w:rPr>
          <w:spacing w:val="-2"/>
        </w:rPr>
        <w:t>17</w:t>
      </w:r>
      <w:r>
        <w:rPr>
          <w:spacing w:val="-16"/>
        </w:rPr>
        <w:t>辆，价值</w:t>
      </w:r>
      <w:r>
        <w:rPr>
          <w:spacing w:val="-2"/>
        </w:rPr>
        <w:t>452.35万元，其中：副部（省）级及以上领导用车0辆、主要领导干部用车0辆、机要通信用车0辆、应急保障用车0辆、执法执勤用车1辆、特种专业技术用车0辆、离退休干部用车0辆、其他用车16辆，</w:t>
      </w:r>
    </w:p>
    <w:p>
      <w:pPr>
        <w:pStyle w:val="2"/>
        <w:spacing w:line="360" w:lineRule="auto"/>
        <w:sectPr>
          <w:pgSz w:w="12240" w:h="15840"/>
          <w:pgMar w:top="1420" w:right="1440" w:bottom="280" w:left="1800" w:header="720" w:footer="720" w:gutter="0"/>
          <w:cols w:space="720" w:num="1"/>
        </w:sectPr>
      </w:pPr>
    </w:p>
    <w:p>
      <w:pPr>
        <w:pStyle w:val="2"/>
        <w:spacing w:before="18" w:line="360" w:lineRule="auto"/>
        <w:ind w:right="197"/>
      </w:pPr>
      <w:r>
        <w:rPr>
          <w:spacing w:val="-26"/>
        </w:rPr>
        <w:t>其他用车主要是：园林用水车、单位业务用车；单价</w:t>
      </w:r>
      <w:r>
        <w:rPr>
          <w:spacing w:val="-2"/>
        </w:rPr>
        <w:t>100</w:t>
      </w:r>
      <w:r>
        <w:rPr>
          <w:spacing w:val="-82"/>
        </w:rPr>
        <w:t>万元</w:t>
      </w:r>
      <w:r>
        <w:rPr>
          <w:spacing w:val="-2"/>
        </w:rPr>
        <w:t>（含）以上设备（不含车辆）0台（套）。</w:t>
      </w:r>
    </w:p>
    <w:p>
      <w:pPr>
        <w:pStyle w:val="2"/>
        <w:ind w:left="641"/>
        <w:rPr>
          <w:rFonts w:ascii="黑体" w:eastAsia="黑体"/>
        </w:rPr>
      </w:pPr>
      <w:r>
        <w:rPr>
          <w:rFonts w:ascii="黑体" w:eastAsia="黑体"/>
          <w:spacing w:val="-5"/>
        </w:rPr>
        <w:t>十一、预算绩效的情况说明</w:t>
      </w:r>
    </w:p>
    <w:p>
      <w:pPr>
        <w:pStyle w:val="2"/>
        <w:spacing w:before="208" w:line="360" w:lineRule="auto"/>
        <w:ind w:right="357" w:firstLine="640"/>
        <w:jc w:val="both"/>
      </w:pPr>
      <w:r>
        <w:rPr>
          <w:spacing w:val="-2"/>
        </w:rPr>
        <w:t>根据预算绩效管理要求，我单位2022年度开展预算绩效评价项目1</w:t>
      </w:r>
      <w:r>
        <w:rPr>
          <w:spacing w:val="-11"/>
        </w:rPr>
        <w:t>个，全年预算数</w:t>
      </w:r>
      <w:r>
        <w:rPr>
          <w:spacing w:val="-2"/>
        </w:rPr>
        <w:t>10.00</w:t>
      </w:r>
      <w:r>
        <w:rPr>
          <w:spacing w:val="-10"/>
        </w:rPr>
        <w:t>万元，全年执行数</w:t>
      </w:r>
      <w:r>
        <w:rPr>
          <w:spacing w:val="-2"/>
        </w:rPr>
        <w:t>10.00</w:t>
      </w:r>
      <w:r>
        <w:rPr>
          <w:spacing w:val="-15"/>
        </w:rPr>
        <w:t>万元。预</w:t>
      </w:r>
      <w:r>
        <w:rPr>
          <w:spacing w:val="-2"/>
        </w:rPr>
        <w:t>算绩效管理取得的成效：一是在项目实施过程中做好定期监督检查，严格按照项目管理规范进行，在项目资金使用过程中，严格落实把关，按照项目资金使用范围做好审核工作，让项目资金落于实处；二是在监督环节上，实行关口前移，从事后监督管理转向事前审核，事中监督和事后检查稽核相结合的监督制度上来，形成多环节全过程的监督管理格局，尽量早发现问题，早解决问题。发现的问题及原因：一是存在“重投入轻管理、重支出轻绩效”的情况，对全面实施预算绩效管理的要求认识还不到位；二是项目申报、实施等环节与预算绩效管理各个环节联系不够紧密。下一步改进措施：一是进一步加强对绩效管理工作的组织领导，提高对预算绩效管理工作重要性的认识；二是进一步建立健全工作机制，完善内控制度，形成科学合理、高效严谨的全面绩效管理制度和体系。具体项目自评情况附项目支出绩效自评表。</w:t>
      </w:r>
    </w:p>
    <w:p>
      <w:pPr>
        <w:pStyle w:val="2"/>
        <w:spacing w:line="360" w:lineRule="auto"/>
        <w:jc w:val="both"/>
        <w:sectPr>
          <w:pgSz w:w="12240" w:h="15840"/>
          <w:pgMar w:top="1420" w:right="1440" w:bottom="280" w:left="1800" w:header="720" w:footer="720" w:gutter="0"/>
          <w:cols w:space="720" w:num="1"/>
        </w:sectPr>
      </w:pPr>
    </w:p>
    <w:tbl>
      <w:tblPr>
        <w:tblStyle w:val="8"/>
        <w:tblW w:w="8642"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8"/>
        <w:gridCol w:w="699"/>
        <w:gridCol w:w="1129"/>
        <w:gridCol w:w="1277"/>
        <w:gridCol w:w="1133"/>
        <w:gridCol w:w="1135"/>
        <w:gridCol w:w="566"/>
        <w:gridCol w:w="991"/>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8642" w:type="dxa"/>
            <w:gridSpan w:val="9"/>
          </w:tcPr>
          <w:p>
            <w:pPr>
              <w:pStyle w:val="10"/>
              <w:spacing w:before="7" w:line="253" w:lineRule="exact"/>
              <w:ind w:left="8"/>
              <w:jc w:val="center"/>
              <w:rPr>
                <w:b/>
                <w:sz w:val="20"/>
              </w:rPr>
            </w:pPr>
            <w:r>
              <w:rPr>
                <w:b/>
                <w:spacing w:val="-3"/>
                <w:sz w:val="20"/>
              </w:rPr>
              <w:t>项目支出绩效自评表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8642" w:type="dxa"/>
            <w:gridSpan w:val="9"/>
          </w:tcPr>
          <w:p>
            <w:pPr>
              <w:pStyle w:val="10"/>
              <w:spacing w:before="7" w:line="253" w:lineRule="exact"/>
              <w:ind w:left="8" w:right="1"/>
              <w:jc w:val="center"/>
              <w:rPr>
                <w:sz w:val="20"/>
              </w:rPr>
            </w:pPr>
            <w:r>
              <w:rPr>
                <w:spacing w:val="-2"/>
                <w:sz w:val="20"/>
              </w:rPr>
              <w:t>(2022</w:t>
            </w:r>
            <w:r>
              <w:rPr>
                <w:spacing w:val="-15"/>
                <w:sz w:val="20"/>
              </w:rPr>
              <w:t xml:space="preserve"> 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77" w:type="dxa"/>
            <w:gridSpan w:val="2"/>
          </w:tcPr>
          <w:p>
            <w:pPr>
              <w:pStyle w:val="10"/>
              <w:spacing w:before="7" w:line="253" w:lineRule="exact"/>
              <w:ind w:left="234"/>
              <w:rPr>
                <w:sz w:val="20"/>
              </w:rPr>
            </w:pPr>
            <w:r>
              <w:rPr>
                <w:spacing w:val="-4"/>
                <w:sz w:val="20"/>
              </w:rPr>
              <w:t>项目名称</w:t>
            </w:r>
          </w:p>
        </w:tc>
        <w:tc>
          <w:tcPr>
            <w:tcW w:w="7365" w:type="dxa"/>
            <w:gridSpan w:val="7"/>
          </w:tcPr>
          <w:p>
            <w:pPr>
              <w:pStyle w:val="10"/>
              <w:spacing w:before="7" w:line="253" w:lineRule="exact"/>
              <w:ind w:left="5"/>
              <w:jc w:val="center"/>
              <w:rPr>
                <w:sz w:val="20"/>
              </w:rPr>
            </w:pPr>
            <w:r>
              <w:rPr>
                <w:spacing w:val="-3"/>
                <w:sz w:val="20"/>
              </w:rPr>
              <w:t>乌鲁木齐市沙依巴克区园林队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277" w:type="dxa"/>
            <w:gridSpan w:val="2"/>
          </w:tcPr>
          <w:p>
            <w:pPr>
              <w:pStyle w:val="10"/>
              <w:spacing w:before="7" w:line="251" w:lineRule="exact"/>
              <w:ind w:left="234"/>
              <w:rPr>
                <w:sz w:val="20"/>
              </w:rPr>
            </w:pPr>
            <w:r>
              <w:rPr>
                <w:spacing w:val="-4"/>
                <w:sz w:val="20"/>
              </w:rPr>
              <w:t>主管部门</w:t>
            </w:r>
          </w:p>
        </w:tc>
        <w:tc>
          <w:tcPr>
            <w:tcW w:w="3539" w:type="dxa"/>
            <w:gridSpan w:val="3"/>
          </w:tcPr>
          <w:p>
            <w:pPr>
              <w:pStyle w:val="10"/>
              <w:spacing w:before="7" w:line="251" w:lineRule="exact"/>
              <w:ind w:left="967"/>
              <w:rPr>
                <w:sz w:val="20"/>
              </w:rPr>
            </w:pPr>
            <w:r>
              <w:rPr>
                <w:spacing w:val="-4"/>
                <w:sz w:val="20"/>
              </w:rPr>
              <w:t>沙依巴克区园林队</w:t>
            </w:r>
          </w:p>
        </w:tc>
        <w:tc>
          <w:tcPr>
            <w:tcW w:w="1135" w:type="dxa"/>
          </w:tcPr>
          <w:p>
            <w:pPr>
              <w:pStyle w:val="10"/>
              <w:spacing w:before="7" w:line="251" w:lineRule="exact"/>
              <w:ind w:left="6" w:right="5"/>
              <w:jc w:val="center"/>
              <w:rPr>
                <w:sz w:val="20"/>
              </w:rPr>
            </w:pPr>
            <w:r>
              <w:rPr>
                <w:spacing w:val="-4"/>
                <w:sz w:val="20"/>
              </w:rPr>
              <w:t>实施单位</w:t>
            </w:r>
          </w:p>
        </w:tc>
        <w:tc>
          <w:tcPr>
            <w:tcW w:w="2691" w:type="dxa"/>
            <w:gridSpan w:val="3"/>
          </w:tcPr>
          <w:p>
            <w:pPr>
              <w:pStyle w:val="10"/>
              <w:spacing w:before="7" w:line="251" w:lineRule="exact"/>
              <w:ind w:left="544"/>
              <w:rPr>
                <w:sz w:val="20"/>
              </w:rPr>
            </w:pPr>
            <w:r>
              <w:rPr>
                <w:spacing w:val="-4"/>
                <w:sz w:val="20"/>
              </w:rPr>
              <w:t>沙依巴克区园林队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1277" w:type="dxa"/>
            <w:gridSpan w:val="2"/>
            <w:vMerge w:val="restart"/>
          </w:tcPr>
          <w:p>
            <w:pPr>
              <w:pStyle w:val="10"/>
              <w:rPr>
                <w:sz w:val="20"/>
              </w:rPr>
            </w:pPr>
          </w:p>
          <w:p>
            <w:pPr>
              <w:pStyle w:val="10"/>
              <w:rPr>
                <w:sz w:val="20"/>
              </w:rPr>
            </w:pPr>
          </w:p>
          <w:p>
            <w:pPr>
              <w:pStyle w:val="10"/>
              <w:spacing w:before="168"/>
              <w:rPr>
                <w:sz w:val="20"/>
              </w:rPr>
            </w:pPr>
          </w:p>
          <w:p>
            <w:pPr>
              <w:pStyle w:val="10"/>
              <w:spacing w:line="260" w:lineRule="exact"/>
              <w:ind w:left="234"/>
              <w:rPr>
                <w:sz w:val="20"/>
              </w:rPr>
            </w:pPr>
            <w:r>
              <w:rPr>
                <w:spacing w:val="-4"/>
                <w:sz w:val="20"/>
              </w:rPr>
              <w:t>项目资金</w:t>
            </w:r>
          </w:p>
          <w:p>
            <w:pPr>
              <w:pStyle w:val="10"/>
              <w:spacing w:line="260" w:lineRule="exact"/>
              <w:ind w:left="234"/>
              <w:rPr>
                <w:sz w:val="20"/>
              </w:rPr>
            </w:pPr>
            <w:r>
              <w:rPr>
                <w:spacing w:val="-2"/>
                <w:sz w:val="20"/>
              </w:rPr>
              <w:t>（万元</w:t>
            </w:r>
            <w:r>
              <w:rPr>
                <w:spacing w:val="-10"/>
                <w:sz w:val="20"/>
              </w:rPr>
              <w:t>）</w:t>
            </w:r>
          </w:p>
        </w:tc>
        <w:tc>
          <w:tcPr>
            <w:tcW w:w="1129" w:type="dxa"/>
          </w:tcPr>
          <w:p>
            <w:pPr>
              <w:pStyle w:val="10"/>
              <w:rPr>
                <w:rFonts w:ascii="Times New Roman"/>
                <w:sz w:val="18"/>
              </w:rPr>
            </w:pPr>
          </w:p>
        </w:tc>
        <w:tc>
          <w:tcPr>
            <w:tcW w:w="1277" w:type="dxa"/>
          </w:tcPr>
          <w:p>
            <w:pPr>
              <w:pStyle w:val="10"/>
              <w:spacing w:before="137"/>
              <w:ind w:left="135"/>
              <w:rPr>
                <w:sz w:val="20"/>
              </w:rPr>
            </w:pPr>
            <w:r>
              <w:rPr>
                <w:spacing w:val="-4"/>
                <w:sz w:val="20"/>
              </w:rPr>
              <w:t>年初预算数</w:t>
            </w:r>
          </w:p>
        </w:tc>
        <w:tc>
          <w:tcPr>
            <w:tcW w:w="1133" w:type="dxa"/>
          </w:tcPr>
          <w:p>
            <w:pPr>
              <w:pStyle w:val="10"/>
              <w:spacing w:line="260" w:lineRule="atLeast"/>
              <w:ind w:left="464" w:right="159" w:hanging="300"/>
              <w:rPr>
                <w:sz w:val="20"/>
              </w:rPr>
            </w:pPr>
            <w:r>
              <w:rPr>
                <w:spacing w:val="-4"/>
                <w:sz w:val="20"/>
              </w:rPr>
              <w:t>全年预算</w:t>
            </w:r>
            <w:r>
              <w:rPr>
                <w:spacing w:val="-10"/>
                <w:sz w:val="20"/>
              </w:rPr>
              <w:t>数</w:t>
            </w:r>
          </w:p>
        </w:tc>
        <w:tc>
          <w:tcPr>
            <w:tcW w:w="1135" w:type="dxa"/>
          </w:tcPr>
          <w:p>
            <w:pPr>
              <w:pStyle w:val="10"/>
              <w:spacing w:line="260" w:lineRule="atLeast"/>
              <w:ind w:left="464" w:right="161" w:hanging="300"/>
              <w:rPr>
                <w:sz w:val="20"/>
              </w:rPr>
            </w:pPr>
            <w:r>
              <w:rPr>
                <w:spacing w:val="-4"/>
                <w:sz w:val="20"/>
              </w:rPr>
              <w:t>全年执行</w:t>
            </w:r>
            <w:r>
              <w:rPr>
                <w:spacing w:val="-10"/>
                <w:sz w:val="20"/>
              </w:rPr>
              <w:t>数</w:t>
            </w:r>
          </w:p>
        </w:tc>
        <w:tc>
          <w:tcPr>
            <w:tcW w:w="566" w:type="dxa"/>
          </w:tcPr>
          <w:p>
            <w:pPr>
              <w:pStyle w:val="10"/>
              <w:spacing w:line="260" w:lineRule="atLeast"/>
              <w:ind w:left="181" w:right="173"/>
              <w:rPr>
                <w:sz w:val="20"/>
              </w:rPr>
            </w:pPr>
            <w:r>
              <w:rPr>
                <w:spacing w:val="-10"/>
                <w:sz w:val="20"/>
              </w:rPr>
              <w:t>分值</w:t>
            </w:r>
          </w:p>
        </w:tc>
        <w:tc>
          <w:tcPr>
            <w:tcW w:w="991" w:type="dxa"/>
          </w:tcPr>
          <w:p>
            <w:pPr>
              <w:pStyle w:val="10"/>
              <w:spacing w:before="137"/>
              <w:ind w:left="12" w:right="8"/>
              <w:jc w:val="center"/>
              <w:rPr>
                <w:sz w:val="20"/>
              </w:rPr>
            </w:pPr>
            <w:r>
              <w:rPr>
                <w:spacing w:val="-5"/>
                <w:sz w:val="20"/>
              </w:rPr>
              <w:t>执行率</w:t>
            </w:r>
          </w:p>
        </w:tc>
        <w:tc>
          <w:tcPr>
            <w:tcW w:w="1134" w:type="dxa"/>
          </w:tcPr>
          <w:p>
            <w:pPr>
              <w:pStyle w:val="10"/>
              <w:spacing w:before="137"/>
              <w:ind w:left="7" w:right="2"/>
              <w:jc w:val="center"/>
              <w:rPr>
                <w:sz w:val="20"/>
              </w:rPr>
            </w:pPr>
            <w:r>
              <w:rPr>
                <w:spacing w:val="-6"/>
                <w:sz w:val="20"/>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7" w:hRule="atLeast"/>
        </w:trPr>
        <w:tc>
          <w:tcPr>
            <w:tcW w:w="1277" w:type="dxa"/>
            <w:gridSpan w:val="2"/>
            <w:vMerge w:val="continue"/>
            <w:tcBorders>
              <w:top w:val="nil"/>
            </w:tcBorders>
          </w:tcPr>
          <w:p>
            <w:pPr>
              <w:rPr>
                <w:sz w:val="2"/>
                <w:szCs w:val="2"/>
              </w:rPr>
            </w:pPr>
          </w:p>
        </w:tc>
        <w:tc>
          <w:tcPr>
            <w:tcW w:w="1129" w:type="dxa"/>
          </w:tcPr>
          <w:p>
            <w:pPr>
              <w:pStyle w:val="10"/>
              <w:spacing w:line="257" w:lineRule="exact"/>
              <w:ind w:right="1"/>
              <w:jc w:val="center"/>
              <w:rPr>
                <w:sz w:val="20"/>
              </w:rPr>
            </w:pPr>
            <w:r>
              <w:rPr>
                <w:spacing w:val="-4"/>
                <w:sz w:val="20"/>
              </w:rPr>
              <w:t>年度资金</w:t>
            </w:r>
          </w:p>
          <w:p>
            <w:pPr>
              <w:pStyle w:val="10"/>
              <w:spacing w:line="241" w:lineRule="exact"/>
              <w:ind w:right="1"/>
              <w:jc w:val="center"/>
              <w:rPr>
                <w:sz w:val="20"/>
              </w:rPr>
            </w:pPr>
            <w:r>
              <w:rPr>
                <w:spacing w:val="-6"/>
                <w:sz w:val="20"/>
              </w:rPr>
              <w:t>总额</w:t>
            </w:r>
          </w:p>
        </w:tc>
        <w:tc>
          <w:tcPr>
            <w:tcW w:w="1277" w:type="dxa"/>
          </w:tcPr>
          <w:p>
            <w:pPr>
              <w:pStyle w:val="10"/>
              <w:spacing w:before="127"/>
              <w:ind w:left="8"/>
              <w:jc w:val="center"/>
              <w:rPr>
                <w:sz w:val="20"/>
              </w:rPr>
            </w:pPr>
            <w:r>
              <w:rPr>
                <w:spacing w:val="-4"/>
                <w:sz w:val="20"/>
              </w:rPr>
              <w:t>0.00</w:t>
            </w:r>
          </w:p>
        </w:tc>
        <w:tc>
          <w:tcPr>
            <w:tcW w:w="1133" w:type="dxa"/>
          </w:tcPr>
          <w:p>
            <w:pPr>
              <w:pStyle w:val="10"/>
              <w:spacing w:before="127"/>
              <w:ind w:left="10" w:right="2"/>
              <w:jc w:val="center"/>
              <w:rPr>
                <w:sz w:val="20"/>
              </w:rPr>
            </w:pPr>
            <w:r>
              <w:rPr>
                <w:spacing w:val="-2"/>
                <w:sz w:val="20"/>
              </w:rPr>
              <w:t>10.00</w:t>
            </w:r>
          </w:p>
        </w:tc>
        <w:tc>
          <w:tcPr>
            <w:tcW w:w="1135" w:type="dxa"/>
          </w:tcPr>
          <w:p>
            <w:pPr>
              <w:pStyle w:val="10"/>
              <w:spacing w:before="127"/>
              <w:ind w:left="6"/>
              <w:jc w:val="center"/>
              <w:rPr>
                <w:sz w:val="20"/>
              </w:rPr>
            </w:pPr>
            <w:r>
              <w:rPr>
                <w:spacing w:val="-2"/>
                <w:sz w:val="20"/>
              </w:rPr>
              <w:t>10.00</w:t>
            </w:r>
          </w:p>
        </w:tc>
        <w:tc>
          <w:tcPr>
            <w:tcW w:w="566" w:type="dxa"/>
          </w:tcPr>
          <w:p>
            <w:pPr>
              <w:pStyle w:val="10"/>
              <w:spacing w:before="127"/>
              <w:ind w:left="9"/>
              <w:jc w:val="center"/>
              <w:rPr>
                <w:sz w:val="20"/>
              </w:rPr>
            </w:pPr>
            <w:r>
              <w:rPr>
                <w:spacing w:val="-5"/>
                <w:sz w:val="20"/>
              </w:rPr>
              <w:t>10</w:t>
            </w:r>
          </w:p>
        </w:tc>
        <w:tc>
          <w:tcPr>
            <w:tcW w:w="991" w:type="dxa"/>
          </w:tcPr>
          <w:p>
            <w:pPr>
              <w:pStyle w:val="10"/>
              <w:spacing w:before="127"/>
              <w:ind w:left="12" w:right="5"/>
              <w:jc w:val="center"/>
              <w:rPr>
                <w:sz w:val="20"/>
              </w:rPr>
            </w:pPr>
            <w:r>
              <w:rPr>
                <w:spacing w:val="-2"/>
                <w:sz w:val="20"/>
              </w:rPr>
              <w:t>100.00%</w:t>
            </w:r>
          </w:p>
        </w:tc>
        <w:tc>
          <w:tcPr>
            <w:tcW w:w="1134" w:type="dxa"/>
          </w:tcPr>
          <w:p>
            <w:pPr>
              <w:pStyle w:val="10"/>
              <w:spacing w:before="127"/>
              <w:ind w:left="190"/>
              <w:rPr>
                <w:sz w:val="20"/>
              </w:rPr>
            </w:pPr>
            <w:r>
              <w:rPr>
                <w:spacing w:val="-2"/>
                <w:sz w:val="20"/>
              </w:rPr>
              <w:t>10.00</w:t>
            </w:r>
            <w:r>
              <w:rPr>
                <w:spacing w:val="-26"/>
                <w:sz w:val="20"/>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277" w:type="dxa"/>
            <w:gridSpan w:val="2"/>
            <w:vMerge w:val="continue"/>
            <w:tcBorders>
              <w:top w:val="nil"/>
            </w:tcBorders>
          </w:tcPr>
          <w:p>
            <w:pPr>
              <w:rPr>
                <w:sz w:val="2"/>
                <w:szCs w:val="2"/>
              </w:rPr>
            </w:pPr>
          </w:p>
        </w:tc>
        <w:tc>
          <w:tcPr>
            <w:tcW w:w="1129" w:type="dxa"/>
          </w:tcPr>
          <w:p>
            <w:pPr>
              <w:pStyle w:val="10"/>
              <w:spacing w:line="260" w:lineRule="exact"/>
              <w:ind w:left="102"/>
              <w:rPr>
                <w:sz w:val="20"/>
              </w:rPr>
            </w:pPr>
            <w:r>
              <w:rPr>
                <w:spacing w:val="-21"/>
                <w:sz w:val="20"/>
              </w:rPr>
              <w:t>其中：当年</w:t>
            </w:r>
          </w:p>
          <w:p>
            <w:pPr>
              <w:pStyle w:val="10"/>
              <w:spacing w:line="241" w:lineRule="exact"/>
              <w:ind w:left="160"/>
              <w:rPr>
                <w:sz w:val="20"/>
              </w:rPr>
            </w:pPr>
            <w:r>
              <w:rPr>
                <w:spacing w:val="-4"/>
                <w:sz w:val="20"/>
              </w:rPr>
              <w:t>财政拨款</w:t>
            </w:r>
          </w:p>
        </w:tc>
        <w:tc>
          <w:tcPr>
            <w:tcW w:w="1277" w:type="dxa"/>
          </w:tcPr>
          <w:p>
            <w:pPr>
              <w:pStyle w:val="10"/>
              <w:spacing w:before="129"/>
              <w:ind w:left="8"/>
              <w:jc w:val="center"/>
              <w:rPr>
                <w:sz w:val="20"/>
              </w:rPr>
            </w:pPr>
            <w:r>
              <w:rPr>
                <w:spacing w:val="-4"/>
                <w:sz w:val="20"/>
              </w:rPr>
              <w:t>0.00</w:t>
            </w:r>
          </w:p>
        </w:tc>
        <w:tc>
          <w:tcPr>
            <w:tcW w:w="1133" w:type="dxa"/>
          </w:tcPr>
          <w:p>
            <w:pPr>
              <w:pStyle w:val="10"/>
              <w:spacing w:before="129"/>
              <w:ind w:left="10" w:right="2"/>
              <w:jc w:val="center"/>
              <w:rPr>
                <w:sz w:val="20"/>
              </w:rPr>
            </w:pPr>
            <w:r>
              <w:rPr>
                <w:spacing w:val="-2"/>
                <w:sz w:val="20"/>
              </w:rPr>
              <w:t>10.00</w:t>
            </w:r>
          </w:p>
        </w:tc>
        <w:tc>
          <w:tcPr>
            <w:tcW w:w="1135" w:type="dxa"/>
          </w:tcPr>
          <w:p>
            <w:pPr>
              <w:pStyle w:val="10"/>
              <w:spacing w:before="129"/>
              <w:ind w:left="6"/>
              <w:jc w:val="center"/>
              <w:rPr>
                <w:sz w:val="20"/>
              </w:rPr>
            </w:pPr>
            <w:r>
              <w:rPr>
                <w:spacing w:val="-2"/>
                <w:sz w:val="20"/>
              </w:rPr>
              <w:t>10.00</w:t>
            </w:r>
          </w:p>
        </w:tc>
        <w:tc>
          <w:tcPr>
            <w:tcW w:w="566" w:type="dxa"/>
          </w:tcPr>
          <w:p>
            <w:pPr>
              <w:pStyle w:val="10"/>
              <w:spacing w:before="129"/>
              <w:ind w:left="9" w:right="3"/>
              <w:jc w:val="center"/>
              <w:rPr>
                <w:sz w:val="20"/>
              </w:rPr>
            </w:pPr>
            <w:r>
              <w:rPr>
                <w:spacing w:val="-10"/>
                <w:sz w:val="20"/>
              </w:rPr>
              <w:t>—</w:t>
            </w:r>
          </w:p>
        </w:tc>
        <w:tc>
          <w:tcPr>
            <w:tcW w:w="991" w:type="dxa"/>
          </w:tcPr>
          <w:p>
            <w:pPr>
              <w:pStyle w:val="10"/>
              <w:spacing w:before="129"/>
              <w:ind w:left="12" w:right="3"/>
              <w:jc w:val="center"/>
              <w:rPr>
                <w:sz w:val="20"/>
              </w:rPr>
            </w:pPr>
            <w:r>
              <w:rPr>
                <w:spacing w:val="-10"/>
                <w:sz w:val="20"/>
              </w:rPr>
              <w:t>—</w:t>
            </w:r>
          </w:p>
        </w:tc>
        <w:tc>
          <w:tcPr>
            <w:tcW w:w="1134" w:type="dxa"/>
          </w:tcPr>
          <w:p>
            <w:pPr>
              <w:pStyle w:val="10"/>
              <w:spacing w:before="129"/>
              <w:ind w:left="7"/>
              <w:jc w:val="center"/>
              <w:rPr>
                <w:sz w:val="20"/>
              </w:rPr>
            </w:pPr>
            <w:r>
              <w:rPr>
                <w:spacing w:val="-10"/>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277" w:type="dxa"/>
            <w:gridSpan w:val="2"/>
            <w:vMerge w:val="continue"/>
            <w:tcBorders>
              <w:top w:val="nil"/>
            </w:tcBorders>
          </w:tcPr>
          <w:p>
            <w:pPr>
              <w:rPr>
                <w:sz w:val="2"/>
                <w:szCs w:val="2"/>
              </w:rPr>
            </w:pPr>
          </w:p>
        </w:tc>
        <w:tc>
          <w:tcPr>
            <w:tcW w:w="1129" w:type="dxa"/>
          </w:tcPr>
          <w:p>
            <w:pPr>
              <w:pStyle w:val="10"/>
              <w:spacing w:line="258" w:lineRule="exact"/>
              <w:ind w:right="1"/>
              <w:jc w:val="center"/>
              <w:rPr>
                <w:sz w:val="20"/>
              </w:rPr>
            </w:pPr>
            <w:r>
              <w:rPr>
                <w:spacing w:val="-4"/>
                <w:sz w:val="20"/>
              </w:rPr>
              <w:t>上年结转</w:t>
            </w:r>
          </w:p>
          <w:p>
            <w:pPr>
              <w:pStyle w:val="10"/>
              <w:spacing w:before="1" w:line="241" w:lineRule="exact"/>
              <w:ind w:right="1"/>
              <w:jc w:val="center"/>
              <w:rPr>
                <w:sz w:val="20"/>
              </w:rPr>
            </w:pPr>
            <w:r>
              <w:rPr>
                <w:spacing w:val="-6"/>
                <w:sz w:val="20"/>
              </w:rPr>
              <w:t>资金</w:t>
            </w:r>
          </w:p>
        </w:tc>
        <w:tc>
          <w:tcPr>
            <w:tcW w:w="1277" w:type="dxa"/>
          </w:tcPr>
          <w:p>
            <w:pPr>
              <w:pStyle w:val="10"/>
              <w:spacing w:before="129"/>
              <w:ind w:left="8" w:right="2"/>
              <w:jc w:val="center"/>
              <w:rPr>
                <w:sz w:val="20"/>
              </w:rPr>
            </w:pPr>
            <w:r>
              <w:rPr>
                <w:spacing w:val="-10"/>
                <w:sz w:val="20"/>
              </w:rPr>
              <w:t>0</w:t>
            </w:r>
          </w:p>
        </w:tc>
        <w:tc>
          <w:tcPr>
            <w:tcW w:w="1133" w:type="dxa"/>
          </w:tcPr>
          <w:p>
            <w:pPr>
              <w:pStyle w:val="10"/>
              <w:spacing w:before="129"/>
              <w:ind w:left="10" w:right="4"/>
              <w:jc w:val="center"/>
              <w:rPr>
                <w:sz w:val="20"/>
              </w:rPr>
            </w:pPr>
            <w:r>
              <w:rPr>
                <w:spacing w:val="-10"/>
                <w:sz w:val="20"/>
              </w:rPr>
              <w:t>0</w:t>
            </w:r>
          </w:p>
        </w:tc>
        <w:tc>
          <w:tcPr>
            <w:tcW w:w="1135" w:type="dxa"/>
          </w:tcPr>
          <w:p>
            <w:pPr>
              <w:pStyle w:val="10"/>
              <w:spacing w:before="129"/>
              <w:ind w:left="6" w:right="2"/>
              <w:jc w:val="center"/>
              <w:rPr>
                <w:sz w:val="20"/>
              </w:rPr>
            </w:pPr>
            <w:r>
              <w:rPr>
                <w:spacing w:val="-10"/>
                <w:sz w:val="20"/>
              </w:rPr>
              <w:t>0</w:t>
            </w:r>
          </w:p>
        </w:tc>
        <w:tc>
          <w:tcPr>
            <w:tcW w:w="566" w:type="dxa"/>
          </w:tcPr>
          <w:p>
            <w:pPr>
              <w:pStyle w:val="10"/>
              <w:spacing w:before="129"/>
              <w:ind w:left="9" w:right="3"/>
              <w:jc w:val="center"/>
              <w:rPr>
                <w:sz w:val="20"/>
              </w:rPr>
            </w:pPr>
            <w:r>
              <w:rPr>
                <w:spacing w:val="-10"/>
                <w:sz w:val="20"/>
              </w:rPr>
              <w:t>—</w:t>
            </w:r>
          </w:p>
        </w:tc>
        <w:tc>
          <w:tcPr>
            <w:tcW w:w="991" w:type="dxa"/>
          </w:tcPr>
          <w:p>
            <w:pPr>
              <w:pStyle w:val="10"/>
              <w:spacing w:before="129"/>
              <w:ind w:left="12" w:right="3"/>
              <w:jc w:val="center"/>
              <w:rPr>
                <w:sz w:val="20"/>
              </w:rPr>
            </w:pPr>
            <w:r>
              <w:rPr>
                <w:spacing w:val="-10"/>
                <w:sz w:val="20"/>
              </w:rPr>
              <w:t>—</w:t>
            </w:r>
          </w:p>
        </w:tc>
        <w:tc>
          <w:tcPr>
            <w:tcW w:w="1134" w:type="dxa"/>
          </w:tcPr>
          <w:p>
            <w:pPr>
              <w:pStyle w:val="10"/>
              <w:spacing w:before="129"/>
              <w:ind w:left="7"/>
              <w:jc w:val="center"/>
              <w:rPr>
                <w:sz w:val="20"/>
              </w:rPr>
            </w:pPr>
            <w:r>
              <w:rPr>
                <w:spacing w:val="-10"/>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277" w:type="dxa"/>
            <w:gridSpan w:val="2"/>
            <w:vMerge w:val="continue"/>
            <w:tcBorders>
              <w:top w:val="nil"/>
            </w:tcBorders>
          </w:tcPr>
          <w:p>
            <w:pPr>
              <w:rPr>
                <w:sz w:val="2"/>
                <w:szCs w:val="2"/>
              </w:rPr>
            </w:pPr>
          </w:p>
        </w:tc>
        <w:tc>
          <w:tcPr>
            <w:tcW w:w="1129" w:type="dxa"/>
          </w:tcPr>
          <w:p>
            <w:pPr>
              <w:pStyle w:val="10"/>
              <w:spacing w:before="8" w:line="253" w:lineRule="exact"/>
              <w:ind w:right="1"/>
              <w:jc w:val="center"/>
              <w:rPr>
                <w:sz w:val="20"/>
              </w:rPr>
            </w:pPr>
            <w:r>
              <w:rPr>
                <w:spacing w:val="-4"/>
                <w:sz w:val="20"/>
              </w:rPr>
              <w:t>其他资金</w:t>
            </w:r>
          </w:p>
        </w:tc>
        <w:tc>
          <w:tcPr>
            <w:tcW w:w="1277" w:type="dxa"/>
          </w:tcPr>
          <w:p>
            <w:pPr>
              <w:pStyle w:val="10"/>
              <w:spacing w:before="8" w:line="253" w:lineRule="exact"/>
              <w:ind w:left="8" w:right="2"/>
              <w:jc w:val="center"/>
              <w:rPr>
                <w:sz w:val="20"/>
              </w:rPr>
            </w:pPr>
            <w:r>
              <w:rPr>
                <w:spacing w:val="-10"/>
                <w:sz w:val="20"/>
              </w:rPr>
              <w:t>0</w:t>
            </w:r>
          </w:p>
        </w:tc>
        <w:tc>
          <w:tcPr>
            <w:tcW w:w="1133" w:type="dxa"/>
          </w:tcPr>
          <w:p>
            <w:pPr>
              <w:pStyle w:val="10"/>
              <w:spacing w:before="8" w:line="253" w:lineRule="exact"/>
              <w:ind w:left="10" w:right="4"/>
              <w:jc w:val="center"/>
              <w:rPr>
                <w:sz w:val="20"/>
              </w:rPr>
            </w:pPr>
            <w:r>
              <w:rPr>
                <w:spacing w:val="-10"/>
                <w:sz w:val="20"/>
              </w:rPr>
              <w:t>0</w:t>
            </w:r>
          </w:p>
        </w:tc>
        <w:tc>
          <w:tcPr>
            <w:tcW w:w="1135" w:type="dxa"/>
          </w:tcPr>
          <w:p>
            <w:pPr>
              <w:pStyle w:val="10"/>
              <w:spacing w:before="8" w:line="253" w:lineRule="exact"/>
              <w:ind w:left="6" w:right="2"/>
              <w:jc w:val="center"/>
              <w:rPr>
                <w:sz w:val="20"/>
              </w:rPr>
            </w:pPr>
            <w:r>
              <w:rPr>
                <w:spacing w:val="-10"/>
                <w:sz w:val="20"/>
              </w:rPr>
              <w:t>0</w:t>
            </w:r>
          </w:p>
        </w:tc>
        <w:tc>
          <w:tcPr>
            <w:tcW w:w="566" w:type="dxa"/>
          </w:tcPr>
          <w:p>
            <w:pPr>
              <w:pStyle w:val="10"/>
              <w:spacing w:before="8" w:line="253" w:lineRule="exact"/>
              <w:ind w:left="9" w:right="3"/>
              <w:jc w:val="center"/>
              <w:rPr>
                <w:sz w:val="20"/>
              </w:rPr>
            </w:pPr>
            <w:r>
              <w:rPr>
                <w:spacing w:val="-10"/>
                <w:sz w:val="20"/>
              </w:rPr>
              <w:t>—</w:t>
            </w:r>
          </w:p>
        </w:tc>
        <w:tc>
          <w:tcPr>
            <w:tcW w:w="991" w:type="dxa"/>
          </w:tcPr>
          <w:p>
            <w:pPr>
              <w:pStyle w:val="10"/>
              <w:spacing w:before="8" w:line="253" w:lineRule="exact"/>
              <w:ind w:left="12" w:right="3"/>
              <w:jc w:val="center"/>
              <w:rPr>
                <w:sz w:val="20"/>
              </w:rPr>
            </w:pPr>
            <w:r>
              <w:rPr>
                <w:spacing w:val="-10"/>
                <w:sz w:val="20"/>
              </w:rPr>
              <w:t>—</w:t>
            </w:r>
          </w:p>
        </w:tc>
        <w:tc>
          <w:tcPr>
            <w:tcW w:w="1134" w:type="dxa"/>
          </w:tcPr>
          <w:p>
            <w:pPr>
              <w:pStyle w:val="10"/>
              <w:spacing w:before="8" w:line="253" w:lineRule="exact"/>
              <w:ind w:left="7"/>
              <w:jc w:val="center"/>
              <w:rPr>
                <w:sz w:val="20"/>
              </w:rPr>
            </w:pPr>
            <w:r>
              <w:rPr>
                <w:spacing w:val="-10"/>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578" w:type="dxa"/>
            <w:vMerge w:val="restart"/>
          </w:tcPr>
          <w:p>
            <w:pPr>
              <w:pStyle w:val="10"/>
              <w:spacing w:before="12"/>
              <w:ind w:left="186" w:right="179"/>
              <w:jc w:val="both"/>
              <w:rPr>
                <w:sz w:val="20"/>
              </w:rPr>
            </w:pPr>
            <w:r>
              <w:rPr>
                <w:spacing w:val="-10"/>
                <w:sz w:val="20"/>
              </w:rPr>
              <w:t>年度总体目</w:t>
            </w:r>
          </w:p>
          <w:p>
            <w:pPr>
              <w:pStyle w:val="10"/>
              <w:spacing w:before="1" w:line="258" w:lineRule="exact"/>
              <w:ind w:left="186"/>
              <w:rPr>
                <w:sz w:val="20"/>
              </w:rPr>
            </w:pPr>
            <w:r>
              <w:rPr>
                <w:spacing w:val="-10"/>
                <w:sz w:val="20"/>
              </w:rPr>
              <w:t>标</w:t>
            </w:r>
          </w:p>
        </w:tc>
        <w:tc>
          <w:tcPr>
            <w:tcW w:w="4238" w:type="dxa"/>
            <w:gridSpan w:val="4"/>
          </w:tcPr>
          <w:p>
            <w:pPr>
              <w:pStyle w:val="10"/>
              <w:spacing w:before="7" w:line="253" w:lineRule="exact"/>
              <w:ind w:left="2"/>
              <w:jc w:val="center"/>
              <w:rPr>
                <w:sz w:val="20"/>
              </w:rPr>
            </w:pPr>
            <w:r>
              <w:rPr>
                <w:spacing w:val="-4"/>
                <w:sz w:val="20"/>
              </w:rPr>
              <w:t>预期目标</w:t>
            </w:r>
          </w:p>
        </w:tc>
        <w:tc>
          <w:tcPr>
            <w:tcW w:w="3826" w:type="dxa"/>
            <w:gridSpan w:val="4"/>
          </w:tcPr>
          <w:p>
            <w:pPr>
              <w:pStyle w:val="10"/>
              <w:spacing w:before="7" w:line="253" w:lineRule="exact"/>
              <w:ind w:left="5"/>
              <w:jc w:val="center"/>
              <w:rPr>
                <w:sz w:val="20"/>
              </w:rPr>
            </w:pPr>
            <w:r>
              <w:rPr>
                <w:spacing w:val="-4"/>
                <w:sz w:val="20"/>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00" w:hRule="atLeast"/>
        </w:trPr>
        <w:tc>
          <w:tcPr>
            <w:tcW w:w="578" w:type="dxa"/>
            <w:vMerge w:val="continue"/>
            <w:tcBorders>
              <w:top w:val="nil"/>
            </w:tcBorders>
          </w:tcPr>
          <w:p>
            <w:pPr>
              <w:rPr>
                <w:sz w:val="2"/>
                <w:szCs w:val="2"/>
              </w:rPr>
            </w:pPr>
          </w:p>
        </w:tc>
        <w:tc>
          <w:tcPr>
            <w:tcW w:w="4238" w:type="dxa"/>
            <w:gridSpan w:val="4"/>
          </w:tcPr>
          <w:p>
            <w:pPr>
              <w:pStyle w:val="10"/>
              <w:spacing w:before="127"/>
              <w:ind w:left="103" w:right="125"/>
              <w:jc w:val="both"/>
              <w:rPr>
                <w:sz w:val="20"/>
              </w:rPr>
            </w:pPr>
            <w:r>
              <w:rPr>
                <w:spacing w:val="-2"/>
                <w:sz w:val="20"/>
              </w:rPr>
              <w:t>雅山后山温室种植着一批植物，将完善雅山后山温室的管理工作及燃气费及时缴纳，保障取暖正常供应，温室正常运转，提高雅山后山温室花草植物的存活率</w:t>
            </w:r>
          </w:p>
        </w:tc>
        <w:tc>
          <w:tcPr>
            <w:tcW w:w="3826" w:type="dxa"/>
            <w:gridSpan w:val="4"/>
          </w:tcPr>
          <w:p>
            <w:pPr>
              <w:pStyle w:val="10"/>
              <w:ind w:left="107" w:right="100" w:firstLine="100"/>
              <w:jc w:val="both"/>
              <w:rPr>
                <w:sz w:val="20"/>
              </w:rPr>
            </w:pPr>
            <w:r>
              <w:rPr>
                <w:spacing w:val="-8"/>
                <w:sz w:val="20"/>
              </w:rPr>
              <w:t>加强对雅山后山温室进一步管理，促进植</w:t>
            </w:r>
            <w:r>
              <w:rPr>
                <w:spacing w:val="-2"/>
                <w:sz w:val="20"/>
              </w:rPr>
              <w:t>物良好的养护和成长，完善雅山后山温室的管理工作及燃气费及时缴纳，保障取暖</w:t>
            </w:r>
            <w:r>
              <w:rPr>
                <w:spacing w:val="-3"/>
                <w:sz w:val="20"/>
              </w:rPr>
              <w:t>正常供应，温室能正常运转，确保雅山后</w:t>
            </w:r>
          </w:p>
          <w:p>
            <w:pPr>
              <w:pStyle w:val="10"/>
              <w:spacing w:line="243" w:lineRule="exact"/>
              <w:ind w:left="107"/>
              <w:rPr>
                <w:sz w:val="20"/>
              </w:rPr>
            </w:pPr>
            <w:r>
              <w:rPr>
                <w:spacing w:val="-3"/>
                <w:sz w:val="20"/>
              </w:rPr>
              <w:t>山温室花草植物的存活率.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79" w:hRule="atLeast"/>
        </w:trPr>
        <w:tc>
          <w:tcPr>
            <w:tcW w:w="578" w:type="dxa"/>
          </w:tcPr>
          <w:p>
            <w:pPr>
              <w:pStyle w:val="10"/>
              <w:rPr>
                <w:rFonts w:ascii="Times New Roman"/>
                <w:sz w:val="18"/>
              </w:rPr>
            </w:pPr>
          </w:p>
        </w:tc>
        <w:tc>
          <w:tcPr>
            <w:tcW w:w="699" w:type="dxa"/>
          </w:tcPr>
          <w:p>
            <w:pPr>
              <w:pStyle w:val="10"/>
              <w:spacing w:before="127"/>
              <w:ind w:left="141" w:right="146"/>
              <w:rPr>
                <w:sz w:val="20"/>
              </w:rPr>
            </w:pPr>
            <w:r>
              <w:rPr>
                <w:spacing w:val="-6"/>
                <w:sz w:val="20"/>
              </w:rPr>
              <w:t>一级指标</w:t>
            </w:r>
          </w:p>
        </w:tc>
        <w:tc>
          <w:tcPr>
            <w:tcW w:w="1129" w:type="dxa"/>
          </w:tcPr>
          <w:p>
            <w:pPr>
              <w:pStyle w:val="10"/>
              <w:spacing w:before="257"/>
              <w:ind w:right="1"/>
              <w:jc w:val="center"/>
              <w:rPr>
                <w:sz w:val="20"/>
              </w:rPr>
            </w:pPr>
            <w:r>
              <w:rPr>
                <w:spacing w:val="-4"/>
                <w:sz w:val="20"/>
              </w:rPr>
              <w:t>二级指标</w:t>
            </w:r>
          </w:p>
        </w:tc>
        <w:tc>
          <w:tcPr>
            <w:tcW w:w="1277" w:type="dxa"/>
          </w:tcPr>
          <w:p>
            <w:pPr>
              <w:pStyle w:val="10"/>
              <w:spacing w:before="257"/>
              <w:ind w:left="236"/>
              <w:rPr>
                <w:sz w:val="20"/>
              </w:rPr>
            </w:pPr>
            <w:r>
              <w:rPr>
                <w:spacing w:val="-4"/>
                <w:sz w:val="20"/>
              </w:rPr>
              <w:t>三级指标</w:t>
            </w:r>
          </w:p>
        </w:tc>
        <w:tc>
          <w:tcPr>
            <w:tcW w:w="1133" w:type="dxa"/>
          </w:tcPr>
          <w:p>
            <w:pPr>
              <w:pStyle w:val="10"/>
              <w:spacing w:before="127"/>
              <w:ind w:left="464" w:right="159" w:hanging="300"/>
              <w:rPr>
                <w:sz w:val="20"/>
              </w:rPr>
            </w:pPr>
            <w:r>
              <w:rPr>
                <w:spacing w:val="-4"/>
                <w:sz w:val="20"/>
              </w:rPr>
              <w:t>年度指标</w:t>
            </w:r>
            <w:r>
              <w:rPr>
                <w:spacing w:val="-10"/>
                <w:sz w:val="20"/>
              </w:rPr>
              <w:t>值</w:t>
            </w:r>
          </w:p>
        </w:tc>
        <w:tc>
          <w:tcPr>
            <w:tcW w:w="1135" w:type="dxa"/>
          </w:tcPr>
          <w:p>
            <w:pPr>
              <w:pStyle w:val="10"/>
              <w:spacing w:before="127"/>
              <w:ind w:left="464" w:right="161" w:hanging="300"/>
              <w:rPr>
                <w:sz w:val="20"/>
              </w:rPr>
            </w:pPr>
            <w:r>
              <w:rPr>
                <w:spacing w:val="-4"/>
                <w:sz w:val="20"/>
              </w:rPr>
              <w:t>实际完成</w:t>
            </w:r>
            <w:r>
              <w:rPr>
                <w:spacing w:val="-10"/>
                <w:sz w:val="20"/>
              </w:rPr>
              <w:t>值</w:t>
            </w:r>
          </w:p>
        </w:tc>
        <w:tc>
          <w:tcPr>
            <w:tcW w:w="566" w:type="dxa"/>
          </w:tcPr>
          <w:p>
            <w:pPr>
              <w:pStyle w:val="10"/>
              <w:spacing w:before="127"/>
              <w:ind w:left="181" w:right="173"/>
              <w:rPr>
                <w:sz w:val="20"/>
              </w:rPr>
            </w:pPr>
            <w:r>
              <w:rPr>
                <w:spacing w:val="-10"/>
                <w:sz w:val="20"/>
              </w:rPr>
              <w:t>分值</w:t>
            </w:r>
          </w:p>
        </w:tc>
        <w:tc>
          <w:tcPr>
            <w:tcW w:w="991" w:type="dxa"/>
          </w:tcPr>
          <w:p>
            <w:pPr>
              <w:pStyle w:val="10"/>
              <w:spacing w:before="257"/>
              <w:ind w:left="12" w:right="5"/>
              <w:jc w:val="center"/>
              <w:rPr>
                <w:sz w:val="20"/>
              </w:rPr>
            </w:pPr>
            <w:r>
              <w:rPr>
                <w:spacing w:val="-6"/>
                <w:sz w:val="20"/>
              </w:rPr>
              <w:t>得分</w:t>
            </w:r>
          </w:p>
        </w:tc>
        <w:tc>
          <w:tcPr>
            <w:tcW w:w="1134" w:type="dxa"/>
          </w:tcPr>
          <w:p>
            <w:pPr>
              <w:pStyle w:val="10"/>
              <w:ind w:left="166" w:right="159"/>
              <w:jc w:val="right"/>
              <w:rPr>
                <w:sz w:val="20"/>
              </w:rPr>
            </w:pPr>
            <w:r>
              <w:rPr>
                <w:spacing w:val="-4"/>
                <w:sz w:val="20"/>
              </w:rPr>
              <w:t>偏差原因分析及改</w:t>
            </w:r>
          </w:p>
          <w:p>
            <w:pPr>
              <w:pStyle w:val="10"/>
              <w:spacing w:line="242" w:lineRule="exact"/>
              <w:ind w:right="257"/>
              <w:jc w:val="right"/>
              <w:rPr>
                <w:sz w:val="20"/>
              </w:rPr>
            </w:pPr>
            <w:r>
              <w:rPr>
                <w:spacing w:val="-5"/>
                <w:sz w:val="20"/>
              </w:rPr>
              <w:t>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578" w:type="dxa"/>
            <w:vMerge w:val="restart"/>
          </w:tcPr>
          <w:p>
            <w:pPr>
              <w:pStyle w:val="10"/>
              <w:rPr>
                <w:sz w:val="20"/>
              </w:rPr>
            </w:pPr>
          </w:p>
          <w:p>
            <w:pPr>
              <w:pStyle w:val="10"/>
              <w:rPr>
                <w:sz w:val="20"/>
              </w:rPr>
            </w:pPr>
          </w:p>
          <w:p>
            <w:pPr>
              <w:pStyle w:val="10"/>
              <w:rPr>
                <w:sz w:val="20"/>
              </w:rPr>
            </w:pPr>
          </w:p>
          <w:p>
            <w:pPr>
              <w:pStyle w:val="10"/>
              <w:rPr>
                <w:sz w:val="20"/>
              </w:rPr>
            </w:pPr>
          </w:p>
          <w:p>
            <w:pPr>
              <w:pStyle w:val="10"/>
              <w:spacing w:before="250"/>
              <w:rPr>
                <w:sz w:val="20"/>
              </w:rPr>
            </w:pPr>
          </w:p>
          <w:p>
            <w:pPr>
              <w:pStyle w:val="10"/>
              <w:spacing w:before="1"/>
              <w:ind w:left="186" w:right="179"/>
              <w:jc w:val="both"/>
              <w:rPr>
                <w:sz w:val="20"/>
              </w:rPr>
            </w:pPr>
            <w:r>
              <w:rPr>
                <w:spacing w:val="-10"/>
                <w:sz w:val="20"/>
              </w:rPr>
              <w:t>年度绩效指标完成情况</w:t>
            </w:r>
          </w:p>
        </w:tc>
        <w:tc>
          <w:tcPr>
            <w:tcW w:w="699" w:type="dxa"/>
            <w:vMerge w:val="restart"/>
          </w:tcPr>
          <w:p>
            <w:pPr>
              <w:pStyle w:val="10"/>
              <w:rPr>
                <w:sz w:val="20"/>
              </w:rPr>
            </w:pPr>
          </w:p>
          <w:p>
            <w:pPr>
              <w:pStyle w:val="10"/>
              <w:rPr>
                <w:sz w:val="20"/>
              </w:rPr>
            </w:pPr>
          </w:p>
          <w:p>
            <w:pPr>
              <w:pStyle w:val="10"/>
              <w:rPr>
                <w:sz w:val="20"/>
              </w:rPr>
            </w:pPr>
          </w:p>
          <w:p>
            <w:pPr>
              <w:pStyle w:val="10"/>
              <w:spacing w:before="59"/>
              <w:rPr>
                <w:sz w:val="20"/>
              </w:rPr>
            </w:pPr>
          </w:p>
          <w:p>
            <w:pPr>
              <w:pStyle w:val="10"/>
              <w:ind w:left="141" w:right="146"/>
              <w:rPr>
                <w:sz w:val="20"/>
              </w:rPr>
            </w:pPr>
            <w:r>
              <w:rPr>
                <w:spacing w:val="-6"/>
                <w:sz w:val="20"/>
              </w:rPr>
              <w:t>产出指标</w:t>
            </w:r>
          </w:p>
        </w:tc>
        <w:tc>
          <w:tcPr>
            <w:tcW w:w="1129" w:type="dxa"/>
          </w:tcPr>
          <w:p>
            <w:pPr>
              <w:pStyle w:val="10"/>
              <w:spacing w:before="137"/>
              <w:ind w:right="1"/>
              <w:jc w:val="center"/>
              <w:rPr>
                <w:sz w:val="20"/>
              </w:rPr>
            </w:pPr>
            <w:r>
              <w:rPr>
                <w:spacing w:val="-4"/>
                <w:sz w:val="20"/>
              </w:rPr>
              <w:t>数量指标</w:t>
            </w:r>
          </w:p>
        </w:tc>
        <w:tc>
          <w:tcPr>
            <w:tcW w:w="1277" w:type="dxa"/>
          </w:tcPr>
          <w:p>
            <w:pPr>
              <w:pStyle w:val="10"/>
              <w:spacing w:line="260" w:lineRule="exact"/>
              <w:ind w:left="107" w:right="159"/>
              <w:rPr>
                <w:sz w:val="20"/>
              </w:rPr>
            </w:pPr>
            <w:r>
              <w:rPr>
                <w:spacing w:val="-2"/>
                <w:sz w:val="20"/>
              </w:rPr>
              <w:t>购买燃气数</w:t>
            </w:r>
            <w:r>
              <w:rPr>
                <w:spacing w:val="-10"/>
                <w:sz w:val="20"/>
              </w:rPr>
              <w:t>量</w:t>
            </w:r>
          </w:p>
        </w:tc>
        <w:tc>
          <w:tcPr>
            <w:tcW w:w="1133" w:type="dxa"/>
          </w:tcPr>
          <w:p>
            <w:pPr>
              <w:pStyle w:val="10"/>
              <w:spacing w:before="7" w:line="260" w:lineRule="exact"/>
              <w:ind w:left="10"/>
              <w:jc w:val="center"/>
              <w:rPr>
                <w:sz w:val="20"/>
              </w:rPr>
            </w:pPr>
            <w:r>
              <w:rPr>
                <w:spacing w:val="-2"/>
                <w:sz w:val="20"/>
              </w:rPr>
              <w:t>=72992</w:t>
            </w:r>
            <w:r>
              <w:rPr>
                <w:spacing w:val="-25"/>
                <w:sz w:val="20"/>
              </w:rPr>
              <w:t xml:space="preserve"> 立</w:t>
            </w:r>
          </w:p>
          <w:p>
            <w:pPr>
              <w:pStyle w:val="10"/>
              <w:spacing w:line="250" w:lineRule="exact"/>
              <w:ind w:left="10" w:right="8"/>
              <w:jc w:val="center"/>
              <w:rPr>
                <w:sz w:val="20"/>
              </w:rPr>
            </w:pPr>
            <w:r>
              <w:rPr>
                <w:spacing w:val="-6"/>
                <w:sz w:val="20"/>
              </w:rPr>
              <w:t>方米</w:t>
            </w:r>
          </w:p>
        </w:tc>
        <w:tc>
          <w:tcPr>
            <w:tcW w:w="1135" w:type="dxa"/>
          </w:tcPr>
          <w:p>
            <w:pPr>
              <w:pStyle w:val="10"/>
              <w:spacing w:before="7" w:line="260" w:lineRule="exact"/>
              <w:ind w:left="6" w:right="3"/>
              <w:jc w:val="center"/>
              <w:rPr>
                <w:sz w:val="20"/>
              </w:rPr>
            </w:pPr>
            <w:r>
              <w:rPr>
                <w:spacing w:val="-2"/>
                <w:sz w:val="20"/>
              </w:rPr>
              <w:t>72992</w:t>
            </w:r>
            <w:r>
              <w:rPr>
                <w:spacing w:val="-26"/>
                <w:sz w:val="20"/>
              </w:rPr>
              <w:t xml:space="preserve"> 立</w:t>
            </w:r>
          </w:p>
          <w:p>
            <w:pPr>
              <w:pStyle w:val="10"/>
              <w:spacing w:line="250" w:lineRule="exact"/>
              <w:ind w:left="6" w:right="5"/>
              <w:jc w:val="center"/>
              <w:rPr>
                <w:sz w:val="20"/>
              </w:rPr>
            </w:pPr>
            <w:r>
              <w:rPr>
                <w:spacing w:val="-6"/>
                <w:sz w:val="20"/>
              </w:rPr>
              <w:t>方米</w:t>
            </w:r>
          </w:p>
        </w:tc>
        <w:tc>
          <w:tcPr>
            <w:tcW w:w="566" w:type="dxa"/>
          </w:tcPr>
          <w:p>
            <w:pPr>
              <w:pStyle w:val="10"/>
              <w:spacing w:before="137"/>
              <w:ind w:left="9"/>
              <w:jc w:val="center"/>
              <w:rPr>
                <w:sz w:val="20"/>
              </w:rPr>
            </w:pPr>
            <w:r>
              <w:rPr>
                <w:spacing w:val="-5"/>
                <w:sz w:val="20"/>
              </w:rPr>
              <w:t>10</w:t>
            </w:r>
          </w:p>
        </w:tc>
        <w:tc>
          <w:tcPr>
            <w:tcW w:w="991" w:type="dxa"/>
          </w:tcPr>
          <w:p>
            <w:pPr>
              <w:pStyle w:val="10"/>
              <w:spacing w:before="137"/>
              <w:ind w:left="12"/>
              <w:jc w:val="center"/>
              <w:rPr>
                <w:sz w:val="20"/>
              </w:rPr>
            </w:pPr>
            <w:r>
              <w:rPr>
                <w:spacing w:val="-5"/>
                <w:sz w:val="20"/>
              </w:rPr>
              <w:t>10</w:t>
            </w: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578" w:type="dxa"/>
            <w:vMerge w:val="continue"/>
            <w:tcBorders>
              <w:top w:val="nil"/>
            </w:tcBorders>
          </w:tcPr>
          <w:p>
            <w:pPr>
              <w:rPr>
                <w:sz w:val="2"/>
                <w:szCs w:val="2"/>
              </w:rPr>
            </w:pPr>
          </w:p>
        </w:tc>
        <w:tc>
          <w:tcPr>
            <w:tcW w:w="699" w:type="dxa"/>
            <w:vMerge w:val="continue"/>
            <w:tcBorders>
              <w:top w:val="nil"/>
            </w:tcBorders>
          </w:tcPr>
          <w:p>
            <w:pPr>
              <w:rPr>
                <w:sz w:val="2"/>
                <w:szCs w:val="2"/>
              </w:rPr>
            </w:pPr>
          </w:p>
        </w:tc>
        <w:tc>
          <w:tcPr>
            <w:tcW w:w="1129" w:type="dxa"/>
          </w:tcPr>
          <w:p>
            <w:pPr>
              <w:pStyle w:val="10"/>
              <w:spacing w:before="137"/>
              <w:ind w:right="1"/>
              <w:jc w:val="center"/>
              <w:rPr>
                <w:sz w:val="20"/>
              </w:rPr>
            </w:pPr>
            <w:r>
              <w:rPr>
                <w:spacing w:val="-4"/>
                <w:sz w:val="20"/>
              </w:rPr>
              <w:t>数量指标</w:t>
            </w:r>
          </w:p>
        </w:tc>
        <w:tc>
          <w:tcPr>
            <w:tcW w:w="1277" w:type="dxa"/>
          </w:tcPr>
          <w:p>
            <w:pPr>
              <w:pStyle w:val="10"/>
              <w:spacing w:before="137"/>
              <w:ind w:left="107"/>
              <w:rPr>
                <w:sz w:val="20"/>
              </w:rPr>
            </w:pPr>
            <w:r>
              <w:rPr>
                <w:spacing w:val="-4"/>
                <w:sz w:val="20"/>
              </w:rPr>
              <w:t>供暖面积</w:t>
            </w:r>
          </w:p>
        </w:tc>
        <w:tc>
          <w:tcPr>
            <w:tcW w:w="1133" w:type="dxa"/>
          </w:tcPr>
          <w:p>
            <w:pPr>
              <w:pStyle w:val="10"/>
              <w:spacing w:before="7" w:line="260" w:lineRule="exact"/>
              <w:ind w:left="10" w:right="5"/>
              <w:jc w:val="center"/>
              <w:rPr>
                <w:sz w:val="20"/>
              </w:rPr>
            </w:pPr>
            <w:r>
              <w:rPr>
                <w:spacing w:val="-2"/>
                <w:sz w:val="20"/>
              </w:rPr>
              <w:t>=6500</w:t>
            </w:r>
            <w:r>
              <w:rPr>
                <w:spacing w:val="-26"/>
                <w:sz w:val="20"/>
              </w:rPr>
              <w:t xml:space="preserve"> 平</w:t>
            </w:r>
          </w:p>
          <w:p>
            <w:pPr>
              <w:pStyle w:val="10"/>
              <w:spacing w:line="251" w:lineRule="exact"/>
              <w:ind w:left="10" w:right="8"/>
              <w:jc w:val="center"/>
              <w:rPr>
                <w:sz w:val="20"/>
              </w:rPr>
            </w:pPr>
            <w:r>
              <w:rPr>
                <w:spacing w:val="-6"/>
                <w:sz w:val="20"/>
              </w:rPr>
              <w:t>方米</w:t>
            </w:r>
          </w:p>
        </w:tc>
        <w:tc>
          <w:tcPr>
            <w:tcW w:w="1135" w:type="dxa"/>
          </w:tcPr>
          <w:p>
            <w:pPr>
              <w:pStyle w:val="10"/>
              <w:spacing w:line="260" w:lineRule="exact"/>
              <w:ind w:left="464" w:right="130" w:hanging="324"/>
              <w:rPr>
                <w:sz w:val="20"/>
              </w:rPr>
            </w:pPr>
            <w:r>
              <w:rPr>
                <w:spacing w:val="-2"/>
                <w:sz w:val="20"/>
              </w:rPr>
              <w:t>6500</w:t>
            </w:r>
            <w:r>
              <w:rPr>
                <w:spacing w:val="-18"/>
                <w:sz w:val="20"/>
              </w:rPr>
              <w:t xml:space="preserve"> 平方</w:t>
            </w:r>
            <w:r>
              <w:rPr>
                <w:spacing w:val="-10"/>
                <w:sz w:val="20"/>
              </w:rPr>
              <w:t>米</w:t>
            </w:r>
          </w:p>
        </w:tc>
        <w:tc>
          <w:tcPr>
            <w:tcW w:w="566" w:type="dxa"/>
          </w:tcPr>
          <w:p>
            <w:pPr>
              <w:pStyle w:val="10"/>
              <w:spacing w:before="137"/>
              <w:ind w:left="9"/>
              <w:jc w:val="center"/>
              <w:rPr>
                <w:sz w:val="20"/>
              </w:rPr>
            </w:pPr>
            <w:r>
              <w:rPr>
                <w:spacing w:val="-5"/>
                <w:sz w:val="20"/>
              </w:rPr>
              <w:t>10</w:t>
            </w:r>
          </w:p>
        </w:tc>
        <w:tc>
          <w:tcPr>
            <w:tcW w:w="991" w:type="dxa"/>
          </w:tcPr>
          <w:p>
            <w:pPr>
              <w:pStyle w:val="10"/>
              <w:spacing w:before="137"/>
              <w:ind w:left="12"/>
              <w:jc w:val="center"/>
              <w:rPr>
                <w:sz w:val="20"/>
              </w:rPr>
            </w:pPr>
            <w:r>
              <w:rPr>
                <w:spacing w:val="-5"/>
                <w:sz w:val="20"/>
              </w:rPr>
              <w:t>10</w:t>
            </w: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578" w:type="dxa"/>
            <w:vMerge w:val="continue"/>
            <w:tcBorders>
              <w:top w:val="nil"/>
            </w:tcBorders>
          </w:tcPr>
          <w:p>
            <w:pPr>
              <w:rPr>
                <w:sz w:val="2"/>
                <w:szCs w:val="2"/>
              </w:rPr>
            </w:pPr>
          </w:p>
        </w:tc>
        <w:tc>
          <w:tcPr>
            <w:tcW w:w="699" w:type="dxa"/>
            <w:vMerge w:val="continue"/>
            <w:tcBorders>
              <w:top w:val="nil"/>
            </w:tcBorders>
          </w:tcPr>
          <w:p>
            <w:pPr>
              <w:rPr>
                <w:sz w:val="2"/>
                <w:szCs w:val="2"/>
              </w:rPr>
            </w:pPr>
          </w:p>
        </w:tc>
        <w:tc>
          <w:tcPr>
            <w:tcW w:w="1129" w:type="dxa"/>
          </w:tcPr>
          <w:p>
            <w:pPr>
              <w:pStyle w:val="10"/>
              <w:spacing w:before="9" w:line="251" w:lineRule="exact"/>
              <w:ind w:right="1"/>
              <w:jc w:val="center"/>
              <w:rPr>
                <w:sz w:val="20"/>
              </w:rPr>
            </w:pPr>
            <w:r>
              <w:rPr>
                <w:spacing w:val="-4"/>
                <w:sz w:val="20"/>
              </w:rPr>
              <w:t>质量指标</w:t>
            </w:r>
          </w:p>
        </w:tc>
        <w:tc>
          <w:tcPr>
            <w:tcW w:w="1277" w:type="dxa"/>
          </w:tcPr>
          <w:p>
            <w:pPr>
              <w:pStyle w:val="10"/>
              <w:spacing w:before="9" w:line="251" w:lineRule="exact"/>
              <w:ind w:left="107"/>
              <w:rPr>
                <w:sz w:val="20"/>
              </w:rPr>
            </w:pPr>
            <w:r>
              <w:rPr>
                <w:spacing w:val="-4"/>
                <w:sz w:val="20"/>
              </w:rPr>
              <w:t>资金到位率</w:t>
            </w:r>
          </w:p>
        </w:tc>
        <w:tc>
          <w:tcPr>
            <w:tcW w:w="1133" w:type="dxa"/>
          </w:tcPr>
          <w:p>
            <w:pPr>
              <w:pStyle w:val="10"/>
              <w:spacing w:before="9" w:line="251" w:lineRule="exact"/>
              <w:ind w:left="10" w:right="2"/>
              <w:jc w:val="center"/>
              <w:rPr>
                <w:sz w:val="20"/>
              </w:rPr>
            </w:pPr>
            <w:r>
              <w:rPr>
                <w:spacing w:val="-2"/>
                <w:sz w:val="20"/>
              </w:rPr>
              <w:t>=100%</w:t>
            </w:r>
          </w:p>
        </w:tc>
        <w:tc>
          <w:tcPr>
            <w:tcW w:w="1135" w:type="dxa"/>
          </w:tcPr>
          <w:p>
            <w:pPr>
              <w:pStyle w:val="10"/>
              <w:spacing w:before="9" w:line="251" w:lineRule="exact"/>
              <w:ind w:left="6"/>
              <w:jc w:val="center"/>
              <w:rPr>
                <w:sz w:val="20"/>
              </w:rPr>
            </w:pPr>
            <w:r>
              <w:rPr>
                <w:spacing w:val="-4"/>
                <w:sz w:val="20"/>
              </w:rPr>
              <w:t>100%</w:t>
            </w:r>
          </w:p>
        </w:tc>
        <w:tc>
          <w:tcPr>
            <w:tcW w:w="566" w:type="dxa"/>
          </w:tcPr>
          <w:p>
            <w:pPr>
              <w:pStyle w:val="10"/>
              <w:spacing w:before="9" w:line="251" w:lineRule="exact"/>
              <w:ind w:left="9"/>
              <w:jc w:val="center"/>
              <w:rPr>
                <w:sz w:val="20"/>
              </w:rPr>
            </w:pPr>
            <w:r>
              <w:rPr>
                <w:spacing w:val="-5"/>
                <w:sz w:val="20"/>
              </w:rPr>
              <w:t>10</w:t>
            </w:r>
          </w:p>
        </w:tc>
        <w:tc>
          <w:tcPr>
            <w:tcW w:w="991" w:type="dxa"/>
          </w:tcPr>
          <w:p>
            <w:pPr>
              <w:pStyle w:val="10"/>
              <w:spacing w:before="9" w:line="251" w:lineRule="exact"/>
              <w:ind w:left="12"/>
              <w:jc w:val="center"/>
              <w:rPr>
                <w:sz w:val="20"/>
              </w:rPr>
            </w:pPr>
            <w:r>
              <w:rPr>
                <w:spacing w:val="-5"/>
                <w:sz w:val="20"/>
              </w:rPr>
              <w:t>10</w:t>
            </w: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578" w:type="dxa"/>
            <w:vMerge w:val="continue"/>
            <w:tcBorders>
              <w:top w:val="nil"/>
            </w:tcBorders>
          </w:tcPr>
          <w:p>
            <w:pPr>
              <w:rPr>
                <w:sz w:val="2"/>
                <w:szCs w:val="2"/>
              </w:rPr>
            </w:pPr>
          </w:p>
        </w:tc>
        <w:tc>
          <w:tcPr>
            <w:tcW w:w="699" w:type="dxa"/>
            <w:vMerge w:val="continue"/>
            <w:tcBorders>
              <w:top w:val="nil"/>
            </w:tcBorders>
          </w:tcPr>
          <w:p>
            <w:pPr>
              <w:rPr>
                <w:sz w:val="2"/>
                <w:szCs w:val="2"/>
              </w:rPr>
            </w:pPr>
          </w:p>
        </w:tc>
        <w:tc>
          <w:tcPr>
            <w:tcW w:w="1129" w:type="dxa"/>
          </w:tcPr>
          <w:p>
            <w:pPr>
              <w:pStyle w:val="10"/>
              <w:spacing w:before="129"/>
              <w:ind w:right="1"/>
              <w:jc w:val="center"/>
              <w:rPr>
                <w:sz w:val="20"/>
              </w:rPr>
            </w:pPr>
            <w:r>
              <w:rPr>
                <w:spacing w:val="-4"/>
                <w:sz w:val="20"/>
              </w:rPr>
              <w:t>时效指标</w:t>
            </w:r>
          </w:p>
        </w:tc>
        <w:tc>
          <w:tcPr>
            <w:tcW w:w="1277" w:type="dxa"/>
          </w:tcPr>
          <w:p>
            <w:pPr>
              <w:pStyle w:val="10"/>
              <w:spacing w:line="258" w:lineRule="exact"/>
              <w:ind w:left="107"/>
              <w:rPr>
                <w:sz w:val="20"/>
              </w:rPr>
            </w:pPr>
            <w:r>
              <w:rPr>
                <w:spacing w:val="-4"/>
                <w:sz w:val="20"/>
              </w:rPr>
              <w:t>燃气费缴纳</w:t>
            </w:r>
          </w:p>
          <w:p>
            <w:pPr>
              <w:pStyle w:val="10"/>
              <w:spacing w:before="1" w:line="241" w:lineRule="exact"/>
              <w:ind w:left="107"/>
              <w:rPr>
                <w:sz w:val="20"/>
              </w:rPr>
            </w:pPr>
            <w:r>
              <w:rPr>
                <w:spacing w:val="-5"/>
                <w:sz w:val="20"/>
              </w:rPr>
              <w:t>及时率</w:t>
            </w:r>
          </w:p>
        </w:tc>
        <w:tc>
          <w:tcPr>
            <w:tcW w:w="1133" w:type="dxa"/>
          </w:tcPr>
          <w:p>
            <w:pPr>
              <w:pStyle w:val="10"/>
              <w:spacing w:before="129"/>
              <w:ind w:left="10" w:right="2"/>
              <w:jc w:val="center"/>
              <w:rPr>
                <w:sz w:val="20"/>
              </w:rPr>
            </w:pPr>
            <w:r>
              <w:rPr>
                <w:spacing w:val="-2"/>
                <w:sz w:val="20"/>
              </w:rPr>
              <w:t>=100%</w:t>
            </w:r>
          </w:p>
        </w:tc>
        <w:tc>
          <w:tcPr>
            <w:tcW w:w="1135" w:type="dxa"/>
          </w:tcPr>
          <w:p>
            <w:pPr>
              <w:pStyle w:val="10"/>
              <w:spacing w:before="129"/>
              <w:ind w:left="6"/>
              <w:jc w:val="center"/>
              <w:rPr>
                <w:sz w:val="20"/>
              </w:rPr>
            </w:pPr>
            <w:r>
              <w:rPr>
                <w:spacing w:val="-4"/>
                <w:sz w:val="20"/>
              </w:rPr>
              <w:t>100%</w:t>
            </w:r>
          </w:p>
        </w:tc>
        <w:tc>
          <w:tcPr>
            <w:tcW w:w="566" w:type="dxa"/>
          </w:tcPr>
          <w:p>
            <w:pPr>
              <w:pStyle w:val="10"/>
              <w:spacing w:before="129"/>
              <w:ind w:left="9"/>
              <w:jc w:val="center"/>
              <w:rPr>
                <w:sz w:val="20"/>
              </w:rPr>
            </w:pPr>
            <w:r>
              <w:rPr>
                <w:spacing w:val="-5"/>
                <w:sz w:val="20"/>
              </w:rPr>
              <w:t>10</w:t>
            </w:r>
          </w:p>
        </w:tc>
        <w:tc>
          <w:tcPr>
            <w:tcW w:w="991" w:type="dxa"/>
          </w:tcPr>
          <w:p>
            <w:pPr>
              <w:pStyle w:val="10"/>
              <w:spacing w:before="129"/>
              <w:ind w:left="12"/>
              <w:jc w:val="center"/>
              <w:rPr>
                <w:sz w:val="20"/>
              </w:rPr>
            </w:pPr>
            <w:r>
              <w:rPr>
                <w:spacing w:val="-5"/>
                <w:sz w:val="20"/>
              </w:rPr>
              <w:t>10</w:t>
            </w: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5" w:hRule="atLeast"/>
        </w:trPr>
        <w:tc>
          <w:tcPr>
            <w:tcW w:w="578" w:type="dxa"/>
            <w:vMerge w:val="continue"/>
            <w:tcBorders>
              <w:top w:val="nil"/>
            </w:tcBorders>
          </w:tcPr>
          <w:p>
            <w:pPr>
              <w:rPr>
                <w:sz w:val="2"/>
                <w:szCs w:val="2"/>
              </w:rPr>
            </w:pPr>
          </w:p>
        </w:tc>
        <w:tc>
          <w:tcPr>
            <w:tcW w:w="699" w:type="dxa"/>
            <w:vMerge w:val="continue"/>
            <w:tcBorders>
              <w:top w:val="nil"/>
            </w:tcBorders>
          </w:tcPr>
          <w:p>
            <w:pPr>
              <w:rPr>
                <w:sz w:val="2"/>
                <w:szCs w:val="2"/>
              </w:rPr>
            </w:pPr>
          </w:p>
        </w:tc>
        <w:tc>
          <w:tcPr>
            <w:tcW w:w="1129" w:type="dxa"/>
          </w:tcPr>
          <w:p>
            <w:pPr>
              <w:pStyle w:val="10"/>
              <w:spacing w:before="11"/>
              <w:rPr>
                <w:sz w:val="20"/>
              </w:rPr>
            </w:pPr>
          </w:p>
          <w:p>
            <w:pPr>
              <w:pStyle w:val="10"/>
              <w:ind w:right="1"/>
              <w:jc w:val="center"/>
              <w:rPr>
                <w:sz w:val="20"/>
              </w:rPr>
            </w:pPr>
            <w:r>
              <w:rPr>
                <w:spacing w:val="-4"/>
                <w:sz w:val="20"/>
              </w:rPr>
              <w:t>成本指标</w:t>
            </w:r>
          </w:p>
        </w:tc>
        <w:tc>
          <w:tcPr>
            <w:tcW w:w="1277" w:type="dxa"/>
          </w:tcPr>
          <w:p>
            <w:pPr>
              <w:pStyle w:val="10"/>
              <w:spacing w:before="141"/>
              <w:ind w:left="107" w:right="159"/>
              <w:rPr>
                <w:sz w:val="20"/>
              </w:rPr>
            </w:pPr>
            <w:r>
              <w:rPr>
                <w:spacing w:val="-2"/>
                <w:sz w:val="20"/>
              </w:rPr>
              <w:t>购买燃气单</w:t>
            </w:r>
            <w:r>
              <w:rPr>
                <w:spacing w:val="-10"/>
                <w:sz w:val="20"/>
              </w:rPr>
              <w:t>价</w:t>
            </w:r>
          </w:p>
        </w:tc>
        <w:tc>
          <w:tcPr>
            <w:tcW w:w="1133" w:type="dxa"/>
          </w:tcPr>
          <w:p>
            <w:pPr>
              <w:pStyle w:val="10"/>
              <w:spacing w:before="141" w:line="260" w:lineRule="exact"/>
              <w:ind w:left="140"/>
              <w:rPr>
                <w:sz w:val="20"/>
              </w:rPr>
            </w:pPr>
            <w:r>
              <w:rPr>
                <w:spacing w:val="-2"/>
                <w:sz w:val="20"/>
              </w:rPr>
              <w:t>&lt;=1.50</w:t>
            </w:r>
            <w:r>
              <w:rPr>
                <w:spacing w:val="-25"/>
                <w:sz w:val="20"/>
              </w:rPr>
              <w:t xml:space="preserve"> 元</w:t>
            </w:r>
          </w:p>
          <w:p>
            <w:pPr>
              <w:pStyle w:val="10"/>
              <w:spacing w:line="260" w:lineRule="exact"/>
              <w:ind w:left="214"/>
              <w:rPr>
                <w:sz w:val="20"/>
              </w:rPr>
            </w:pPr>
            <w:r>
              <w:rPr>
                <w:spacing w:val="-4"/>
                <w:sz w:val="20"/>
              </w:rPr>
              <w:t>/立方米</w:t>
            </w:r>
          </w:p>
        </w:tc>
        <w:tc>
          <w:tcPr>
            <w:tcW w:w="1135" w:type="dxa"/>
          </w:tcPr>
          <w:p>
            <w:pPr>
              <w:pStyle w:val="10"/>
              <w:spacing w:before="141"/>
              <w:ind w:left="363" w:right="130" w:hanging="224"/>
              <w:rPr>
                <w:sz w:val="20"/>
              </w:rPr>
            </w:pPr>
            <w:r>
              <w:rPr>
                <w:spacing w:val="-2"/>
                <w:sz w:val="20"/>
              </w:rPr>
              <w:t>1.5</w:t>
            </w:r>
            <w:r>
              <w:rPr>
                <w:spacing w:val="-18"/>
                <w:sz w:val="20"/>
              </w:rPr>
              <w:t xml:space="preserve"> 元/</w:t>
            </w:r>
            <w:r>
              <w:rPr>
                <w:spacing w:val="-2"/>
                <w:sz w:val="20"/>
              </w:rPr>
              <w:t>立</w:t>
            </w:r>
            <w:r>
              <w:rPr>
                <w:spacing w:val="-6"/>
                <w:sz w:val="20"/>
              </w:rPr>
              <w:t>方米</w:t>
            </w:r>
          </w:p>
        </w:tc>
        <w:tc>
          <w:tcPr>
            <w:tcW w:w="566" w:type="dxa"/>
          </w:tcPr>
          <w:p>
            <w:pPr>
              <w:pStyle w:val="10"/>
              <w:spacing w:before="11"/>
              <w:rPr>
                <w:sz w:val="20"/>
              </w:rPr>
            </w:pPr>
          </w:p>
          <w:p>
            <w:pPr>
              <w:pStyle w:val="10"/>
              <w:ind w:left="9"/>
              <w:jc w:val="center"/>
              <w:rPr>
                <w:sz w:val="20"/>
              </w:rPr>
            </w:pPr>
            <w:r>
              <w:rPr>
                <w:spacing w:val="-5"/>
                <w:sz w:val="20"/>
              </w:rPr>
              <w:t>10</w:t>
            </w:r>
          </w:p>
        </w:tc>
        <w:tc>
          <w:tcPr>
            <w:tcW w:w="991" w:type="dxa"/>
          </w:tcPr>
          <w:p>
            <w:pPr>
              <w:pStyle w:val="10"/>
              <w:spacing w:before="11"/>
              <w:rPr>
                <w:sz w:val="20"/>
              </w:rPr>
            </w:pPr>
          </w:p>
          <w:p>
            <w:pPr>
              <w:pStyle w:val="10"/>
              <w:ind w:left="12"/>
              <w:jc w:val="center"/>
              <w:rPr>
                <w:sz w:val="20"/>
              </w:rPr>
            </w:pPr>
            <w:r>
              <w:rPr>
                <w:spacing w:val="-5"/>
                <w:sz w:val="20"/>
              </w:rPr>
              <w:t>10</w:t>
            </w: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578" w:type="dxa"/>
            <w:vMerge w:val="continue"/>
            <w:tcBorders>
              <w:top w:val="nil"/>
            </w:tcBorders>
          </w:tcPr>
          <w:p>
            <w:pPr>
              <w:rPr>
                <w:sz w:val="2"/>
                <w:szCs w:val="2"/>
              </w:rPr>
            </w:pPr>
          </w:p>
        </w:tc>
        <w:tc>
          <w:tcPr>
            <w:tcW w:w="699" w:type="dxa"/>
            <w:vMerge w:val="restart"/>
          </w:tcPr>
          <w:p>
            <w:pPr>
              <w:pStyle w:val="10"/>
              <w:rPr>
                <w:sz w:val="20"/>
              </w:rPr>
            </w:pPr>
          </w:p>
          <w:p>
            <w:pPr>
              <w:pStyle w:val="10"/>
              <w:rPr>
                <w:sz w:val="20"/>
              </w:rPr>
            </w:pPr>
          </w:p>
          <w:p>
            <w:pPr>
              <w:pStyle w:val="10"/>
              <w:spacing w:before="50"/>
              <w:rPr>
                <w:sz w:val="20"/>
              </w:rPr>
            </w:pPr>
          </w:p>
          <w:p>
            <w:pPr>
              <w:pStyle w:val="10"/>
              <w:ind w:left="141" w:right="146"/>
              <w:rPr>
                <w:sz w:val="20"/>
              </w:rPr>
            </w:pPr>
            <w:r>
              <w:rPr>
                <w:spacing w:val="-6"/>
                <w:sz w:val="20"/>
              </w:rPr>
              <w:t>效益指标</w:t>
            </w:r>
          </w:p>
        </w:tc>
        <w:tc>
          <w:tcPr>
            <w:tcW w:w="1129" w:type="dxa"/>
          </w:tcPr>
          <w:p>
            <w:pPr>
              <w:pStyle w:val="10"/>
              <w:spacing w:line="260" w:lineRule="exact"/>
              <w:ind w:left="359" w:right="159" w:hanging="200"/>
              <w:rPr>
                <w:sz w:val="20"/>
              </w:rPr>
            </w:pPr>
            <w:r>
              <w:rPr>
                <w:spacing w:val="-4"/>
                <w:sz w:val="20"/>
              </w:rPr>
              <w:t>经济效益</w:t>
            </w:r>
            <w:r>
              <w:rPr>
                <w:spacing w:val="-6"/>
                <w:sz w:val="20"/>
              </w:rPr>
              <w:t>指标</w:t>
            </w:r>
          </w:p>
        </w:tc>
        <w:tc>
          <w:tcPr>
            <w:tcW w:w="1277" w:type="dxa"/>
          </w:tcPr>
          <w:p>
            <w:pPr>
              <w:pStyle w:val="10"/>
              <w:rPr>
                <w:rFonts w:ascii="Times New Roman"/>
                <w:sz w:val="18"/>
              </w:rPr>
            </w:pPr>
          </w:p>
        </w:tc>
        <w:tc>
          <w:tcPr>
            <w:tcW w:w="1133" w:type="dxa"/>
          </w:tcPr>
          <w:p>
            <w:pPr>
              <w:pStyle w:val="10"/>
              <w:rPr>
                <w:rFonts w:ascii="Times New Roman"/>
                <w:sz w:val="18"/>
              </w:rPr>
            </w:pPr>
          </w:p>
        </w:tc>
        <w:tc>
          <w:tcPr>
            <w:tcW w:w="1135" w:type="dxa"/>
          </w:tcPr>
          <w:p>
            <w:pPr>
              <w:pStyle w:val="10"/>
              <w:rPr>
                <w:rFonts w:ascii="Times New Roman"/>
                <w:sz w:val="18"/>
              </w:rPr>
            </w:pPr>
          </w:p>
        </w:tc>
        <w:tc>
          <w:tcPr>
            <w:tcW w:w="566" w:type="dxa"/>
          </w:tcPr>
          <w:p>
            <w:pPr>
              <w:pStyle w:val="10"/>
              <w:rPr>
                <w:rFonts w:ascii="Times New Roman"/>
                <w:sz w:val="18"/>
              </w:rPr>
            </w:pPr>
          </w:p>
        </w:tc>
        <w:tc>
          <w:tcPr>
            <w:tcW w:w="991" w:type="dxa"/>
          </w:tcPr>
          <w:p>
            <w:pPr>
              <w:pStyle w:val="10"/>
              <w:rPr>
                <w:rFonts w:ascii="Times New Roman"/>
                <w:sz w:val="18"/>
              </w:rPr>
            </w:pP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9" w:hRule="atLeast"/>
        </w:trPr>
        <w:tc>
          <w:tcPr>
            <w:tcW w:w="578" w:type="dxa"/>
            <w:vMerge w:val="continue"/>
            <w:tcBorders>
              <w:top w:val="nil"/>
            </w:tcBorders>
          </w:tcPr>
          <w:p>
            <w:pPr>
              <w:rPr>
                <w:sz w:val="2"/>
                <w:szCs w:val="2"/>
              </w:rPr>
            </w:pPr>
          </w:p>
        </w:tc>
        <w:tc>
          <w:tcPr>
            <w:tcW w:w="699" w:type="dxa"/>
            <w:vMerge w:val="continue"/>
            <w:tcBorders>
              <w:top w:val="nil"/>
            </w:tcBorders>
          </w:tcPr>
          <w:p>
            <w:pPr>
              <w:rPr>
                <w:sz w:val="2"/>
                <w:szCs w:val="2"/>
              </w:rPr>
            </w:pPr>
          </w:p>
        </w:tc>
        <w:tc>
          <w:tcPr>
            <w:tcW w:w="1129" w:type="dxa"/>
          </w:tcPr>
          <w:p>
            <w:pPr>
              <w:pStyle w:val="10"/>
              <w:spacing w:line="260" w:lineRule="atLeast"/>
              <w:ind w:left="359" w:right="159" w:hanging="200"/>
              <w:rPr>
                <w:sz w:val="20"/>
              </w:rPr>
            </w:pPr>
            <w:r>
              <w:rPr>
                <w:spacing w:val="-4"/>
                <w:sz w:val="20"/>
              </w:rPr>
              <w:t>社会效益</w:t>
            </w:r>
            <w:r>
              <w:rPr>
                <w:spacing w:val="-6"/>
                <w:sz w:val="20"/>
              </w:rPr>
              <w:t>指标</w:t>
            </w:r>
          </w:p>
        </w:tc>
        <w:tc>
          <w:tcPr>
            <w:tcW w:w="1277" w:type="dxa"/>
          </w:tcPr>
          <w:p>
            <w:pPr>
              <w:pStyle w:val="10"/>
              <w:spacing w:line="260" w:lineRule="atLeast"/>
              <w:ind w:left="107" w:right="159"/>
              <w:rPr>
                <w:sz w:val="20"/>
              </w:rPr>
            </w:pPr>
            <w:r>
              <w:rPr>
                <w:spacing w:val="-2"/>
                <w:sz w:val="20"/>
              </w:rPr>
              <w:t>提高雅山后</w:t>
            </w:r>
            <w:r>
              <w:rPr>
                <w:spacing w:val="-4"/>
                <w:sz w:val="20"/>
              </w:rPr>
              <w:t>山绿化面积</w:t>
            </w:r>
          </w:p>
        </w:tc>
        <w:tc>
          <w:tcPr>
            <w:tcW w:w="1133" w:type="dxa"/>
          </w:tcPr>
          <w:p>
            <w:pPr>
              <w:pStyle w:val="10"/>
              <w:spacing w:before="139"/>
              <w:ind w:left="10" w:right="8"/>
              <w:jc w:val="center"/>
              <w:rPr>
                <w:sz w:val="20"/>
              </w:rPr>
            </w:pPr>
            <w:r>
              <w:rPr>
                <w:spacing w:val="-4"/>
                <w:sz w:val="20"/>
              </w:rPr>
              <w:t>不断提高</w:t>
            </w:r>
          </w:p>
        </w:tc>
        <w:tc>
          <w:tcPr>
            <w:tcW w:w="1135" w:type="dxa"/>
          </w:tcPr>
          <w:p>
            <w:pPr>
              <w:pStyle w:val="10"/>
              <w:spacing w:before="139"/>
              <w:ind w:left="6" w:right="5"/>
              <w:jc w:val="center"/>
              <w:rPr>
                <w:sz w:val="20"/>
              </w:rPr>
            </w:pPr>
            <w:r>
              <w:rPr>
                <w:spacing w:val="-4"/>
                <w:sz w:val="20"/>
              </w:rPr>
              <w:t>不断提高</w:t>
            </w:r>
          </w:p>
        </w:tc>
        <w:tc>
          <w:tcPr>
            <w:tcW w:w="566" w:type="dxa"/>
          </w:tcPr>
          <w:p>
            <w:pPr>
              <w:pStyle w:val="10"/>
              <w:spacing w:before="139"/>
              <w:ind w:left="9"/>
              <w:jc w:val="center"/>
              <w:rPr>
                <w:sz w:val="20"/>
              </w:rPr>
            </w:pPr>
            <w:r>
              <w:rPr>
                <w:spacing w:val="-5"/>
                <w:sz w:val="20"/>
              </w:rPr>
              <w:t>30</w:t>
            </w:r>
          </w:p>
        </w:tc>
        <w:tc>
          <w:tcPr>
            <w:tcW w:w="991" w:type="dxa"/>
          </w:tcPr>
          <w:p>
            <w:pPr>
              <w:pStyle w:val="10"/>
              <w:spacing w:before="139"/>
              <w:ind w:left="12"/>
              <w:jc w:val="center"/>
              <w:rPr>
                <w:sz w:val="20"/>
              </w:rPr>
            </w:pPr>
            <w:r>
              <w:rPr>
                <w:spacing w:val="-5"/>
                <w:sz w:val="20"/>
              </w:rPr>
              <w:t>30</w:t>
            </w: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578" w:type="dxa"/>
            <w:vMerge w:val="continue"/>
            <w:tcBorders>
              <w:top w:val="nil"/>
            </w:tcBorders>
          </w:tcPr>
          <w:p>
            <w:pPr>
              <w:rPr>
                <w:sz w:val="2"/>
                <w:szCs w:val="2"/>
              </w:rPr>
            </w:pPr>
          </w:p>
        </w:tc>
        <w:tc>
          <w:tcPr>
            <w:tcW w:w="699" w:type="dxa"/>
            <w:vMerge w:val="continue"/>
            <w:tcBorders>
              <w:top w:val="nil"/>
            </w:tcBorders>
          </w:tcPr>
          <w:p>
            <w:pPr>
              <w:rPr>
                <w:sz w:val="2"/>
                <w:szCs w:val="2"/>
              </w:rPr>
            </w:pPr>
          </w:p>
        </w:tc>
        <w:tc>
          <w:tcPr>
            <w:tcW w:w="1129" w:type="dxa"/>
          </w:tcPr>
          <w:p>
            <w:pPr>
              <w:pStyle w:val="10"/>
              <w:spacing w:line="260" w:lineRule="atLeast"/>
              <w:ind w:left="359" w:right="159" w:hanging="200"/>
              <w:rPr>
                <w:sz w:val="20"/>
              </w:rPr>
            </w:pPr>
            <w:r>
              <w:rPr>
                <w:spacing w:val="-4"/>
                <w:sz w:val="20"/>
              </w:rPr>
              <w:t>生态效益</w:t>
            </w:r>
            <w:r>
              <w:rPr>
                <w:spacing w:val="-6"/>
                <w:sz w:val="20"/>
              </w:rPr>
              <w:t>指标</w:t>
            </w:r>
          </w:p>
        </w:tc>
        <w:tc>
          <w:tcPr>
            <w:tcW w:w="1277" w:type="dxa"/>
          </w:tcPr>
          <w:p>
            <w:pPr>
              <w:pStyle w:val="10"/>
              <w:rPr>
                <w:rFonts w:ascii="Times New Roman"/>
                <w:sz w:val="18"/>
              </w:rPr>
            </w:pPr>
          </w:p>
        </w:tc>
        <w:tc>
          <w:tcPr>
            <w:tcW w:w="1133" w:type="dxa"/>
          </w:tcPr>
          <w:p>
            <w:pPr>
              <w:pStyle w:val="10"/>
              <w:rPr>
                <w:rFonts w:ascii="Times New Roman"/>
                <w:sz w:val="18"/>
              </w:rPr>
            </w:pPr>
          </w:p>
        </w:tc>
        <w:tc>
          <w:tcPr>
            <w:tcW w:w="1135" w:type="dxa"/>
          </w:tcPr>
          <w:p>
            <w:pPr>
              <w:pStyle w:val="10"/>
              <w:rPr>
                <w:rFonts w:ascii="Times New Roman"/>
                <w:sz w:val="18"/>
              </w:rPr>
            </w:pPr>
          </w:p>
        </w:tc>
        <w:tc>
          <w:tcPr>
            <w:tcW w:w="566" w:type="dxa"/>
          </w:tcPr>
          <w:p>
            <w:pPr>
              <w:pStyle w:val="10"/>
              <w:rPr>
                <w:rFonts w:ascii="Times New Roman"/>
                <w:sz w:val="18"/>
              </w:rPr>
            </w:pPr>
          </w:p>
        </w:tc>
        <w:tc>
          <w:tcPr>
            <w:tcW w:w="991" w:type="dxa"/>
          </w:tcPr>
          <w:p>
            <w:pPr>
              <w:pStyle w:val="10"/>
              <w:rPr>
                <w:rFonts w:ascii="Times New Roman"/>
                <w:sz w:val="18"/>
              </w:rPr>
            </w:pP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578" w:type="dxa"/>
            <w:vMerge w:val="continue"/>
            <w:tcBorders>
              <w:top w:val="nil"/>
            </w:tcBorders>
          </w:tcPr>
          <w:p>
            <w:pPr>
              <w:rPr>
                <w:sz w:val="2"/>
                <w:szCs w:val="2"/>
              </w:rPr>
            </w:pPr>
          </w:p>
        </w:tc>
        <w:tc>
          <w:tcPr>
            <w:tcW w:w="699" w:type="dxa"/>
            <w:vMerge w:val="continue"/>
            <w:tcBorders>
              <w:top w:val="nil"/>
            </w:tcBorders>
          </w:tcPr>
          <w:p>
            <w:pPr>
              <w:rPr>
                <w:sz w:val="2"/>
                <w:szCs w:val="2"/>
              </w:rPr>
            </w:pPr>
          </w:p>
        </w:tc>
        <w:tc>
          <w:tcPr>
            <w:tcW w:w="1129" w:type="dxa"/>
          </w:tcPr>
          <w:p>
            <w:pPr>
              <w:pStyle w:val="10"/>
              <w:spacing w:line="260" w:lineRule="exact"/>
              <w:ind w:left="261" w:right="159" w:hanging="101"/>
              <w:rPr>
                <w:sz w:val="20"/>
              </w:rPr>
            </w:pPr>
            <w:r>
              <w:rPr>
                <w:spacing w:val="-4"/>
                <w:sz w:val="20"/>
              </w:rPr>
              <w:t>可持续影响指标</w:t>
            </w:r>
          </w:p>
        </w:tc>
        <w:tc>
          <w:tcPr>
            <w:tcW w:w="1277" w:type="dxa"/>
          </w:tcPr>
          <w:p>
            <w:pPr>
              <w:pStyle w:val="10"/>
              <w:rPr>
                <w:rFonts w:ascii="Times New Roman"/>
                <w:sz w:val="18"/>
              </w:rPr>
            </w:pPr>
          </w:p>
        </w:tc>
        <w:tc>
          <w:tcPr>
            <w:tcW w:w="1133" w:type="dxa"/>
          </w:tcPr>
          <w:p>
            <w:pPr>
              <w:pStyle w:val="10"/>
              <w:rPr>
                <w:rFonts w:ascii="Times New Roman"/>
                <w:sz w:val="18"/>
              </w:rPr>
            </w:pPr>
          </w:p>
        </w:tc>
        <w:tc>
          <w:tcPr>
            <w:tcW w:w="1135" w:type="dxa"/>
          </w:tcPr>
          <w:p>
            <w:pPr>
              <w:pStyle w:val="10"/>
              <w:rPr>
                <w:rFonts w:ascii="Times New Roman"/>
                <w:sz w:val="18"/>
              </w:rPr>
            </w:pPr>
          </w:p>
        </w:tc>
        <w:tc>
          <w:tcPr>
            <w:tcW w:w="566" w:type="dxa"/>
          </w:tcPr>
          <w:p>
            <w:pPr>
              <w:pStyle w:val="10"/>
              <w:rPr>
                <w:rFonts w:ascii="Times New Roman"/>
                <w:sz w:val="18"/>
              </w:rPr>
            </w:pPr>
          </w:p>
        </w:tc>
        <w:tc>
          <w:tcPr>
            <w:tcW w:w="991" w:type="dxa"/>
          </w:tcPr>
          <w:p>
            <w:pPr>
              <w:pStyle w:val="10"/>
              <w:rPr>
                <w:rFonts w:ascii="Times New Roman"/>
                <w:sz w:val="18"/>
              </w:rPr>
            </w:pP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2" w:hRule="atLeast"/>
        </w:trPr>
        <w:tc>
          <w:tcPr>
            <w:tcW w:w="578" w:type="dxa"/>
            <w:vMerge w:val="continue"/>
            <w:tcBorders>
              <w:top w:val="nil"/>
            </w:tcBorders>
          </w:tcPr>
          <w:p>
            <w:pPr>
              <w:rPr>
                <w:sz w:val="2"/>
                <w:szCs w:val="2"/>
              </w:rPr>
            </w:pPr>
          </w:p>
        </w:tc>
        <w:tc>
          <w:tcPr>
            <w:tcW w:w="699" w:type="dxa"/>
          </w:tcPr>
          <w:p>
            <w:pPr>
              <w:pStyle w:val="10"/>
              <w:ind w:left="141" w:right="146"/>
              <w:jc w:val="center"/>
              <w:rPr>
                <w:sz w:val="20"/>
              </w:rPr>
            </w:pPr>
            <w:r>
              <w:rPr>
                <w:spacing w:val="-6"/>
                <w:sz w:val="20"/>
              </w:rPr>
              <w:t>满意度指</w:t>
            </w:r>
          </w:p>
          <w:p>
            <w:pPr>
              <w:pStyle w:val="10"/>
              <w:spacing w:line="242" w:lineRule="exact"/>
              <w:ind w:right="2"/>
              <w:jc w:val="center"/>
              <w:rPr>
                <w:sz w:val="20"/>
              </w:rPr>
            </w:pPr>
            <w:r>
              <w:rPr>
                <w:spacing w:val="-10"/>
                <w:sz w:val="20"/>
              </w:rPr>
              <w:t>标</w:t>
            </w:r>
          </w:p>
        </w:tc>
        <w:tc>
          <w:tcPr>
            <w:tcW w:w="1129" w:type="dxa"/>
          </w:tcPr>
          <w:p>
            <w:pPr>
              <w:pStyle w:val="10"/>
              <w:spacing w:before="129"/>
              <w:ind w:left="460" w:right="159" w:hanging="300"/>
              <w:rPr>
                <w:sz w:val="20"/>
              </w:rPr>
            </w:pPr>
            <w:r>
              <w:rPr>
                <w:spacing w:val="-4"/>
                <w:sz w:val="20"/>
              </w:rPr>
              <w:t>满意度指</w:t>
            </w:r>
            <w:r>
              <w:rPr>
                <w:spacing w:val="-10"/>
                <w:sz w:val="20"/>
              </w:rPr>
              <w:t>标</w:t>
            </w:r>
          </w:p>
        </w:tc>
        <w:tc>
          <w:tcPr>
            <w:tcW w:w="1277" w:type="dxa"/>
          </w:tcPr>
          <w:p>
            <w:pPr>
              <w:pStyle w:val="10"/>
              <w:spacing w:before="129"/>
              <w:ind w:left="107" w:right="159"/>
              <w:rPr>
                <w:sz w:val="20"/>
              </w:rPr>
            </w:pPr>
            <w:r>
              <w:rPr>
                <w:spacing w:val="-2"/>
                <w:sz w:val="20"/>
              </w:rPr>
              <w:t>服务对象满</w:t>
            </w:r>
            <w:r>
              <w:rPr>
                <w:spacing w:val="-6"/>
                <w:sz w:val="20"/>
              </w:rPr>
              <w:t>意度</w:t>
            </w:r>
          </w:p>
        </w:tc>
        <w:tc>
          <w:tcPr>
            <w:tcW w:w="1133" w:type="dxa"/>
          </w:tcPr>
          <w:p>
            <w:pPr>
              <w:pStyle w:val="10"/>
              <w:spacing w:before="259"/>
              <w:ind w:left="10" w:right="2"/>
              <w:jc w:val="center"/>
              <w:rPr>
                <w:sz w:val="20"/>
              </w:rPr>
            </w:pPr>
            <w:r>
              <w:rPr>
                <w:spacing w:val="-2"/>
                <w:sz w:val="20"/>
              </w:rPr>
              <w:t>&gt;=93%</w:t>
            </w:r>
          </w:p>
        </w:tc>
        <w:tc>
          <w:tcPr>
            <w:tcW w:w="1135" w:type="dxa"/>
          </w:tcPr>
          <w:p>
            <w:pPr>
              <w:pStyle w:val="10"/>
              <w:spacing w:before="259"/>
              <w:ind w:left="6"/>
              <w:jc w:val="center"/>
              <w:rPr>
                <w:sz w:val="20"/>
              </w:rPr>
            </w:pPr>
            <w:r>
              <w:rPr>
                <w:spacing w:val="-5"/>
                <w:sz w:val="20"/>
              </w:rPr>
              <w:t>93%</w:t>
            </w:r>
          </w:p>
        </w:tc>
        <w:tc>
          <w:tcPr>
            <w:tcW w:w="566" w:type="dxa"/>
          </w:tcPr>
          <w:p>
            <w:pPr>
              <w:pStyle w:val="10"/>
              <w:spacing w:before="259"/>
              <w:ind w:left="9"/>
              <w:jc w:val="center"/>
              <w:rPr>
                <w:sz w:val="20"/>
              </w:rPr>
            </w:pPr>
            <w:r>
              <w:rPr>
                <w:spacing w:val="-5"/>
                <w:sz w:val="20"/>
              </w:rPr>
              <w:t>10</w:t>
            </w:r>
          </w:p>
        </w:tc>
        <w:tc>
          <w:tcPr>
            <w:tcW w:w="991" w:type="dxa"/>
          </w:tcPr>
          <w:p>
            <w:pPr>
              <w:pStyle w:val="10"/>
              <w:spacing w:before="259"/>
              <w:ind w:left="12"/>
              <w:jc w:val="center"/>
              <w:rPr>
                <w:sz w:val="20"/>
              </w:rPr>
            </w:pPr>
            <w:r>
              <w:rPr>
                <w:spacing w:val="-5"/>
                <w:sz w:val="20"/>
              </w:rPr>
              <w:t>10</w:t>
            </w:r>
          </w:p>
        </w:tc>
        <w:tc>
          <w:tcPr>
            <w:tcW w:w="1134" w:type="dxa"/>
          </w:tcPr>
          <w:p>
            <w:pPr>
              <w:pStyle w:val="10"/>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5951" w:type="dxa"/>
            <w:gridSpan w:val="6"/>
          </w:tcPr>
          <w:p>
            <w:pPr>
              <w:pStyle w:val="10"/>
              <w:spacing w:before="127"/>
              <w:ind w:left="6"/>
              <w:jc w:val="center"/>
              <w:rPr>
                <w:sz w:val="20"/>
              </w:rPr>
            </w:pPr>
            <w:r>
              <w:rPr>
                <w:spacing w:val="-6"/>
                <w:sz w:val="20"/>
              </w:rPr>
              <w:t>总分</w:t>
            </w:r>
          </w:p>
        </w:tc>
        <w:tc>
          <w:tcPr>
            <w:tcW w:w="566" w:type="dxa"/>
          </w:tcPr>
          <w:p>
            <w:pPr>
              <w:pStyle w:val="10"/>
              <w:spacing w:before="127"/>
              <w:ind w:left="9"/>
              <w:jc w:val="center"/>
              <w:rPr>
                <w:sz w:val="20"/>
              </w:rPr>
            </w:pPr>
            <w:r>
              <w:rPr>
                <w:spacing w:val="-5"/>
                <w:sz w:val="20"/>
              </w:rPr>
              <w:t>100</w:t>
            </w:r>
          </w:p>
        </w:tc>
        <w:tc>
          <w:tcPr>
            <w:tcW w:w="991" w:type="dxa"/>
          </w:tcPr>
          <w:p>
            <w:pPr>
              <w:pStyle w:val="10"/>
              <w:spacing w:line="257" w:lineRule="exact"/>
              <w:ind w:left="12" w:right="5"/>
              <w:jc w:val="center"/>
              <w:rPr>
                <w:sz w:val="20"/>
              </w:rPr>
            </w:pPr>
            <w:r>
              <w:rPr>
                <w:spacing w:val="-2"/>
                <w:sz w:val="20"/>
              </w:rPr>
              <w:t>100.00</w:t>
            </w:r>
          </w:p>
          <w:p>
            <w:pPr>
              <w:pStyle w:val="10"/>
              <w:spacing w:line="243" w:lineRule="exact"/>
              <w:ind w:left="12" w:right="3"/>
              <w:jc w:val="center"/>
              <w:rPr>
                <w:sz w:val="20"/>
              </w:rPr>
            </w:pPr>
            <w:r>
              <w:rPr>
                <w:spacing w:val="-10"/>
                <w:sz w:val="20"/>
              </w:rPr>
              <w:t>分</w:t>
            </w:r>
          </w:p>
        </w:tc>
        <w:tc>
          <w:tcPr>
            <w:tcW w:w="1134" w:type="dxa"/>
          </w:tcPr>
          <w:p>
            <w:pPr>
              <w:pStyle w:val="10"/>
              <w:rPr>
                <w:rFonts w:ascii="Times New Roman"/>
                <w:sz w:val="18"/>
              </w:rPr>
            </w:pPr>
          </w:p>
        </w:tc>
      </w:tr>
    </w:tbl>
    <w:p>
      <w:pPr>
        <w:pStyle w:val="10"/>
        <w:rPr>
          <w:rFonts w:ascii="Times New Roman"/>
          <w:sz w:val="18"/>
        </w:rPr>
        <w:sectPr>
          <w:pgSz w:w="12240" w:h="15840"/>
          <w:pgMar w:top="1420" w:right="1440" w:bottom="280" w:left="1800" w:header="720" w:footer="720" w:gutter="0"/>
          <w:cols w:space="720" w:num="1"/>
        </w:sectPr>
      </w:pPr>
    </w:p>
    <w:p>
      <w:pPr>
        <w:pStyle w:val="2"/>
        <w:spacing w:before="240"/>
        <w:ind w:left="4" w:right="362"/>
        <w:jc w:val="center"/>
        <w:rPr>
          <w:rFonts w:ascii="黑体" w:eastAsia="黑体"/>
        </w:rPr>
      </w:pPr>
      <w:r>
        <w:rPr>
          <w:rFonts w:ascii="黑体" w:eastAsia="黑体"/>
          <w:spacing w:val="-6"/>
        </w:rPr>
        <w:t>第三部分 专业名词解释</w:t>
      </w:r>
    </w:p>
    <w:p>
      <w:pPr>
        <w:pStyle w:val="2"/>
        <w:spacing w:before="239"/>
        <w:ind w:left="641"/>
      </w:pPr>
      <w:r>
        <w:rPr>
          <w:spacing w:val="-5"/>
        </w:rPr>
        <w:t>财政拨款收入：指同级财政当年拨付的资金。</w:t>
      </w:r>
    </w:p>
    <w:p>
      <w:pPr>
        <w:pStyle w:val="2"/>
        <w:spacing w:before="208" w:line="360" w:lineRule="auto"/>
        <w:ind w:right="363" w:firstLine="640"/>
      </w:pPr>
      <w:r>
        <w:rPr>
          <w:spacing w:val="-2"/>
        </w:rPr>
        <w:t>上级补助收入：指事业单位从主管部门和上级单位取得的非财政补助收入。</w:t>
      </w:r>
    </w:p>
    <w:p>
      <w:pPr>
        <w:pStyle w:val="2"/>
        <w:spacing w:line="360" w:lineRule="auto"/>
        <w:ind w:right="363" w:firstLine="640"/>
      </w:pPr>
      <w:r>
        <w:rPr>
          <w:spacing w:val="-2"/>
        </w:rPr>
        <w:t>事业收入：指事业单位开展专业业务活动及其辅助活动所取得的收入。</w:t>
      </w:r>
    </w:p>
    <w:p>
      <w:pPr>
        <w:pStyle w:val="2"/>
        <w:spacing w:line="360" w:lineRule="auto"/>
        <w:ind w:right="363" w:firstLine="640"/>
      </w:pPr>
      <w:r>
        <w:rPr>
          <w:spacing w:val="-2"/>
        </w:rPr>
        <w:t>经营收入：指事业单位在专业业务活动及其辅助活动之外开展非独立核算经营活动取得的收入。</w:t>
      </w:r>
    </w:p>
    <w:p>
      <w:pPr>
        <w:pStyle w:val="2"/>
        <w:spacing w:line="360" w:lineRule="auto"/>
        <w:ind w:right="363" w:firstLine="640"/>
      </w:pPr>
      <w:r>
        <w:rPr>
          <w:spacing w:val="-2"/>
        </w:rPr>
        <w:t>附属单位上缴收入：指事业单位附属的独立核算单位按有关规定上缴的收入。</w:t>
      </w:r>
    </w:p>
    <w:p>
      <w:pPr>
        <w:pStyle w:val="2"/>
        <w:spacing w:before="1" w:line="360" w:lineRule="auto"/>
        <w:ind w:right="357" w:firstLine="640"/>
      </w:pPr>
      <w:r>
        <w:rPr>
          <w:spacing w:val="-4"/>
        </w:rPr>
        <w:t>其他收入：指除上述</w:t>
      </w:r>
      <w:r>
        <w:rPr>
          <w:rFonts w:ascii="Times New Roman" w:hAnsi="Times New Roman" w:eastAsia="Times New Roman"/>
          <w:spacing w:val="-4"/>
        </w:rPr>
        <w:t>“</w:t>
      </w:r>
      <w:r>
        <w:rPr>
          <w:spacing w:val="-4"/>
        </w:rPr>
        <w:t>财政拨款收入</w:t>
      </w:r>
      <w:r>
        <w:rPr>
          <w:rFonts w:ascii="Times New Roman" w:hAnsi="Times New Roman" w:eastAsia="Times New Roman"/>
          <w:spacing w:val="-4"/>
        </w:rPr>
        <w:t>”</w:t>
      </w:r>
      <w:r>
        <w:rPr>
          <w:spacing w:val="-4"/>
        </w:rPr>
        <w:t>、</w:t>
      </w:r>
      <w:r>
        <w:rPr>
          <w:rFonts w:ascii="Times New Roman" w:hAnsi="Times New Roman" w:eastAsia="Times New Roman"/>
          <w:spacing w:val="-4"/>
        </w:rPr>
        <w:t>“</w:t>
      </w:r>
      <w:r>
        <w:rPr>
          <w:spacing w:val="-4"/>
        </w:rPr>
        <w:t>事业收入</w:t>
      </w:r>
      <w:r>
        <w:rPr>
          <w:rFonts w:ascii="Times New Roman" w:hAnsi="Times New Roman" w:eastAsia="Times New Roman"/>
          <w:spacing w:val="-4"/>
        </w:rPr>
        <w:t>”</w:t>
      </w:r>
      <w:r>
        <w:rPr>
          <w:spacing w:val="-4"/>
        </w:rPr>
        <w:t>、</w:t>
      </w:r>
      <w:r>
        <w:rPr>
          <w:rFonts w:ascii="Times New Roman" w:hAnsi="Times New Roman" w:eastAsia="Times New Roman"/>
          <w:spacing w:val="-4"/>
        </w:rPr>
        <w:t>“</w:t>
      </w:r>
      <w:r>
        <w:rPr>
          <w:spacing w:val="-4"/>
        </w:rPr>
        <w:t>经营</w:t>
      </w:r>
      <w:r>
        <w:rPr>
          <w:spacing w:val="-2"/>
        </w:rPr>
        <w:t>收入</w:t>
      </w:r>
      <w:r>
        <w:rPr>
          <w:rFonts w:ascii="Times New Roman" w:hAnsi="Times New Roman" w:eastAsia="Times New Roman"/>
          <w:spacing w:val="-2"/>
        </w:rPr>
        <w:t>”</w:t>
      </w:r>
      <w:r>
        <w:rPr>
          <w:spacing w:val="-2"/>
        </w:rPr>
        <w:t>、</w:t>
      </w:r>
      <w:r>
        <w:rPr>
          <w:rFonts w:ascii="Times New Roman" w:hAnsi="Times New Roman" w:eastAsia="Times New Roman"/>
          <w:spacing w:val="-2"/>
        </w:rPr>
        <w:t>“</w:t>
      </w:r>
      <w:r>
        <w:rPr>
          <w:spacing w:val="-2"/>
        </w:rPr>
        <w:t>附属单位上缴收入</w:t>
      </w:r>
      <w:r>
        <w:rPr>
          <w:rFonts w:ascii="Times New Roman" w:hAnsi="Times New Roman" w:eastAsia="Times New Roman"/>
          <w:spacing w:val="-2"/>
        </w:rPr>
        <w:t>”</w:t>
      </w:r>
      <w:r>
        <w:rPr>
          <w:spacing w:val="-2"/>
        </w:rPr>
        <w:t>等之外取得的收入。</w:t>
      </w:r>
    </w:p>
    <w:p>
      <w:pPr>
        <w:pStyle w:val="2"/>
        <w:spacing w:line="360" w:lineRule="auto"/>
        <w:ind w:right="363" w:firstLine="640"/>
        <w:jc w:val="both"/>
      </w:pPr>
      <w:r>
        <w:rPr>
          <w:spacing w:val="-2"/>
        </w:rPr>
        <w:t>年初结转和结余：指以前年度支出预算因客观条件变化未执行完毕、结转到本年度按有关规定继续使用的资金，既包括财政拨款结转和结余，也包括事业收入、经营收入、其他收入的结转和结余。</w:t>
      </w:r>
    </w:p>
    <w:p>
      <w:pPr>
        <w:pStyle w:val="2"/>
        <w:spacing w:line="360" w:lineRule="auto"/>
        <w:ind w:right="363" w:firstLine="640"/>
        <w:jc w:val="both"/>
      </w:pPr>
      <w:r>
        <w:rPr>
          <w:spacing w:val="-2"/>
        </w:rPr>
        <w:t>年末结转和结余：指本年度或以前年度预算安排、因客观条件发生变化无法按原计划实施，需要延迟到以后年度按有关规定继续使用的资金，既包括财政拨款结转和结余，也包括事业收入、经营收入、其他收入的结转和结余。</w:t>
      </w:r>
    </w:p>
    <w:p>
      <w:pPr>
        <w:pStyle w:val="2"/>
        <w:spacing w:line="360" w:lineRule="auto"/>
        <w:jc w:val="both"/>
        <w:sectPr>
          <w:pgSz w:w="12240" w:h="15840"/>
          <w:pgMar w:top="1820" w:right="1440" w:bottom="280" w:left="1800" w:header="720" w:footer="720" w:gutter="0"/>
          <w:cols w:space="720" w:num="1"/>
        </w:sectPr>
      </w:pPr>
    </w:p>
    <w:p>
      <w:pPr>
        <w:pStyle w:val="2"/>
        <w:spacing w:before="18" w:line="360" w:lineRule="auto"/>
        <w:ind w:right="363" w:firstLine="640"/>
      </w:pPr>
      <w:r>
        <w:rPr>
          <w:spacing w:val="-2"/>
        </w:rPr>
        <w:t>基本支出：指为保障机构正常运转、完成日常工作任务而发生的人员支出和公用支出。</w:t>
      </w:r>
    </w:p>
    <w:p>
      <w:pPr>
        <w:pStyle w:val="2"/>
        <w:spacing w:line="360" w:lineRule="auto"/>
        <w:ind w:right="363" w:firstLine="640"/>
      </w:pPr>
      <w:r>
        <w:rPr>
          <w:spacing w:val="-2"/>
        </w:rPr>
        <w:t>项目支出：指在基本支出之外为完成特定行政任务和事业发展目标所发生的支出。</w:t>
      </w:r>
    </w:p>
    <w:p>
      <w:pPr>
        <w:pStyle w:val="2"/>
        <w:spacing w:line="360" w:lineRule="auto"/>
        <w:ind w:right="363" w:firstLine="640"/>
      </w:pPr>
      <w:r>
        <w:rPr>
          <w:spacing w:val="-2"/>
        </w:rPr>
        <w:t>经营支出：指事业单位在专业业务活动及其辅助活动之外开展非独立核算经营活动发生的支出。</w:t>
      </w:r>
    </w:p>
    <w:p>
      <w:pPr>
        <w:pStyle w:val="2"/>
        <w:spacing w:before="1" w:line="360" w:lineRule="auto"/>
        <w:ind w:right="363" w:firstLine="640"/>
      </w:pPr>
      <w:r>
        <w:rPr>
          <w:spacing w:val="-2"/>
        </w:rPr>
        <w:t>对附属单位补助支出：指事业单位发生的用非财政预算资金对附属单位的补助支出。</w:t>
      </w:r>
    </w:p>
    <w:p>
      <w:pPr>
        <w:pStyle w:val="2"/>
        <w:spacing w:line="360" w:lineRule="auto"/>
        <w:ind w:right="358" w:firstLine="640"/>
        <w:jc w:val="both"/>
      </w:pP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指用财政拨款安排的因公出国（境）费、公务用车购置及运行费和公务接待费。其中，因公出国（境）费反映单位公务出国（境）的国际旅费、国外城市间交通费、住宿费、伙食费、培训费、公杂费等支出；公务用车购置费反映</w:t>
      </w:r>
      <w:r>
        <w:rPr>
          <w:spacing w:val="-9"/>
        </w:rPr>
        <w:t>公务用车购置支出</w:t>
      </w:r>
      <w:r>
        <w:rPr>
          <w:spacing w:val="-2"/>
        </w:rPr>
        <w:t>（</w:t>
      </w:r>
      <w:r>
        <w:rPr>
          <w:spacing w:val="-9"/>
        </w:rPr>
        <w:t>含车辆购置税、牌照费</w:t>
      </w:r>
      <w:r>
        <w:rPr>
          <w:spacing w:val="-161"/>
        </w:rPr>
        <w:t>）</w:t>
      </w:r>
      <w:r>
        <w:rPr>
          <w:spacing w:val="-10"/>
        </w:rPr>
        <w:t>；公务用车运行维</w:t>
      </w:r>
      <w:r>
        <w:rPr>
          <w:spacing w:val="-2"/>
        </w:rPr>
        <w:t>护费反映单位按规定保留的公务用车燃料费、维修费、过路过桥费、保险费、安全奖励费用等支出；公务接待费反映单位按规定开支的各类公务接待（含外宾接待）费用。</w:t>
      </w:r>
    </w:p>
    <w:p>
      <w:pPr>
        <w:pStyle w:val="2"/>
        <w:spacing w:before="1" w:line="360" w:lineRule="auto"/>
        <w:ind w:right="362" w:firstLine="640"/>
      </w:pPr>
      <w:r>
        <w:rPr>
          <w:spacing w:val="-2"/>
        </w:rPr>
        <w:t>机关运行经费：行政单位和参照公务员法管理的事业单位财政拨款基本支出中的公用经费支出。</w:t>
      </w:r>
    </w:p>
    <w:p>
      <w:pPr>
        <w:pStyle w:val="2"/>
        <w:spacing w:line="360" w:lineRule="auto"/>
        <w:sectPr>
          <w:pgSz w:w="12240" w:h="15840"/>
          <w:pgMar w:top="1420" w:right="1440" w:bottom="280" w:left="1800" w:header="720" w:footer="720" w:gutter="0"/>
          <w:cols w:space="720" w:num="1"/>
        </w:sectPr>
      </w:pPr>
    </w:p>
    <w:p>
      <w:pPr>
        <w:pStyle w:val="2"/>
        <w:spacing w:before="240"/>
        <w:ind w:left="5" w:right="362"/>
        <w:jc w:val="center"/>
        <w:rPr>
          <w:rFonts w:ascii="黑体" w:eastAsia="黑体"/>
        </w:rPr>
      </w:pPr>
      <w:r>
        <w:rPr>
          <w:rFonts w:ascii="黑体" w:eastAsia="黑体"/>
          <w:spacing w:val="-6"/>
        </w:rPr>
        <w:t>第四部分 部门决算报表</w:t>
      </w:r>
      <w:r>
        <w:rPr>
          <w:rFonts w:ascii="黑体" w:eastAsia="黑体"/>
        </w:rPr>
        <w:t>（见附表</w:t>
      </w:r>
      <w:r>
        <w:rPr>
          <w:rFonts w:ascii="黑体" w:eastAsia="黑体"/>
          <w:spacing w:val="-10"/>
        </w:rPr>
        <w:t>）</w:t>
      </w:r>
    </w:p>
    <w:p>
      <w:pPr>
        <w:pStyle w:val="2"/>
        <w:spacing w:before="347" w:line="312" w:lineRule="auto"/>
        <w:ind w:left="641" w:right="4680"/>
        <w:rPr>
          <w:rFonts w:ascii="黑体" w:eastAsia="黑体"/>
        </w:rPr>
      </w:pPr>
      <w:r>
        <w:rPr>
          <w:rFonts w:ascii="黑体" w:eastAsia="黑体"/>
          <w:spacing w:val="-18"/>
        </w:rPr>
        <w:t>一、《收入支出决算总表》</w:t>
      </w:r>
      <w:r>
        <w:rPr>
          <w:rFonts w:ascii="黑体" w:eastAsia="黑体"/>
          <w:spacing w:val="-21"/>
        </w:rPr>
        <w:t>二、《收入决算表》</w:t>
      </w:r>
    </w:p>
    <w:p>
      <w:pPr>
        <w:pStyle w:val="2"/>
        <w:spacing w:line="414" w:lineRule="exact"/>
        <w:ind w:left="641"/>
        <w:rPr>
          <w:rFonts w:ascii="黑体" w:eastAsia="黑体"/>
        </w:rPr>
      </w:pPr>
      <w:r>
        <w:rPr>
          <w:rFonts w:ascii="黑体" w:eastAsia="黑体"/>
          <w:spacing w:val="-24"/>
        </w:rPr>
        <w:t>三、《支出决算表》</w:t>
      </w:r>
    </w:p>
    <w:p>
      <w:pPr>
        <w:pStyle w:val="2"/>
        <w:spacing w:before="124"/>
        <w:ind w:left="641"/>
        <w:rPr>
          <w:rFonts w:ascii="黑体" w:eastAsia="黑体"/>
        </w:rPr>
      </w:pPr>
      <w:r>
        <w:rPr>
          <w:rFonts w:ascii="黑体" w:eastAsia="黑体"/>
          <w:spacing w:val="-18"/>
        </w:rPr>
        <w:t>四、《财政拨款收入支出决算总表》</w:t>
      </w:r>
    </w:p>
    <w:p>
      <w:pPr>
        <w:pStyle w:val="2"/>
        <w:spacing w:before="124"/>
        <w:ind w:left="641"/>
        <w:rPr>
          <w:rFonts w:ascii="黑体" w:eastAsia="黑体"/>
        </w:rPr>
      </w:pPr>
      <w:r>
        <w:rPr>
          <w:rFonts w:ascii="黑体" w:eastAsia="黑体"/>
          <w:spacing w:val="-18"/>
        </w:rPr>
        <w:t>五、《一般公共预算财政拨款支出决算表》</w:t>
      </w:r>
    </w:p>
    <w:p>
      <w:pPr>
        <w:pStyle w:val="2"/>
        <w:spacing w:before="124" w:line="312" w:lineRule="auto"/>
        <w:ind w:left="641" w:right="1801"/>
        <w:rPr>
          <w:rFonts w:ascii="黑体" w:hAnsi="黑体" w:eastAsia="黑体"/>
        </w:rPr>
      </w:pPr>
      <w:r>
        <w:rPr>
          <w:rFonts w:ascii="黑体" w:hAnsi="黑体" w:eastAsia="黑体"/>
          <w:spacing w:val="-16"/>
        </w:rPr>
        <w:t>六、《一般公共预算财政拨款基本支出决算表》</w:t>
      </w:r>
      <w:r>
        <w:rPr>
          <w:rFonts w:ascii="黑体" w:hAnsi="黑体" w:eastAsia="黑体"/>
          <w:spacing w:val="-26"/>
        </w:rPr>
        <w:t>七、《财政拨款</w:t>
      </w:r>
      <w:r>
        <w:rPr>
          <w:rFonts w:ascii="Times New Roman" w:hAnsi="Times New Roman" w:eastAsia="Times New Roman"/>
          <w:spacing w:val="-2"/>
        </w:rPr>
        <w:t>“</w:t>
      </w:r>
      <w:r>
        <w:rPr>
          <w:rFonts w:ascii="黑体" w:hAnsi="黑体" w:eastAsia="黑体"/>
          <w:spacing w:val="-2"/>
        </w:rPr>
        <w:t>三公</w:t>
      </w:r>
      <w:r>
        <w:rPr>
          <w:rFonts w:ascii="Times New Roman" w:hAnsi="Times New Roman" w:eastAsia="Times New Roman"/>
          <w:spacing w:val="-2"/>
        </w:rPr>
        <w:t>”</w:t>
      </w:r>
      <w:r>
        <w:rPr>
          <w:rFonts w:ascii="黑体" w:hAnsi="黑体" w:eastAsia="黑体"/>
          <w:spacing w:val="-2"/>
        </w:rPr>
        <w:t>经费支出决算表》</w:t>
      </w:r>
    </w:p>
    <w:p>
      <w:pPr>
        <w:pStyle w:val="2"/>
        <w:spacing w:line="312" w:lineRule="auto"/>
        <w:ind w:left="641" w:right="1160"/>
        <w:rPr>
          <w:rFonts w:ascii="黑体" w:eastAsia="黑体"/>
        </w:rPr>
      </w:pPr>
      <w:r>
        <w:rPr>
          <w:rFonts w:ascii="黑体" w:eastAsia="黑体"/>
          <w:spacing w:val="-16"/>
        </w:rPr>
        <w:t>八、《政府性基金预算财政拨款收入支出决算表》</w:t>
      </w:r>
      <w:r>
        <w:rPr>
          <w:rFonts w:ascii="黑体" w:eastAsia="黑体"/>
          <w:spacing w:val="-2"/>
        </w:rPr>
        <w:t xml:space="preserve"> </w:t>
      </w:r>
      <w:r>
        <w:rPr>
          <w:rFonts w:ascii="黑体" w:eastAsia="黑体"/>
          <w:spacing w:val="-16"/>
        </w:rPr>
        <w:t>九、《国有资本经营预算财政拨款收入支出决算表》</w:t>
      </w:r>
    </w:p>
    <w:sectPr>
      <w:pgSz w:w="12240" w:h="15840"/>
      <w:pgMar w:top="1820" w:right="1440" w:bottom="28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26269"/>
    <w:multiLevelType w:val="multilevel"/>
    <w:tmpl w:val="0BF26269"/>
    <w:lvl w:ilvl="0" w:tentative="0">
      <w:start w:val="1"/>
      <w:numFmt w:val="decimal"/>
      <w:lvlText w:val="%1."/>
      <w:lvlJc w:val="left"/>
      <w:pPr>
        <w:ind w:left="0" w:hanging="322"/>
        <w:jc w:val="left"/>
      </w:pPr>
      <w:rPr>
        <w:rFonts w:hint="default" w:ascii="宋体" w:hAnsi="宋体" w:eastAsia="宋体" w:cs="宋体"/>
        <w:b w:val="0"/>
        <w:bCs w:val="0"/>
        <w:i w:val="0"/>
        <w:iCs w:val="0"/>
        <w:spacing w:val="1"/>
        <w:w w:val="98"/>
        <w:sz w:val="30"/>
        <w:szCs w:val="30"/>
        <w:lang w:val="en-US" w:eastAsia="zh-CN" w:bidi="ar-SA"/>
      </w:rPr>
    </w:lvl>
    <w:lvl w:ilvl="1" w:tentative="0">
      <w:start w:val="0"/>
      <w:numFmt w:val="bullet"/>
      <w:lvlText w:val="•"/>
      <w:lvlJc w:val="left"/>
      <w:pPr>
        <w:ind w:left="900" w:hanging="322"/>
      </w:pPr>
      <w:rPr>
        <w:rFonts w:hint="default"/>
        <w:lang w:val="en-US" w:eastAsia="zh-CN" w:bidi="ar-SA"/>
      </w:rPr>
    </w:lvl>
    <w:lvl w:ilvl="2" w:tentative="0">
      <w:start w:val="0"/>
      <w:numFmt w:val="bullet"/>
      <w:lvlText w:val="•"/>
      <w:lvlJc w:val="left"/>
      <w:pPr>
        <w:ind w:left="1800" w:hanging="322"/>
      </w:pPr>
      <w:rPr>
        <w:rFonts w:hint="default"/>
        <w:lang w:val="en-US" w:eastAsia="zh-CN" w:bidi="ar-SA"/>
      </w:rPr>
    </w:lvl>
    <w:lvl w:ilvl="3" w:tentative="0">
      <w:start w:val="0"/>
      <w:numFmt w:val="bullet"/>
      <w:lvlText w:val="•"/>
      <w:lvlJc w:val="left"/>
      <w:pPr>
        <w:ind w:left="2700" w:hanging="322"/>
      </w:pPr>
      <w:rPr>
        <w:rFonts w:hint="default"/>
        <w:lang w:val="en-US" w:eastAsia="zh-CN" w:bidi="ar-SA"/>
      </w:rPr>
    </w:lvl>
    <w:lvl w:ilvl="4" w:tentative="0">
      <w:start w:val="0"/>
      <w:numFmt w:val="bullet"/>
      <w:lvlText w:val="•"/>
      <w:lvlJc w:val="left"/>
      <w:pPr>
        <w:ind w:left="3600" w:hanging="322"/>
      </w:pPr>
      <w:rPr>
        <w:rFonts w:hint="default"/>
        <w:lang w:val="en-US" w:eastAsia="zh-CN" w:bidi="ar-SA"/>
      </w:rPr>
    </w:lvl>
    <w:lvl w:ilvl="5" w:tentative="0">
      <w:start w:val="0"/>
      <w:numFmt w:val="bullet"/>
      <w:lvlText w:val="•"/>
      <w:lvlJc w:val="left"/>
      <w:pPr>
        <w:ind w:left="4500" w:hanging="322"/>
      </w:pPr>
      <w:rPr>
        <w:rFonts w:hint="default"/>
        <w:lang w:val="en-US" w:eastAsia="zh-CN" w:bidi="ar-SA"/>
      </w:rPr>
    </w:lvl>
    <w:lvl w:ilvl="6" w:tentative="0">
      <w:start w:val="0"/>
      <w:numFmt w:val="bullet"/>
      <w:lvlText w:val="•"/>
      <w:lvlJc w:val="left"/>
      <w:pPr>
        <w:ind w:left="5400" w:hanging="322"/>
      </w:pPr>
      <w:rPr>
        <w:rFonts w:hint="default"/>
        <w:lang w:val="en-US" w:eastAsia="zh-CN" w:bidi="ar-SA"/>
      </w:rPr>
    </w:lvl>
    <w:lvl w:ilvl="7" w:tentative="0">
      <w:start w:val="0"/>
      <w:numFmt w:val="bullet"/>
      <w:lvlText w:val="•"/>
      <w:lvlJc w:val="left"/>
      <w:pPr>
        <w:ind w:left="6300" w:hanging="322"/>
      </w:pPr>
      <w:rPr>
        <w:rFonts w:hint="default"/>
        <w:lang w:val="en-US" w:eastAsia="zh-CN" w:bidi="ar-SA"/>
      </w:rPr>
    </w:lvl>
    <w:lvl w:ilvl="8" w:tentative="0">
      <w:start w:val="0"/>
      <w:numFmt w:val="bullet"/>
      <w:lvlText w:val="•"/>
      <w:lvlJc w:val="left"/>
      <w:pPr>
        <w:ind w:left="7200" w:hanging="322"/>
      </w:pPr>
      <w:rPr>
        <w:rFonts w:hint="default"/>
        <w:lang w:val="en-US" w:eastAsia="zh-CN" w:bidi="ar-SA"/>
      </w:rPr>
    </w:lvl>
  </w:abstractNum>
  <w:abstractNum w:abstractNumId="1">
    <w:nsid w:val="278003F3"/>
    <w:multiLevelType w:val="multilevel"/>
    <w:tmpl w:val="278003F3"/>
    <w:lvl w:ilvl="0" w:tentative="0">
      <w:start w:val="1"/>
      <w:numFmt w:val="decimal"/>
      <w:lvlText w:val="%1."/>
      <w:lvlJc w:val="left"/>
      <w:pPr>
        <w:ind w:left="962" w:hanging="322"/>
        <w:jc w:val="left"/>
      </w:pPr>
      <w:rPr>
        <w:rFonts w:hint="default" w:ascii="宋体" w:hAnsi="宋体" w:eastAsia="宋体" w:cs="宋体"/>
        <w:b w:val="0"/>
        <w:bCs w:val="0"/>
        <w:i w:val="0"/>
        <w:iCs w:val="0"/>
        <w:spacing w:val="1"/>
        <w:w w:val="98"/>
        <w:sz w:val="30"/>
        <w:szCs w:val="30"/>
        <w:lang w:val="en-US" w:eastAsia="zh-CN" w:bidi="ar-SA"/>
      </w:rPr>
    </w:lvl>
    <w:lvl w:ilvl="1" w:tentative="0">
      <w:start w:val="0"/>
      <w:numFmt w:val="bullet"/>
      <w:lvlText w:val="•"/>
      <w:lvlJc w:val="left"/>
      <w:pPr>
        <w:ind w:left="1764" w:hanging="322"/>
      </w:pPr>
      <w:rPr>
        <w:rFonts w:hint="default"/>
        <w:lang w:val="en-US" w:eastAsia="zh-CN" w:bidi="ar-SA"/>
      </w:rPr>
    </w:lvl>
    <w:lvl w:ilvl="2" w:tentative="0">
      <w:start w:val="0"/>
      <w:numFmt w:val="bullet"/>
      <w:lvlText w:val="•"/>
      <w:lvlJc w:val="left"/>
      <w:pPr>
        <w:ind w:left="2568" w:hanging="322"/>
      </w:pPr>
      <w:rPr>
        <w:rFonts w:hint="default"/>
        <w:lang w:val="en-US" w:eastAsia="zh-CN" w:bidi="ar-SA"/>
      </w:rPr>
    </w:lvl>
    <w:lvl w:ilvl="3" w:tentative="0">
      <w:start w:val="0"/>
      <w:numFmt w:val="bullet"/>
      <w:lvlText w:val="•"/>
      <w:lvlJc w:val="left"/>
      <w:pPr>
        <w:ind w:left="3372" w:hanging="322"/>
      </w:pPr>
      <w:rPr>
        <w:rFonts w:hint="default"/>
        <w:lang w:val="en-US" w:eastAsia="zh-CN" w:bidi="ar-SA"/>
      </w:rPr>
    </w:lvl>
    <w:lvl w:ilvl="4" w:tentative="0">
      <w:start w:val="0"/>
      <w:numFmt w:val="bullet"/>
      <w:lvlText w:val="•"/>
      <w:lvlJc w:val="left"/>
      <w:pPr>
        <w:ind w:left="4176" w:hanging="322"/>
      </w:pPr>
      <w:rPr>
        <w:rFonts w:hint="default"/>
        <w:lang w:val="en-US" w:eastAsia="zh-CN" w:bidi="ar-SA"/>
      </w:rPr>
    </w:lvl>
    <w:lvl w:ilvl="5" w:tentative="0">
      <w:start w:val="0"/>
      <w:numFmt w:val="bullet"/>
      <w:lvlText w:val="•"/>
      <w:lvlJc w:val="left"/>
      <w:pPr>
        <w:ind w:left="4980" w:hanging="322"/>
      </w:pPr>
      <w:rPr>
        <w:rFonts w:hint="default"/>
        <w:lang w:val="en-US" w:eastAsia="zh-CN" w:bidi="ar-SA"/>
      </w:rPr>
    </w:lvl>
    <w:lvl w:ilvl="6" w:tentative="0">
      <w:start w:val="0"/>
      <w:numFmt w:val="bullet"/>
      <w:lvlText w:val="•"/>
      <w:lvlJc w:val="left"/>
      <w:pPr>
        <w:ind w:left="5784" w:hanging="322"/>
      </w:pPr>
      <w:rPr>
        <w:rFonts w:hint="default"/>
        <w:lang w:val="en-US" w:eastAsia="zh-CN" w:bidi="ar-SA"/>
      </w:rPr>
    </w:lvl>
    <w:lvl w:ilvl="7" w:tentative="0">
      <w:start w:val="0"/>
      <w:numFmt w:val="bullet"/>
      <w:lvlText w:val="•"/>
      <w:lvlJc w:val="left"/>
      <w:pPr>
        <w:ind w:left="6588" w:hanging="322"/>
      </w:pPr>
      <w:rPr>
        <w:rFonts w:hint="default"/>
        <w:lang w:val="en-US" w:eastAsia="zh-CN" w:bidi="ar-SA"/>
      </w:rPr>
    </w:lvl>
    <w:lvl w:ilvl="8" w:tentative="0">
      <w:start w:val="0"/>
      <w:numFmt w:val="bullet"/>
      <w:lvlText w:val="•"/>
      <w:lvlJc w:val="left"/>
      <w:pPr>
        <w:ind w:left="7392" w:hanging="322"/>
      </w:pPr>
      <w:rPr>
        <w:rFonts w:hint="default"/>
        <w:lang w:val="en-US" w:eastAsia="zh-CN" w:bidi="ar-SA"/>
      </w:rPr>
    </w:lvl>
  </w:abstractNum>
  <w:abstractNum w:abstractNumId="2">
    <w:nsid w:val="559A4187"/>
    <w:multiLevelType w:val="multilevel"/>
    <w:tmpl w:val="559A4187"/>
    <w:lvl w:ilvl="0" w:tentative="0">
      <w:start w:val="1"/>
      <w:numFmt w:val="decimal"/>
      <w:lvlText w:val="（%1）"/>
      <w:lvlJc w:val="left"/>
      <w:pPr>
        <w:ind w:left="0" w:hanging="801"/>
        <w:jc w:val="left"/>
      </w:pPr>
      <w:rPr>
        <w:rFonts w:hint="default" w:ascii="宋体" w:hAnsi="宋体" w:eastAsia="宋体" w:cs="宋体"/>
        <w:b w:val="0"/>
        <w:bCs w:val="0"/>
        <w:i w:val="0"/>
        <w:iCs w:val="0"/>
        <w:spacing w:val="-41"/>
        <w:w w:val="99"/>
        <w:sz w:val="30"/>
        <w:szCs w:val="30"/>
        <w:lang w:val="en-US" w:eastAsia="zh-CN" w:bidi="ar-SA"/>
      </w:rPr>
    </w:lvl>
    <w:lvl w:ilvl="1" w:tentative="0">
      <w:start w:val="0"/>
      <w:numFmt w:val="bullet"/>
      <w:lvlText w:val="•"/>
      <w:lvlJc w:val="left"/>
      <w:pPr>
        <w:ind w:left="900" w:hanging="801"/>
      </w:pPr>
      <w:rPr>
        <w:rFonts w:hint="default"/>
        <w:lang w:val="en-US" w:eastAsia="zh-CN" w:bidi="ar-SA"/>
      </w:rPr>
    </w:lvl>
    <w:lvl w:ilvl="2" w:tentative="0">
      <w:start w:val="0"/>
      <w:numFmt w:val="bullet"/>
      <w:lvlText w:val="•"/>
      <w:lvlJc w:val="left"/>
      <w:pPr>
        <w:ind w:left="1800" w:hanging="801"/>
      </w:pPr>
      <w:rPr>
        <w:rFonts w:hint="default"/>
        <w:lang w:val="en-US" w:eastAsia="zh-CN" w:bidi="ar-SA"/>
      </w:rPr>
    </w:lvl>
    <w:lvl w:ilvl="3" w:tentative="0">
      <w:start w:val="0"/>
      <w:numFmt w:val="bullet"/>
      <w:lvlText w:val="•"/>
      <w:lvlJc w:val="left"/>
      <w:pPr>
        <w:ind w:left="2700" w:hanging="801"/>
      </w:pPr>
      <w:rPr>
        <w:rFonts w:hint="default"/>
        <w:lang w:val="en-US" w:eastAsia="zh-CN" w:bidi="ar-SA"/>
      </w:rPr>
    </w:lvl>
    <w:lvl w:ilvl="4" w:tentative="0">
      <w:start w:val="0"/>
      <w:numFmt w:val="bullet"/>
      <w:lvlText w:val="•"/>
      <w:lvlJc w:val="left"/>
      <w:pPr>
        <w:ind w:left="3600" w:hanging="801"/>
      </w:pPr>
      <w:rPr>
        <w:rFonts w:hint="default"/>
        <w:lang w:val="en-US" w:eastAsia="zh-CN" w:bidi="ar-SA"/>
      </w:rPr>
    </w:lvl>
    <w:lvl w:ilvl="5" w:tentative="0">
      <w:start w:val="0"/>
      <w:numFmt w:val="bullet"/>
      <w:lvlText w:val="•"/>
      <w:lvlJc w:val="left"/>
      <w:pPr>
        <w:ind w:left="4500" w:hanging="801"/>
      </w:pPr>
      <w:rPr>
        <w:rFonts w:hint="default"/>
        <w:lang w:val="en-US" w:eastAsia="zh-CN" w:bidi="ar-SA"/>
      </w:rPr>
    </w:lvl>
    <w:lvl w:ilvl="6" w:tentative="0">
      <w:start w:val="0"/>
      <w:numFmt w:val="bullet"/>
      <w:lvlText w:val="•"/>
      <w:lvlJc w:val="left"/>
      <w:pPr>
        <w:ind w:left="5400" w:hanging="801"/>
      </w:pPr>
      <w:rPr>
        <w:rFonts w:hint="default"/>
        <w:lang w:val="en-US" w:eastAsia="zh-CN" w:bidi="ar-SA"/>
      </w:rPr>
    </w:lvl>
    <w:lvl w:ilvl="7" w:tentative="0">
      <w:start w:val="0"/>
      <w:numFmt w:val="bullet"/>
      <w:lvlText w:val="•"/>
      <w:lvlJc w:val="left"/>
      <w:pPr>
        <w:ind w:left="6300" w:hanging="801"/>
      </w:pPr>
      <w:rPr>
        <w:rFonts w:hint="default"/>
        <w:lang w:val="en-US" w:eastAsia="zh-CN" w:bidi="ar-SA"/>
      </w:rPr>
    </w:lvl>
    <w:lvl w:ilvl="8" w:tentative="0">
      <w:start w:val="0"/>
      <w:numFmt w:val="bullet"/>
      <w:lvlText w:val="•"/>
      <w:lvlJc w:val="left"/>
      <w:pPr>
        <w:ind w:left="7200" w:hanging="801"/>
      </w:pPr>
      <w:rPr>
        <w:rFonts w:hint="default"/>
        <w:lang w:val="en-US" w:eastAsia="zh-CN"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005"/>
    <w:rsid w:val="00237005"/>
    <w:rsid w:val="00E803D6"/>
    <w:rsid w:val="43300712"/>
    <w:rsid w:val="72911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character" w:default="1" w:styleId="6">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footer"/>
    <w:basedOn w:val="1"/>
    <w:link w:val="12"/>
    <w:unhideWhenUsed/>
    <w:uiPriority w:val="99"/>
    <w:pPr>
      <w:tabs>
        <w:tab w:val="center" w:pos="4153"/>
        <w:tab w:val="right" w:pos="8306"/>
      </w:tabs>
      <w:snapToGrid w:val="0"/>
    </w:pPr>
    <w:rPr>
      <w:sz w:val="18"/>
      <w:szCs w:val="18"/>
    </w:rPr>
  </w:style>
  <w:style w:type="paragraph" w:styleId="4">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qFormat/>
    <w:uiPriority w:val="1"/>
    <w:pPr>
      <w:ind w:right="362"/>
      <w:jc w:val="center"/>
    </w:pPr>
    <w:rPr>
      <w:sz w:val="44"/>
      <w:szCs w:val="44"/>
    </w:rPr>
  </w:style>
  <w:style w:type="table" w:customStyle="1" w:styleId="8">
    <w:name w:val="Table Normal"/>
    <w:semiHidden/>
    <w:unhideWhenUsed/>
    <w:qFormat/>
    <w:uiPriority w:val="2"/>
    <w:tblPr>
      <w:tblLayout w:type="fixed"/>
      <w:tblCellMar>
        <w:top w:w="0" w:type="dxa"/>
        <w:left w:w="0" w:type="dxa"/>
        <w:bottom w:w="0" w:type="dxa"/>
        <w:right w:w="0" w:type="dxa"/>
      </w:tblCellMar>
    </w:tblPr>
  </w:style>
  <w:style w:type="paragraph" w:styleId="9">
    <w:name w:val="List Paragraph"/>
    <w:basedOn w:val="1"/>
    <w:qFormat/>
    <w:uiPriority w:val="1"/>
    <w:pPr>
      <w:ind w:firstLine="640"/>
    </w:pPr>
  </w:style>
  <w:style w:type="paragraph" w:customStyle="1" w:styleId="10">
    <w:name w:val="Table Paragraph"/>
    <w:basedOn w:val="1"/>
    <w:qFormat/>
    <w:uiPriority w:val="1"/>
  </w:style>
  <w:style w:type="character" w:customStyle="1" w:styleId="11">
    <w:name w:val="页眉 字符"/>
    <w:basedOn w:val="6"/>
    <w:link w:val="4"/>
    <w:uiPriority w:val="99"/>
    <w:rPr>
      <w:rFonts w:ascii="宋体" w:hAnsi="宋体" w:eastAsia="宋体" w:cs="宋体"/>
      <w:sz w:val="18"/>
      <w:szCs w:val="18"/>
      <w:lang w:eastAsia="zh-CN"/>
    </w:rPr>
  </w:style>
  <w:style w:type="character" w:customStyle="1" w:styleId="12">
    <w:name w:val="页脚 字符"/>
    <w:basedOn w:val="6"/>
    <w:link w:val="3"/>
    <w:qFormat/>
    <w:uiPriority w:val="99"/>
    <w:rPr>
      <w:rFonts w:ascii="宋体" w:hAnsi="宋体" w:eastAsia="宋体" w:cs="宋体"/>
      <w:sz w:val="18"/>
      <w:szCs w:val="18"/>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983</Words>
  <Characters>5609</Characters>
  <Lines>46</Lines>
  <Paragraphs>13</Paragraphs>
  <TotalTime>0</TotalTime>
  <ScaleCrop>false</ScaleCrop>
  <LinksUpToDate>false</LinksUpToDate>
  <CharactersWithSpaces>6579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2026-08-03T07:55:00Z</dcterms:created>
  <dc:creator>wxc</dc:creator>
  <cp:lastModifiedBy>YLD</cp:lastModifiedBy>
  <dcterms:modified xsi:type="dcterms:W3CDTF">2026-08-03T09:45:16Z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2024-02-23T00:00:00Z</vt:filetime>
  </property>
  <property fmtid="{D5CDD505-2E9C-101B-9397-08002B2CF9AE}" pid="3" name="Creator">
    <vt:lpwstr>Microsoft® Word 2019</vt:lpwstr>
  </property>
  <property fmtid="{D5CDD505-2E9C-101B-9397-08002B2CF9AE}" pid="4" name="LastSaved">
    <vt:filetime>2026-08-03T00:00:00Z</vt:filetime>
  </property>
  <property fmtid="{D5CDD505-2E9C-101B-9397-08002B2CF9AE}" pid="5" name="Producer">
    <vt:lpwstr>Microsoft® Word 2019</vt:lpwstr>
  </property>
  <property fmtid="{D5CDD505-2E9C-101B-9397-08002B2CF9AE}" pid="6" name="KSOProductBuildVer">
    <vt:lpwstr>2052-11.8.2.8053</vt:lpwstr>
  </property>
</Properties>
</file>