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A59E3">
      <w:pPr>
        <w:spacing w:line="540" w:lineRule="exact"/>
        <w:jc w:val="center"/>
        <w:rPr>
          <w:rFonts w:hint="default" w:ascii="Times New Roman" w:hAnsi="Times New Roman" w:eastAsia="华文中宋" w:cs="Times New Roman"/>
          <w:b/>
          <w:kern w:val="0"/>
          <w:sz w:val="52"/>
          <w:szCs w:val="52"/>
          <w:highlight w:val="none"/>
        </w:rPr>
      </w:pPr>
    </w:p>
    <w:p w14:paraId="0A838BAF">
      <w:pPr>
        <w:spacing w:line="540" w:lineRule="exact"/>
        <w:rPr>
          <w:rFonts w:hint="default" w:ascii="Times New Roman" w:hAnsi="Times New Roman" w:eastAsia="华文中宋" w:cs="Times New Roman"/>
          <w:b/>
          <w:kern w:val="0"/>
          <w:sz w:val="52"/>
          <w:szCs w:val="52"/>
          <w:highlight w:val="none"/>
        </w:rPr>
      </w:pPr>
    </w:p>
    <w:p w14:paraId="097C6D18">
      <w:pPr>
        <w:spacing w:line="540" w:lineRule="exact"/>
        <w:jc w:val="center"/>
        <w:rPr>
          <w:rFonts w:hint="default" w:ascii="Times New Roman" w:hAnsi="Times New Roman" w:eastAsia="华文中宋" w:cs="Times New Roman"/>
          <w:b/>
          <w:kern w:val="0"/>
          <w:sz w:val="52"/>
          <w:szCs w:val="52"/>
          <w:highlight w:val="none"/>
        </w:rPr>
      </w:pPr>
    </w:p>
    <w:p w14:paraId="056EE6EE">
      <w:pPr>
        <w:spacing w:line="540" w:lineRule="exact"/>
        <w:jc w:val="center"/>
        <w:rPr>
          <w:rFonts w:hint="default" w:ascii="Times New Roman" w:hAnsi="Times New Roman" w:eastAsia="华文中宋" w:cs="Times New Roman"/>
          <w:b/>
          <w:kern w:val="0"/>
          <w:sz w:val="52"/>
          <w:szCs w:val="52"/>
          <w:highlight w:val="none"/>
        </w:rPr>
      </w:pPr>
    </w:p>
    <w:p w14:paraId="374CD78D">
      <w:pPr>
        <w:spacing w:line="540" w:lineRule="exact"/>
        <w:jc w:val="center"/>
        <w:rPr>
          <w:rFonts w:hint="default" w:ascii="Times New Roman" w:hAnsi="Times New Roman" w:eastAsia="方正小标宋_GBK" w:cs="Times New Roman"/>
          <w:kern w:val="0"/>
          <w:sz w:val="48"/>
          <w:szCs w:val="48"/>
          <w:highlight w:val="none"/>
        </w:rPr>
      </w:pPr>
      <w:r>
        <w:rPr>
          <w:rFonts w:hint="eastAsia" w:ascii="Times New Roman" w:hAnsi="Times New Roman" w:eastAsia="方正小标宋_GBK" w:cs="Times New Roman"/>
          <w:kern w:val="0"/>
          <w:sz w:val="48"/>
          <w:szCs w:val="48"/>
          <w:highlight w:val="none"/>
          <w:lang w:eastAsia="zh-CN"/>
        </w:rPr>
        <w:t>2024年国家财政基本公共卫生服务补助资金</w:t>
      </w:r>
      <w:r>
        <w:rPr>
          <w:rFonts w:hint="default" w:ascii="Times New Roman" w:hAnsi="Times New Roman" w:eastAsia="方正小标宋_GBK" w:cs="Times New Roman"/>
          <w:kern w:val="0"/>
          <w:sz w:val="48"/>
          <w:szCs w:val="48"/>
          <w:highlight w:val="none"/>
        </w:rPr>
        <w:t>项目支出绩效评价报告</w:t>
      </w:r>
    </w:p>
    <w:p w14:paraId="5B4897F7">
      <w:pPr>
        <w:spacing w:line="540" w:lineRule="exact"/>
        <w:jc w:val="center"/>
        <w:rPr>
          <w:rFonts w:hint="default" w:ascii="Times New Roman" w:hAnsi="Times New Roman" w:eastAsia="华文中宋" w:cs="Times New Roman"/>
          <w:b/>
          <w:kern w:val="0"/>
          <w:sz w:val="52"/>
          <w:szCs w:val="52"/>
          <w:highlight w:val="none"/>
        </w:rPr>
      </w:pPr>
    </w:p>
    <w:p w14:paraId="4D3470BF">
      <w:pPr>
        <w:spacing w:line="540" w:lineRule="exact"/>
        <w:jc w:val="center"/>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（202</w:t>
      </w:r>
      <w:r>
        <w:rPr>
          <w:rFonts w:hint="default" w:ascii="Times New Roman" w:hAnsi="Times New Roman" w:eastAsia="仿宋_GB2312" w:cs="Times New Roman"/>
          <w:kern w:val="0"/>
          <w:sz w:val="36"/>
          <w:szCs w:val="36"/>
          <w:highlight w:val="none"/>
          <w:lang w:val="en-US" w:eastAsia="zh-CN"/>
        </w:rPr>
        <w:t>4</w:t>
      </w:r>
      <w:r>
        <w:rPr>
          <w:rFonts w:hint="default" w:ascii="Times New Roman" w:hAnsi="Times New Roman" w:eastAsia="仿宋_GB2312" w:cs="Times New Roman"/>
          <w:kern w:val="0"/>
          <w:sz w:val="36"/>
          <w:szCs w:val="36"/>
          <w:highlight w:val="none"/>
        </w:rPr>
        <w:t>年度）</w:t>
      </w:r>
    </w:p>
    <w:p w14:paraId="1E996B09">
      <w:pPr>
        <w:spacing w:line="540" w:lineRule="exact"/>
        <w:jc w:val="center"/>
        <w:rPr>
          <w:rFonts w:hint="default" w:ascii="Times New Roman" w:hAnsi="Times New Roman" w:eastAsia="仿宋_GB2312" w:cs="Times New Roman"/>
          <w:kern w:val="0"/>
          <w:sz w:val="30"/>
          <w:szCs w:val="30"/>
          <w:highlight w:val="none"/>
        </w:rPr>
      </w:pPr>
    </w:p>
    <w:p w14:paraId="1CB111E7">
      <w:pPr>
        <w:spacing w:line="540" w:lineRule="exact"/>
        <w:jc w:val="center"/>
        <w:rPr>
          <w:rFonts w:hint="default" w:ascii="Times New Roman" w:hAnsi="Times New Roman" w:eastAsia="仿宋_GB2312" w:cs="Times New Roman"/>
          <w:kern w:val="0"/>
          <w:sz w:val="30"/>
          <w:szCs w:val="30"/>
          <w:highlight w:val="none"/>
        </w:rPr>
      </w:pPr>
    </w:p>
    <w:p w14:paraId="4F36E273">
      <w:pPr>
        <w:spacing w:line="540" w:lineRule="exact"/>
        <w:jc w:val="both"/>
        <w:rPr>
          <w:rFonts w:hint="default" w:ascii="Times New Roman" w:hAnsi="Times New Roman" w:eastAsia="仿宋_GB2312" w:cs="Times New Roman"/>
          <w:kern w:val="0"/>
          <w:sz w:val="30"/>
          <w:szCs w:val="30"/>
          <w:highlight w:val="none"/>
        </w:rPr>
      </w:pPr>
    </w:p>
    <w:p w14:paraId="079EDA38">
      <w:pPr>
        <w:spacing w:line="540" w:lineRule="exact"/>
        <w:rPr>
          <w:rFonts w:hint="default" w:ascii="Times New Roman" w:hAnsi="Times New Roman" w:eastAsia="仿宋_GB2312" w:cs="Times New Roman"/>
          <w:kern w:val="0"/>
          <w:sz w:val="30"/>
          <w:szCs w:val="30"/>
          <w:highlight w:val="none"/>
        </w:rPr>
      </w:pPr>
    </w:p>
    <w:p w14:paraId="43C8E7C9">
      <w:pPr>
        <w:keepNext w:val="0"/>
        <w:keepLines w:val="0"/>
        <w:pageBreakBefore w:val="0"/>
        <w:widowControl w:val="0"/>
        <w:kinsoku/>
        <w:wordWrap/>
        <w:overflowPunct/>
        <w:topLinePunct w:val="0"/>
        <w:autoSpaceDE/>
        <w:autoSpaceDN/>
        <w:bidi w:val="0"/>
        <w:adjustRightInd/>
        <w:snapToGrid/>
        <w:spacing w:line="700" w:lineRule="exact"/>
        <w:ind w:left="3236" w:leftChars="684" w:hanging="1800" w:hangingChars="500"/>
        <w:jc w:val="left"/>
        <w:textAlignment w:val="auto"/>
        <w:rPr>
          <w:rFonts w:hint="default"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项目名称：</w:t>
      </w:r>
      <w:r>
        <w:rPr>
          <w:rFonts w:hint="eastAsia" w:eastAsia="仿宋_GB2312" w:cs="Times New Roman"/>
          <w:kern w:val="0"/>
          <w:sz w:val="36"/>
          <w:szCs w:val="36"/>
          <w:highlight w:val="none"/>
          <w:lang w:eastAsia="zh-CN"/>
        </w:rPr>
        <w:t>乌财社〔2023〕266号-2024年国家财政基本公共卫生服务补助资金（直达资金）</w:t>
      </w:r>
    </w:p>
    <w:p w14:paraId="1CAD0418">
      <w:pPr>
        <w:keepNext w:val="0"/>
        <w:keepLines w:val="0"/>
        <w:pageBreakBefore w:val="0"/>
        <w:widowControl w:val="0"/>
        <w:kinsoku/>
        <w:wordWrap/>
        <w:overflowPunct/>
        <w:topLinePunct w:val="0"/>
        <w:autoSpaceDE/>
        <w:autoSpaceDN/>
        <w:bidi w:val="0"/>
        <w:adjustRightInd/>
        <w:snapToGrid/>
        <w:spacing w:line="700" w:lineRule="exact"/>
        <w:ind w:left="4676" w:leftChars="684" w:hanging="3240" w:hangingChars="900"/>
        <w:jc w:val="left"/>
        <w:textAlignment w:val="auto"/>
        <w:rPr>
          <w:rFonts w:hint="eastAsia" w:ascii="Times New Roman" w:hAnsi="Times New Roman"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实施单位（公章）：</w:t>
      </w:r>
      <w:r>
        <w:rPr>
          <w:rFonts w:hint="eastAsia" w:eastAsia="仿宋_GB2312" w:cs="Times New Roman"/>
          <w:kern w:val="0"/>
          <w:sz w:val="36"/>
          <w:szCs w:val="36"/>
          <w:highlight w:val="none"/>
          <w:lang w:eastAsia="zh-CN"/>
        </w:rPr>
        <w:t>乌鲁木齐市沙依巴克区卫生健康委员会</w:t>
      </w:r>
    </w:p>
    <w:p w14:paraId="19379B63">
      <w:pPr>
        <w:keepNext w:val="0"/>
        <w:keepLines w:val="0"/>
        <w:pageBreakBefore w:val="0"/>
        <w:widowControl w:val="0"/>
        <w:kinsoku/>
        <w:wordWrap/>
        <w:overflowPunct/>
        <w:topLinePunct w:val="0"/>
        <w:autoSpaceDE/>
        <w:autoSpaceDN/>
        <w:bidi w:val="0"/>
        <w:adjustRightInd/>
        <w:snapToGrid/>
        <w:spacing w:line="700" w:lineRule="exact"/>
        <w:ind w:left="4676" w:leftChars="684" w:hanging="3240" w:hangingChars="900"/>
        <w:jc w:val="left"/>
        <w:textAlignment w:val="auto"/>
        <w:rPr>
          <w:rFonts w:hint="default" w:ascii="Times New Roman" w:hAnsi="Times New Roman" w:eastAsia="仿宋_GB2312" w:cs="Times New Roman"/>
          <w:kern w:val="0"/>
          <w:sz w:val="36"/>
          <w:szCs w:val="36"/>
          <w:highlight w:val="none"/>
        </w:rPr>
      </w:pPr>
      <w:r>
        <w:rPr>
          <w:rFonts w:hint="default" w:ascii="Times New Roman" w:hAnsi="Times New Roman" w:eastAsia="仿宋_GB2312" w:cs="Times New Roman"/>
          <w:kern w:val="0"/>
          <w:sz w:val="36"/>
          <w:szCs w:val="36"/>
          <w:highlight w:val="none"/>
        </w:rPr>
        <w:t>主管部门（公章）：</w:t>
      </w:r>
      <w:r>
        <w:rPr>
          <w:rFonts w:hint="eastAsia" w:eastAsia="仿宋_GB2312" w:cs="Times New Roman"/>
          <w:kern w:val="0"/>
          <w:sz w:val="36"/>
          <w:szCs w:val="36"/>
          <w:highlight w:val="none"/>
          <w:lang w:eastAsia="zh-CN"/>
        </w:rPr>
        <w:t>乌鲁木齐市沙依巴克区卫生健康委员会</w:t>
      </w:r>
    </w:p>
    <w:p w14:paraId="045963AE">
      <w:pPr>
        <w:keepNext w:val="0"/>
        <w:keepLines w:val="0"/>
        <w:pageBreakBefore w:val="0"/>
        <w:widowControl w:val="0"/>
        <w:kinsoku/>
        <w:wordWrap/>
        <w:overflowPunct/>
        <w:topLinePunct w:val="0"/>
        <w:autoSpaceDE/>
        <w:autoSpaceDN/>
        <w:bidi w:val="0"/>
        <w:adjustRightInd/>
        <w:snapToGrid/>
        <w:spacing w:line="700" w:lineRule="exact"/>
        <w:ind w:firstLine="1440" w:firstLineChars="400"/>
        <w:jc w:val="left"/>
        <w:textAlignment w:val="auto"/>
        <w:rPr>
          <w:rFonts w:hint="eastAsia" w:ascii="Times New Roman" w:hAnsi="Times New Roman" w:eastAsia="仿宋_GB2312" w:cs="Times New Roman"/>
          <w:kern w:val="0"/>
          <w:sz w:val="36"/>
          <w:szCs w:val="36"/>
          <w:highlight w:val="none"/>
          <w:lang w:eastAsia="zh-CN"/>
        </w:rPr>
      </w:pPr>
      <w:r>
        <w:rPr>
          <w:rFonts w:hint="default" w:ascii="Times New Roman" w:hAnsi="Times New Roman" w:eastAsia="仿宋_GB2312" w:cs="Times New Roman"/>
          <w:kern w:val="0"/>
          <w:sz w:val="36"/>
          <w:szCs w:val="36"/>
          <w:highlight w:val="none"/>
        </w:rPr>
        <w:t>项目负责人（签章）：</w:t>
      </w:r>
      <w:r>
        <w:rPr>
          <w:rFonts w:hint="eastAsia" w:eastAsia="仿宋_GB2312" w:cs="Times New Roman"/>
          <w:kern w:val="0"/>
          <w:sz w:val="36"/>
          <w:szCs w:val="36"/>
          <w:highlight w:val="none"/>
          <w:lang w:eastAsia="zh-CN"/>
        </w:rPr>
        <w:t>田立江</w:t>
      </w:r>
    </w:p>
    <w:p w14:paraId="1FFE546C">
      <w:pPr>
        <w:spacing w:line="700" w:lineRule="exact"/>
        <w:ind w:firstLine="1440" w:firstLineChars="400"/>
        <w:jc w:val="left"/>
        <w:rPr>
          <w:rStyle w:val="16"/>
          <w:rFonts w:hint="default" w:ascii="Times New Roman" w:hAnsi="Times New Roman" w:eastAsia="黑体" w:cs="Times New Roman"/>
          <w:b w:val="0"/>
          <w:spacing w:val="-4"/>
          <w:sz w:val="32"/>
          <w:szCs w:val="32"/>
          <w:highlight w:val="none"/>
        </w:rPr>
      </w:pPr>
      <w:r>
        <w:rPr>
          <w:rFonts w:hint="default" w:ascii="Times New Roman" w:hAnsi="Times New Roman" w:eastAsia="仿宋_GB2312" w:cs="Times New Roman"/>
          <w:kern w:val="0"/>
          <w:sz w:val="36"/>
          <w:szCs w:val="36"/>
          <w:highlight w:val="none"/>
        </w:rPr>
        <w:t>填报时间：</w:t>
      </w:r>
      <w:r>
        <w:rPr>
          <w:rFonts w:hint="eastAsia" w:eastAsia="仿宋_GB2312" w:cs="Times New Roman"/>
          <w:kern w:val="0"/>
          <w:sz w:val="36"/>
          <w:szCs w:val="36"/>
          <w:highlight w:val="none"/>
          <w:lang w:val="en-US" w:eastAsia="zh-CN"/>
        </w:rPr>
        <w:t>2025</w:t>
      </w:r>
      <w:r>
        <w:rPr>
          <w:rFonts w:hint="default" w:ascii="Times New Roman" w:hAnsi="Times New Roman" w:eastAsia="仿宋_GB2312" w:cs="Times New Roman"/>
          <w:kern w:val="0"/>
          <w:sz w:val="36"/>
          <w:szCs w:val="36"/>
          <w:highlight w:val="none"/>
        </w:rPr>
        <w:t>年</w:t>
      </w:r>
      <w:r>
        <w:rPr>
          <w:rFonts w:hint="eastAsia" w:eastAsia="仿宋_GB2312" w:cs="Times New Roman"/>
          <w:kern w:val="0"/>
          <w:sz w:val="36"/>
          <w:szCs w:val="36"/>
          <w:highlight w:val="none"/>
          <w:lang w:val="en-US" w:eastAsia="zh-CN"/>
        </w:rPr>
        <w:t>4</w:t>
      </w:r>
      <w:r>
        <w:rPr>
          <w:rFonts w:hint="default" w:ascii="Times New Roman" w:hAnsi="Times New Roman" w:eastAsia="仿宋_GB2312" w:cs="Times New Roman"/>
          <w:kern w:val="0"/>
          <w:sz w:val="36"/>
          <w:szCs w:val="36"/>
          <w:highlight w:val="none"/>
        </w:rPr>
        <w:t>月</w:t>
      </w:r>
      <w:r>
        <w:rPr>
          <w:rFonts w:hint="eastAsia" w:eastAsia="仿宋_GB2312" w:cs="Times New Roman"/>
          <w:kern w:val="0"/>
          <w:sz w:val="36"/>
          <w:szCs w:val="36"/>
          <w:highlight w:val="none"/>
          <w:lang w:val="en-US" w:eastAsia="zh-CN"/>
        </w:rPr>
        <w:t>1</w:t>
      </w:r>
      <w:r>
        <w:rPr>
          <w:rFonts w:hint="default" w:ascii="Times New Roman" w:hAnsi="Times New Roman" w:eastAsia="仿宋_GB2312" w:cs="Times New Roman"/>
          <w:kern w:val="0"/>
          <w:sz w:val="36"/>
          <w:szCs w:val="36"/>
          <w:highlight w:val="none"/>
        </w:rPr>
        <w:t>日</w:t>
      </w:r>
    </w:p>
    <w:p w14:paraId="68E2CBCB">
      <w:pPr>
        <w:spacing w:line="560" w:lineRule="exact"/>
        <w:ind w:firstLine="640" w:firstLineChars="200"/>
        <w:rPr>
          <w:rFonts w:hint="default" w:ascii="Times New Roman" w:hAnsi="Times New Roman" w:eastAsia="黑体" w:cs="Times New Roman"/>
          <w:bCs/>
          <w:sz w:val="32"/>
          <w:szCs w:val="32"/>
          <w:highlight w:val="none"/>
        </w:rPr>
      </w:pPr>
    </w:p>
    <w:p w14:paraId="7018E735">
      <w:pPr>
        <w:spacing w:line="560" w:lineRule="exact"/>
        <w:ind w:firstLine="640" w:firstLineChars="200"/>
        <w:rPr>
          <w:rFonts w:hint="default" w:ascii="Times New Roman" w:hAnsi="Times New Roman" w:eastAsia="黑体" w:cs="Times New Roman"/>
          <w:bCs/>
          <w:sz w:val="32"/>
          <w:szCs w:val="32"/>
          <w:highlight w:val="none"/>
        </w:rPr>
      </w:pPr>
    </w:p>
    <w:p w14:paraId="341482B7">
      <w:pPr>
        <w:spacing w:line="560" w:lineRule="exact"/>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一、基本情况</w:t>
      </w:r>
    </w:p>
    <w:p w14:paraId="36AE7517">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（一）项目概况</w:t>
      </w:r>
    </w:p>
    <w:p w14:paraId="334A5065">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项目背景</w:t>
      </w:r>
    </w:p>
    <w:p w14:paraId="32BDE2FB">
      <w:pPr>
        <w:spacing w:line="560" w:lineRule="exact"/>
        <w:ind w:firstLine="640" w:firstLineChars="200"/>
        <w:rPr>
          <w:rStyle w:val="16"/>
          <w:rFonts w:hint="default" w:ascii="Times New Roman" w:hAnsi="Times New Roman" w:eastAsia="黑体" w:cs="Times New Roman"/>
          <w:b w:val="0"/>
          <w:bCs/>
          <w:spacing w:val="-4"/>
          <w:sz w:val="32"/>
          <w:szCs w:val="32"/>
          <w:highlight w:val="none"/>
          <w:lang w:eastAsia="zh-CN"/>
        </w:rPr>
      </w:pPr>
      <w:r>
        <w:rPr>
          <w:rFonts w:hint="eastAsia" w:eastAsia="仿宋_GB2312" w:cs="Times New Roman"/>
          <w:sz w:val="32"/>
          <w:szCs w:val="32"/>
          <w:highlight w:val="none"/>
          <w:lang w:val="en-US" w:eastAsia="zh-CN"/>
        </w:rPr>
        <w:t>根据《国家基本公共卫生服务规范（第三版）》的要求及《基本公共卫生服务补助资金管理办法》等制度，</w:t>
      </w:r>
      <w:r>
        <w:rPr>
          <w:rFonts w:hint="eastAsia" w:ascii="Times New Roman" w:hAnsi="Times New Roman" w:eastAsia="仿宋_GB2312" w:cs="Times New Roman"/>
          <w:b w:val="0"/>
          <w:bCs w:val="0"/>
          <w:kern w:val="2"/>
          <w:sz w:val="32"/>
          <w:szCs w:val="32"/>
          <w:highlight w:val="none"/>
          <w:lang w:val="en-US" w:eastAsia="zh-CN" w:bidi="ar-SA"/>
        </w:rPr>
        <w:t>国家基本公共卫生服务项目，是促进基本公共卫生服务逐步均等化的重要内容，是深化医药卫生体制改革的重要工作。是我国政府针对当前城乡居民存在的主要健康问题，以儿童、孕产妇、老年人、慢性疾病患者为重点人群，面向全体居民免费提供的最基本的公共卫生服务。</w:t>
      </w:r>
    </w:p>
    <w:p w14:paraId="11A3EF5C">
      <w:pPr>
        <w:pStyle w:val="10"/>
        <w:numPr>
          <w:ilvl w:val="0"/>
          <w:numId w:val="0"/>
        </w:numPr>
        <w:spacing w:before="0" w:after="0" w:line="560" w:lineRule="exact"/>
        <w:ind w:firstLine="643" w:firstLineChars="200"/>
        <w:jc w:val="both"/>
        <w:rPr>
          <w:rFonts w:hint="default" w:ascii="Times New Roman" w:hAnsi="Times New Roman" w:eastAsia="仿宋_GB2312" w:cs="Times New Roman"/>
          <w:kern w:val="2"/>
          <w:highlight w:val="none"/>
        </w:rPr>
      </w:pPr>
      <w:r>
        <w:rPr>
          <w:rFonts w:hint="default" w:ascii="Times New Roman" w:hAnsi="Times New Roman" w:eastAsia="仿宋_GB2312" w:cs="Times New Roman"/>
          <w:kern w:val="2"/>
          <w:highlight w:val="none"/>
          <w:lang w:val="en-US" w:eastAsia="zh-CN"/>
        </w:rPr>
        <w:t>2.</w:t>
      </w:r>
      <w:r>
        <w:rPr>
          <w:rFonts w:hint="default" w:ascii="Times New Roman" w:hAnsi="Times New Roman" w:eastAsia="仿宋_GB2312" w:cs="Times New Roman"/>
          <w:kern w:val="2"/>
          <w:highlight w:val="none"/>
        </w:rPr>
        <w:t>项目主要内容：</w:t>
      </w:r>
    </w:p>
    <w:p w14:paraId="6705D844">
      <w:pPr>
        <w:keepNext w:val="0"/>
        <w:keepLines w:val="0"/>
        <w:pageBreakBefore w:val="0"/>
        <w:widowControl w:val="0"/>
        <w:kinsoku/>
        <w:wordWrap/>
        <w:overflowPunct/>
        <w:topLinePunct w:val="0"/>
        <w:autoSpaceDE/>
        <w:autoSpaceDN/>
        <w:bidi w:val="0"/>
        <w:adjustRightInd/>
        <w:snapToGrid/>
        <w:spacing w:beforeLines="0" w:afterLines="0"/>
        <w:ind w:firstLine="640" w:firstLineChars="200"/>
        <w:jc w:val="left"/>
        <w:textAlignment w:val="auto"/>
        <w:rPr>
          <w:rFonts w:hint="default" w:ascii="Times New Roman" w:hAnsi="Times New Roman" w:eastAsia="黑体" w:cs="Times New Roman"/>
          <w:highlight w:val="none"/>
          <w:lang w:eastAsia="zh-CN"/>
        </w:rPr>
      </w:pPr>
      <w:r>
        <w:rPr>
          <w:rFonts w:hint="default" w:ascii="Times New Roman" w:hAnsi="Times New Roman" w:eastAsia="仿宋_GB2312" w:cs="Times New Roman"/>
          <w:sz w:val="32"/>
          <w:szCs w:val="32"/>
          <w:highlight w:val="none"/>
          <w:lang w:val="en-US" w:eastAsia="zh-CN"/>
        </w:rPr>
        <w:t>项目主要内容</w:t>
      </w:r>
      <w:r>
        <w:rPr>
          <w:rFonts w:hint="default" w:ascii="Times New Roman" w:hAnsi="Times New Roman" w:eastAsia="仿宋_GB2312" w:cs="Times New Roman"/>
          <w:sz w:val="30"/>
          <w:szCs w:val="30"/>
          <w:highlight w:val="none"/>
          <w:lang w:val="en-US" w:eastAsia="zh-CN"/>
        </w:rPr>
        <w:t>：</w:t>
      </w:r>
      <w:r>
        <w:rPr>
          <w:rFonts w:hint="eastAsia" w:ascii="Times New Roman" w:hAnsi="Times New Roman" w:eastAsia="仿宋_GB2312" w:cs="Times New Roman"/>
          <w:b w:val="0"/>
          <w:bCs w:val="0"/>
          <w:kern w:val="2"/>
          <w:sz w:val="32"/>
          <w:szCs w:val="32"/>
          <w:highlight w:val="none"/>
          <w:lang w:val="en-US" w:eastAsia="zh-CN" w:bidi="ar-SA"/>
        </w:rPr>
        <w:t>国家基本公共卫生服务项目属于社会公益性项目，是党和政府的惠民工程，是落实“预防为主，普及健康”卫生方针的大事，也是我国公共卫生制度建设的重要组成部分</w:t>
      </w:r>
      <w:r>
        <w:rPr>
          <w:rFonts w:hint="eastAsia" w:eastAsia="仿宋_GB2312" w:cs="Times New Roman"/>
          <w:b w:val="0"/>
          <w:bCs w:val="0"/>
          <w:kern w:val="2"/>
          <w:sz w:val="32"/>
          <w:szCs w:val="32"/>
          <w:highlight w:val="none"/>
          <w:lang w:val="en-US" w:eastAsia="zh-CN" w:bidi="ar-SA"/>
        </w:rPr>
        <w:t>，</w:t>
      </w:r>
      <w:r>
        <w:rPr>
          <w:rFonts w:hint="eastAsia" w:ascii="Times New Roman" w:hAnsi="Times New Roman" w:eastAsia="仿宋_GB2312" w:cs="Times New Roman"/>
          <w:b w:val="0"/>
          <w:bCs w:val="0"/>
          <w:kern w:val="2"/>
          <w:sz w:val="32"/>
          <w:szCs w:val="32"/>
          <w:highlight w:val="none"/>
          <w:lang w:val="en-US" w:eastAsia="zh-CN" w:bidi="ar-SA"/>
        </w:rPr>
        <w:t>项目由沙依巴克区卫生健康委员会牵头、各绩效考核成员单位成立考核小组，每季度组织考核一次，社区卫生服务中心、站(村卫生室)等基层医疗</w:t>
      </w:r>
      <w:r>
        <w:rPr>
          <w:rFonts w:hint="eastAsia" w:eastAsia="仿宋_GB2312" w:cs="Times New Roman"/>
          <w:b w:val="0"/>
          <w:bCs w:val="0"/>
          <w:kern w:val="2"/>
          <w:sz w:val="32"/>
          <w:szCs w:val="32"/>
          <w:highlight w:val="none"/>
          <w:lang w:val="en-US" w:eastAsia="zh-CN" w:bidi="ar-SA"/>
        </w:rPr>
        <w:t>卫生</w:t>
      </w:r>
      <w:r>
        <w:rPr>
          <w:rFonts w:hint="eastAsia" w:ascii="Times New Roman" w:hAnsi="Times New Roman" w:eastAsia="仿宋_GB2312" w:cs="Times New Roman"/>
          <w:b w:val="0"/>
          <w:bCs w:val="0"/>
          <w:kern w:val="2"/>
          <w:sz w:val="32"/>
          <w:szCs w:val="32"/>
          <w:highlight w:val="none"/>
          <w:lang w:val="en-US" w:eastAsia="zh-CN" w:bidi="ar-SA"/>
        </w:rPr>
        <w:t>机构负责项目实施，项目覆盖辖区内常住居民，服务内容包括居民健康档案管理、健康教育、预防接种、0-6岁儿童健康管理、孕产妇健康管理、老年人健康管理、慢性病患者健康管理(包括高血压患者健康管理和2型糖尿病患者健康管理)、严重精神障碍患者管理、肺结核患者健康管理、中医药健康管理、传染病及突发公共卫生事件报告和处理、卫生监督协管</w:t>
      </w:r>
      <w:r>
        <w:rPr>
          <w:rFonts w:hint="eastAsia" w:eastAsia="仿宋_GB2312" w:cs="Times New Roman"/>
          <w:b w:val="0"/>
          <w:bCs w:val="0"/>
          <w:kern w:val="2"/>
          <w:sz w:val="32"/>
          <w:szCs w:val="32"/>
          <w:highlight w:val="none"/>
          <w:lang w:val="en-US" w:eastAsia="zh-CN" w:bidi="ar-SA"/>
        </w:rPr>
        <w:t>。每年</w:t>
      </w:r>
      <w:r>
        <w:rPr>
          <w:rFonts w:hint="eastAsia" w:ascii="Times New Roman" w:hAnsi="Times New Roman" w:eastAsia="仿宋_GB2312" w:cs="Times New Roman"/>
          <w:b w:val="0"/>
          <w:bCs w:val="0"/>
          <w:kern w:val="2"/>
          <w:sz w:val="32"/>
          <w:szCs w:val="32"/>
          <w:highlight w:val="none"/>
          <w:lang w:val="en-US" w:eastAsia="zh-CN" w:bidi="ar-SA"/>
        </w:rPr>
        <w:t>沙依巴克区卫生健康委员会</w:t>
      </w:r>
      <w:r>
        <w:rPr>
          <w:rFonts w:hint="eastAsia" w:eastAsia="仿宋_GB2312" w:cs="Times New Roman"/>
          <w:b w:val="0"/>
          <w:bCs w:val="0"/>
          <w:kern w:val="2"/>
          <w:sz w:val="32"/>
          <w:szCs w:val="32"/>
          <w:highlight w:val="none"/>
          <w:lang w:val="en-US" w:eastAsia="zh-CN" w:bidi="ar-SA"/>
        </w:rPr>
        <w:t>根据国家确定的人均补助金额和辖区内各社服中心服务的基本公卫人口数，向辖区内开展基本公卫的基层医疗卫生机构拨付补助资金</w:t>
      </w:r>
      <w:r>
        <w:rPr>
          <w:rFonts w:hint="eastAsia" w:ascii="Times New Roman" w:hAnsi="Times New Roman" w:eastAsia="仿宋_GB2312" w:cs="Times New Roman"/>
          <w:b w:val="0"/>
          <w:bCs w:val="0"/>
          <w:kern w:val="2"/>
          <w:sz w:val="32"/>
          <w:szCs w:val="32"/>
          <w:highlight w:val="none"/>
          <w:lang w:val="en-US" w:eastAsia="zh-CN" w:bidi="ar-SA"/>
        </w:rPr>
        <w:t>。</w:t>
      </w:r>
    </w:p>
    <w:p w14:paraId="6C9C3230">
      <w:pPr>
        <w:spacing w:line="56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项目实施情况：</w:t>
      </w:r>
      <w:r>
        <w:rPr>
          <w:rFonts w:hint="eastAsia" w:ascii="仿宋_GB2312" w:hAnsi="仿宋_GB2312" w:eastAsia="仿宋_GB2312" w:cs="仿宋_GB2312"/>
          <w:i w:val="0"/>
          <w:caps w:val="0"/>
          <w:color w:val="333333"/>
          <w:spacing w:val="0"/>
          <w:sz w:val="32"/>
          <w:szCs w:val="32"/>
          <w:highlight w:val="none"/>
          <w:shd w:val="clear" w:fill="FFFFFF"/>
        </w:rPr>
        <w:t>免费向城乡居民提供基本公共卫生服务。全区所有县（市、区）内常住人口，均可免费享受国家基本公</w:t>
      </w:r>
      <w:r>
        <w:rPr>
          <w:rFonts w:hint="eastAsia" w:ascii="仿宋_GB2312" w:hAnsi="仿宋_GB2312" w:eastAsia="仿宋_GB2312" w:cs="仿宋_GB2312"/>
          <w:i w:val="0"/>
          <w:caps w:val="0"/>
          <w:color w:val="333333"/>
          <w:spacing w:val="0"/>
          <w:sz w:val="32"/>
          <w:szCs w:val="32"/>
          <w:highlight w:val="none"/>
          <w:shd w:val="clear" w:fill="FFFFFF"/>
          <w:lang w:eastAsia="zh-CN"/>
        </w:rPr>
        <w:t>卫</w:t>
      </w:r>
      <w:r>
        <w:rPr>
          <w:rFonts w:hint="eastAsia" w:ascii="仿宋_GB2312" w:hAnsi="仿宋_GB2312" w:eastAsia="仿宋_GB2312" w:cs="仿宋_GB2312"/>
          <w:i w:val="0"/>
          <w:caps w:val="0"/>
          <w:color w:val="333333"/>
          <w:spacing w:val="0"/>
          <w:sz w:val="32"/>
          <w:szCs w:val="32"/>
          <w:highlight w:val="none"/>
          <w:shd w:val="clear" w:fill="FFFFFF"/>
        </w:rPr>
        <w:t>适龄儿童国家免疫规划疫苗接种率保持在99.73%以上，进一步加强流动儿童的接种工作。二是推进电子健康档案应用，有序推进向居民开放。三是深入推进慢病医防融合，提升基本公卫服务质量。落实完善基层慢性病医防融合新模式，加强儿童健康管理。高血压、2型糖尿病患者基层规范管理服务率均保持在80%以上</w:t>
      </w:r>
      <w:r>
        <w:rPr>
          <w:rFonts w:hint="eastAsia" w:ascii="仿宋_GB2312" w:hAnsi="仿宋_GB2312" w:eastAsia="仿宋_GB2312" w:cs="仿宋_GB2312"/>
          <w:i w:val="0"/>
          <w:caps w:val="0"/>
          <w:color w:val="333333"/>
          <w:spacing w:val="0"/>
          <w:sz w:val="32"/>
          <w:szCs w:val="32"/>
          <w:highlight w:val="none"/>
          <w:shd w:val="clear" w:fill="FFFFFF"/>
          <w:lang w:eastAsia="zh-CN"/>
        </w:rPr>
        <w:t>，孕产妇系统管理率92.88%，肺结核患者健康管理率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100%，社区在册居家严重精神障碍患者健康管理率</w:t>
      </w:r>
      <w:r>
        <w:rPr>
          <w:rFonts w:hint="eastAsia" w:ascii="仿宋_GB2312" w:hAnsi="仿宋_GB2312" w:eastAsia="仿宋_GB2312" w:cs="仿宋_GB2312"/>
          <w:i w:val="0"/>
          <w:caps w:val="0"/>
          <w:color w:val="333333"/>
          <w:spacing w:val="0"/>
          <w:sz w:val="32"/>
          <w:szCs w:val="32"/>
          <w:highlight w:val="none"/>
          <w:shd w:val="clear" w:fill="FFFFFF"/>
        </w:rPr>
        <w:t>85.51%</w:t>
      </w:r>
      <w:r>
        <w:rPr>
          <w:rFonts w:hint="eastAsia" w:ascii="仿宋_GB2312" w:hAnsi="仿宋_GB2312" w:eastAsia="仿宋_GB2312" w:cs="仿宋_GB2312"/>
          <w:i w:val="0"/>
          <w:caps w:val="0"/>
          <w:color w:val="333333"/>
          <w:spacing w:val="0"/>
          <w:sz w:val="32"/>
          <w:szCs w:val="32"/>
          <w:highlight w:val="none"/>
          <w:shd w:val="clear" w:fill="FFFFFF"/>
          <w:lang w:eastAsia="zh-CN"/>
        </w:rPr>
        <w:t>，老年人中医药健康管理率</w:t>
      </w:r>
      <w:r>
        <w:rPr>
          <w:rFonts w:hint="eastAsia" w:ascii="仿宋_GB2312" w:hAnsi="仿宋_GB2312" w:eastAsia="仿宋_GB2312" w:cs="仿宋_GB2312"/>
          <w:i w:val="0"/>
          <w:caps w:val="0"/>
          <w:color w:val="333333"/>
          <w:spacing w:val="0"/>
          <w:sz w:val="32"/>
          <w:szCs w:val="32"/>
          <w:highlight w:val="none"/>
          <w:shd w:val="clear" w:fill="FFFFFF"/>
        </w:rPr>
        <w:t>78.22%</w:t>
      </w:r>
      <w:r>
        <w:rPr>
          <w:rFonts w:hint="eastAsia" w:ascii="仿宋_GB2312" w:hAnsi="仿宋_GB2312" w:eastAsia="仿宋_GB2312" w:cs="仿宋_GB2312"/>
          <w:i w:val="0"/>
          <w:caps w:val="0"/>
          <w:color w:val="333333"/>
          <w:spacing w:val="0"/>
          <w:sz w:val="32"/>
          <w:szCs w:val="32"/>
          <w:highlight w:val="none"/>
          <w:shd w:val="clear" w:fill="FFFFFF"/>
          <w:lang w:eastAsia="zh-CN"/>
        </w:rPr>
        <w:t>，高血压患者管理人数</w:t>
      </w:r>
      <w:r>
        <w:rPr>
          <w:rFonts w:hint="eastAsia" w:ascii="仿宋_GB2312" w:hAnsi="仿宋_GB2312" w:eastAsia="仿宋_GB2312" w:cs="仿宋_GB2312"/>
          <w:i w:val="0"/>
          <w:caps w:val="0"/>
          <w:color w:val="333333"/>
          <w:spacing w:val="0"/>
          <w:sz w:val="32"/>
          <w:szCs w:val="32"/>
          <w:highlight w:val="none"/>
          <w:shd w:val="clear" w:fill="FFFFFF"/>
          <w:lang w:val="en-US" w:eastAsia="zh-CN"/>
        </w:rPr>
        <w:t>不少于</w:t>
      </w:r>
      <w:r>
        <w:rPr>
          <w:rFonts w:hint="eastAsia" w:ascii="仿宋_GB2312" w:hAnsi="仿宋_GB2312" w:eastAsia="仿宋_GB2312" w:cs="仿宋_GB2312"/>
          <w:i w:val="0"/>
          <w:caps w:val="0"/>
          <w:color w:val="333333"/>
          <w:spacing w:val="0"/>
          <w:sz w:val="32"/>
          <w:szCs w:val="32"/>
          <w:highlight w:val="none"/>
          <w:shd w:val="clear" w:fill="FFFFFF"/>
          <w:lang w:eastAsia="zh-CN"/>
        </w:rPr>
        <w:t>5.10万人，2型糖尿病患者管理人数</w:t>
      </w:r>
      <w:r>
        <w:rPr>
          <w:rFonts w:hint="eastAsia" w:ascii="仿宋_GB2312" w:hAnsi="仿宋_GB2312" w:eastAsia="仿宋_GB2312" w:cs="仿宋_GB2312"/>
          <w:i w:val="0"/>
          <w:caps w:val="0"/>
          <w:color w:val="333333"/>
          <w:spacing w:val="0"/>
          <w:sz w:val="32"/>
          <w:szCs w:val="32"/>
          <w:highlight w:val="none"/>
          <w:shd w:val="clear" w:fill="FFFFFF"/>
          <w:lang w:val="en-US" w:eastAsia="zh-CN"/>
        </w:rPr>
        <w:t>不少于</w:t>
      </w:r>
      <w:r>
        <w:rPr>
          <w:rFonts w:hint="eastAsia" w:ascii="仿宋_GB2312" w:hAnsi="仿宋_GB2312" w:eastAsia="仿宋_GB2312" w:cs="仿宋_GB2312"/>
          <w:i w:val="0"/>
          <w:caps w:val="0"/>
          <w:color w:val="333333"/>
          <w:spacing w:val="0"/>
          <w:sz w:val="32"/>
          <w:szCs w:val="32"/>
          <w:highlight w:val="none"/>
          <w:shd w:val="clear" w:fill="FFFFFF"/>
          <w:lang w:eastAsia="zh-CN"/>
        </w:rPr>
        <w:t>2.30万人，儿童中医药健康管理率</w:t>
      </w:r>
      <w:r>
        <w:rPr>
          <w:rFonts w:hint="eastAsia" w:ascii="仿宋_GB2312" w:hAnsi="仿宋_GB2312" w:eastAsia="仿宋_GB2312" w:cs="仿宋_GB2312"/>
          <w:i w:val="0"/>
          <w:caps w:val="0"/>
          <w:color w:val="333333"/>
          <w:spacing w:val="0"/>
          <w:sz w:val="32"/>
          <w:szCs w:val="32"/>
          <w:highlight w:val="none"/>
          <w:shd w:val="clear" w:fill="FFFFFF"/>
        </w:rPr>
        <w:t>87.05%</w:t>
      </w:r>
      <w:r>
        <w:rPr>
          <w:rFonts w:hint="eastAsia" w:ascii="仿宋_GB2312" w:hAnsi="仿宋_GB2312" w:eastAsia="仿宋_GB2312" w:cs="仿宋_GB2312"/>
          <w:i w:val="0"/>
          <w:caps w:val="0"/>
          <w:color w:val="333333"/>
          <w:spacing w:val="0"/>
          <w:sz w:val="32"/>
          <w:szCs w:val="32"/>
          <w:highlight w:val="none"/>
          <w:shd w:val="clear" w:fill="FFFFFF"/>
          <w:lang w:eastAsia="zh-CN"/>
        </w:rPr>
        <w:t>，卫生监督协管各专业年巡查（访）2次完成率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达到</w:t>
      </w:r>
      <w:r>
        <w:rPr>
          <w:rFonts w:hint="eastAsia" w:ascii="仿宋_GB2312" w:hAnsi="仿宋_GB2312" w:eastAsia="仿宋_GB2312" w:cs="仿宋_GB2312"/>
          <w:i w:val="0"/>
          <w:caps w:val="0"/>
          <w:color w:val="333333"/>
          <w:spacing w:val="0"/>
          <w:sz w:val="32"/>
          <w:szCs w:val="32"/>
          <w:highlight w:val="none"/>
          <w:shd w:val="clear" w:fill="FFFFFF"/>
          <w:lang w:eastAsia="zh-CN"/>
        </w:rPr>
        <w:t>93.75%，居民规范化电子健康档案覆盖率64.99%，传染病和突发公共卫生时间报告率</w:t>
      </w:r>
      <w:r>
        <w:rPr>
          <w:rFonts w:hint="eastAsia" w:ascii="仿宋_GB2312" w:hAnsi="仿宋_GB2312" w:eastAsia="仿宋_GB2312" w:cs="仿宋_GB2312"/>
          <w:i w:val="0"/>
          <w:caps w:val="0"/>
          <w:color w:val="333333"/>
          <w:spacing w:val="0"/>
          <w:sz w:val="32"/>
          <w:szCs w:val="32"/>
          <w:highlight w:val="none"/>
          <w:shd w:val="clear" w:fill="FFFFFF"/>
          <w:lang w:val="en-US" w:eastAsia="zh-CN"/>
        </w:rPr>
        <w:t>100%，65岁及以上老年人城乡社区规范健康管理服务率72.40%</w:t>
      </w:r>
      <w:r>
        <w:rPr>
          <w:rFonts w:hint="eastAsia" w:ascii="仿宋_GB2312" w:hAnsi="仿宋_GB2312" w:eastAsia="仿宋_GB2312" w:cs="仿宋_GB2312"/>
          <w:i w:val="0"/>
          <w:caps w:val="0"/>
          <w:color w:val="333333"/>
          <w:spacing w:val="0"/>
          <w:sz w:val="32"/>
          <w:szCs w:val="32"/>
          <w:highlight w:val="none"/>
          <w:shd w:val="clear" w:fill="FFFFFF"/>
        </w:rPr>
        <w:t>。</w:t>
      </w:r>
    </w:p>
    <w:p w14:paraId="76AF96CA">
      <w:pPr>
        <w:spacing w:line="56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rPr>
        <w:t>资金投入和使用情况</w:t>
      </w:r>
    </w:p>
    <w:p w14:paraId="461C972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625B2DBA">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3387.35</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3368.05</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7AC89BE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2CAB337A">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3387.35</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3368.05</w:t>
      </w:r>
      <w:r>
        <w:rPr>
          <w:rFonts w:hint="default" w:ascii="Times New Roman" w:hAnsi="Times New Roman" w:eastAsia="仿宋_GB2312" w:cs="Times New Roman"/>
          <w:sz w:val="32"/>
          <w:szCs w:val="32"/>
          <w:highlight w:val="none"/>
          <w:lang w:val="en-US" w:eastAsia="zh-CN"/>
        </w:rPr>
        <w:t>万元，全年执行数</w:t>
      </w:r>
      <w:r>
        <w:rPr>
          <w:rFonts w:hint="eastAsia" w:eastAsia="仿宋_GB2312" w:cs="Times New Roman"/>
          <w:sz w:val="32"/>
          <w:szCs w:val="32"/>
          <w:highlight w:val="none"/>
          <w:lang w:val="en-US" w:eastAsia="zh-CN"/>
        </w:rPr>
        <w:t>3368.05</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全部为委托业务费，</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资金</w:t>
      </w:r>
      <w:r>
        <w:rPr>
          <w:rFonts w:hint="default" w:ascii="Times New Roman" w:hAnsi="Times New Roman" w:eastAsia="仿宋_GB2312" w:cs="Times New Roman"/>
          <w:sz w:val="32"/>
          <w:szCs w:val="32"/>
          <w:highlight w:val="none"/>
          <w:lang w:val="en-US" w:eastAsia="zh-CN"/>
        </w:rPr>
        <w:t>用于</w:t>
      </w:r>
      <w:r>
        <w:rPr>
          <w:rFonts w:hint="eastAsia" w:eastAsia="仿宋_GB2312" w:cs="Times New Roman"/>
          <w:sz w:val="32"/>
          <w:szCs w:val="32"/>
          <w:highlight w:val="none"/>
          <w:lang w:val="en-US" w:eastAsia="zh-CN"/>
        </w:rPr>
        <w:t>向辖区内</w:t>
      </w:r>
      <w:r>
        <w:rPr>
          <w:rFonts w:hint="eastAsia" w:eastAsia="仿宋_GB2312" w:cs="Times New Roman"/>
          <w:b w:val="0"/>
          <w:bCs w:val="0"/>
          <w:kern w:val="2"/>
          <w:sz w:val="32"/>
          <w:szCs w:val="32"/>
          <w:highlight w:val="none"/>
          <w:lang w:val="en-US" w:eastAsia="zh-CN" w:bidi="ar-SA"/>
        </w:rPr>
        <w:t>开展基本公卫的基层医疗卫生机构拨付基本公共卫生服务补助资金。基层医疗卫生机构</w:t>
      </w:r>
      <w:r>
        <w:rPr>
          <w:rFonts w:hint="eastAsia" w:ascii="仿宋_GB2312" w:hAnsi="仿宋_GB2312" w:eastAsia="仿宋_GB2312" w:cs="仿宋_GB2312"/>
          <w:i w:val="0"/>
          <w:caps w:val="0"/>
          <w:color w:val="333333"/>
          <w:spacing w:val="0"/>
          <w:sz w:val="32"/>
          <w:szCs w:val="32"/>
          <w:highlight w:val="none"/>
          <w:shd w:val="clear" w:fill="FFFFFF"/>
        </w:rPr>
        <w:t>免费向城乡居民提供基本公共卫生服务。</w:t>
      </w:r>
    </w:p>
    <w:p w14:paraId="32423FB2">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（二）项目绩效目标</w:t>
      </w:r>
    </w:p>
    <w:p w14:paraId="5CB2BEB9">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总体目标</w:t>
      </w:r>
    </w:p>
    <w:p w14:paraId="7686A4AA">
      <w:pPr>
        <w:spacing w:line="560" w:lineRule="exact"/>
        <w:ind w:firstLine="640" w:firstLineChars="200"/>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i w:val="0"/>
          <w:caps w:val="0"/>
          <w:color w:val="333333"/>
          <w:spacing w:val="0"/>
          <w:sz w:val="32"/>
          <w:szCs w:val="32"/>
          <w:highlight w:val="none"/>
          <w:shd w:val="clear" w:fill="FFFFFF"/>
        </w:rPr>
        <w:t>免费向辖区居民提供基本公共卫生服务，提高基本公共卫生服务项目均等化水平，规范公共卫生服务行为，推进基本公共卫生服务项目开展，加强孕产妇健康管理和儿童健康管理，把孕产妇和婴儿死亡率控制在指标范围内，全面完成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p w14:paraId="2D2D9C60">
      <w:pPr>
        <w:numPr>
          <w:ilvl w:val="0"/>
          <w:numId w:val="1"/>
        </w:numPr>
        <w:spacing w:line="540" w:lineRule="exact"/>
        <w:ind w:firstLine="567"/>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阶段性目标</w:t>
      </w:r>
    </w:p>
    <w:p w14:paraId="1195C8BF">
      <w:pPr>
        <w:jc w:val="left"/>
        <w:rPr>
          <w:rFonts w:hint="default" w:ascii="Times New Roman" w:hAnsi="Times New Roman" w:eastAsia="仿宋_GB2312" w:cs="Times New Roman"/>
          <w:color w:val="FF0000"/>
          <w:sz w:val="30"/>
          <w:szCs w:val="30"/>
          <w:highlight w:val="none"/>
          <w:lang w:val="en-US" w:eastAsia="zh-CN"/>
        </w:rPr>
      </w:pPr>
      <w:r>
        <w:rPr>
          <w:rFonts w:hint="eastAsia" w:ascii="仿宋_GB2312" w:hAnsi="仿宋_GB2312" w:eastAsia="仿宋_GB2312" w:cs="仿宋_GB2312"/>
          <w:i w:val="0"/>
          <w:caps w:val="0"/>
          <w:color w:val="333333"/>
          <w:spacing w:val="0"/>
          <w:sz w:val="32"/>
          <w:szCs w:val="32"/>
          <w:highlight w:val="none"/>
          <w:shd w:val="clear" w:fill="FFFFFF"/>
        </w:rPr>
        <w:t>沙依巴克区公共卫生绩效考核领导小组出台考核方案，每季度开展一次</w:t>
      </w:r>
      <w:r>
        <w:rPr>
          <w:rFonts w:hint="eastAsia" w:ascii="仿宋_GB2312" w:hAnsi="仿宋_GB2312" w:eastAsia="仿宋_GB2312" w:cs="仿宋_GB2312"/>
          <w:i w:val="0"/>
          <w:caps w:val="0"/>
          <w:color w:val="333333"/>
          <w:spacing w:val="0"/>
          <w:sz w:val="32"/>
          <w:szCs w:val="32"/>
          <w:highlight w:val="none"/>
          <w:shd w:val="clear" w:fill="FFFFFF"/>
          <w:lang w:eastAsia="zh-CN"/>
        </w:rPr>
        <w:t>项目</w:t>
      </w:r>
      <w:r>
        <w:rPr>
          <w:rFonts w:hint="eastAsia" w:ascii="仿宋_GB2312" w:hAnsi="仿宋_GB2312" w:eastAsia="仿宋_GB2312" w:cs="仿宋_GB2312"/>
          <w:i w:val="0"/>
          <w:caps w:val="0"/>
          <w:color w:val="333333"/>
          <w:spacing w:val="0"/>
          <w:sz w:val="32"/>
          <w:szCs w:val="32"/>
          <w:highlight w:val="none"/>
          <w:shd w:val="clear" w:fill="FFFFFF"/>
        </w:rPr>
        <w:t>绩效评价</w:t>
      </w:r>
      <w:r>
        <w:rPr>
          <w:rFonts w:hint="eastAsia" w:ascii="仿宋_GB2312" w:hAnsi="仿宋_GB2312" w:eastAsia="仿宋_GB2312" w:cs="仿宋_GB2312"/>
          <w:i w:val="0"/>
          <w:caps w:val="0"/>
          <w:color w:val="333333"/>
          <w:spacing w:val="0"/>
          <w:sz w:val="32"/>
          <w:szCs w:val="32"/>
          <w:highlight w:val="none"/>
          <w:shd w:val="clear" w:fill="FFFFFF"/>
          <w:lang w:eastAsia="zh-CN"/>
        </w:rPr>
        <w:t>考核</w:t>
      </w:r>
      <w:r>
        <w:rPr>
          <w:rFonts w:hint="eastAsia" w:ascii="仿宋_GB2312" w:hAnsi="仿宋_GB2312" w:eastAsia="仿宋_GB2312" w:cs="仿宋_GB2312"/>
          <w:i w:val="0"/>
          <w:caps w:val="0"/>
          <w:color w:val="333333"/>
          <w:spacing w:val="0"/>
          <w:sz w:val="32"/>
          <w:szCs w:val="32"/>
          <w:highlight w:val="none"/>
          <w:shd w:val="clear" w:fill="FFFFFF"/>
        </w:rPr>
        <w:t>，考核由卫健委财务科、区卫生综合执法局、区疾病预防控制中心、区指导中心、区妇幼保健服务中心多家单位共同开展，由各项目人员根据规范要求制定评价指标和标准，并将涉及全年指标按季度分解后进行考核，确保考核保质保量的完成</w:t>
      </w:r>
      <w:r>
        <w:rPr>
          <w:rFonts w:hint="eastAsia" w:ascii="仿宋_GB2312" w:hAnsi="仿宋_GB2312" w:eastAsia="仿宋_GB2312" w:cs="仿宋_GB2312"/>
          <w:i w:val="0"/>
          <w:caps w:val="0"/>
          <w:color w:val="333333"/>
          <w:spacing w:val="0"/>
          <w:sz w:val="32"/>
          <w:szCs w:val="32"/>
          <w:highlight w:val="none"/>
          <w:shd w:val="clear" w:fill="FFFFFF"/>
          <w:lang w:eastAsia="zh-CN"/>
        </w:rPr>
        <w:t>。截止</w:t>
      </w:r>
      <w:r>
        <w:rPr>
          <w:rFonts w:hint="eastAsia" w:ascii="仿宋_GB2312" w:hAnsi="仿宋_GB2312" w:eastAsia="仿宋_GB2312" w:cs="仿宋_GB2312"/>
          <w:i w:val="0"/>
          <w:caps w:val="0"/>
          <w:color w:val="333333"/>
          <w:spacing w:val="0"/>
          <w:sz w:val="32"/>
          <w:szCs w:val="32"/>
          <w:highlight w:val="none"/>
          <w:shd w:val="clear" w:fill="FFFFFF"/>
          <w:lang w:val="en-US" w:eastAsia="zh-CN"/>
        </w:rPr>
        <w:t>2024年12月底，国家基本公卫适龄儿童国家免疫规划疫苗接种率保持在99.73%以上，进一步加强流动儿童的接种工作。落实完善基层慢性病医防融合新模式，加强儿童健康管理。高血压、2型糖尿病患者基层规范管理服务率均保持在80%以上，孕产妇系统管理率92.88%，肺结核患者健康管理率100%，社区在册居家严重精神障碍患者健康管理率85.51%，老年人中医药健康管理率78.22%，高血压患者管理人数5.10万人，2型糖尿病患者管理人数2.30万人，儿童中医药健康管理率87.05%，卫生监督协管各专业年巡查（访）2次完成率93.75%，居民规范化电子健康档案覆盖率64.99%，传染病和突发公共卫生时间报告率100%，65岁及以上老年人城乡社区规范健康管理服务率72.40%。</w:t>
      </w:r>
    </w:p>
    <w:p w14:paraId="3379050C">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二、绩效评价工作开展情况</w:t>
      </w:r>
    </w:p>
    <w:p w14:paraId="2F7A2CD3">
      <w:p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（一）绩效评价目的、对象和范围</w:t>
      </w:r>
    </w:p>
    <w:p w14:paraId="793E55A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038028D8">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2DE26B8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选取了具有代表性和可衡量性的关键指标，涵盖了社会效益维度，力求全方位反映项目的绩效状况。同时，对于每个指标的评价标准和数据来源均进行了明确说明，确保评价结果的客观性和可追溯性。</w:t>
      </w:r>
    </w:p>
    <w:p w14:paraId="7E68B08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在数据收集与分析环节，采用了多种科学合理的方法，如数据分析等，广泛收集了与项目相关的各类数据</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此外，还对数据的质量和完整性进行了严格把控，对于缺失或异常的数据进行了合理的处理和说明，保证了评价数据的真实性和有效性。</w:t>
      </w:r>
    </w:p>
    <w:p w14:paraId="79C9011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16BE974">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3C32D7F4">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绩效评价的目的</w:t>
      </w:r>
    </w:p>
    <w:p w14:paraId="0A36E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028EA1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通过对项目预算执行情况及各项绩效目标达成程度的系统性分析，全面、客观地评估项目在预定周期内的实施效果，包括社会效益维度指标，为项目后续的改进与优化提供科学依据。</w:t>
      </w:r>
    </w:p>
    <w:p w14:paraId="71AEC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36DA3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19A31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134FE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27F3F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5A1F02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0515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67D745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F6CA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147B352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3</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绩效评价的对象</w:t>
      </w:r>
    </w:p>
    <w:p w14:paraId="4379D21B">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本项目预算绩效评价报告的评价对象是乌财社〔2023〕266号-2024年国家财政基本公共卫生服务补助资金（直达资金）及其预算执行情况。该项目由乌鲁木齐市沙依巴克区卫生健康委员会负责实施，旨在</w:t>
      </w:r>
      <w:r>
        <w:rPr>
          <w:rFonts w:hint="eastAsia" w:ascii="Times New Roman" w:hAnsi="Times New Roman" w:eastAsia="仿宋_GB2312" w:cs="Times New Roman"/>
          <w:b w:val="0"/>
          <w:bCs w:val="0"/>
          <w:highlight w:val="none"/>
        </w:rPr>
        <w:t>免费向辖区居民提供基本公共卫生服务，提高基本公共卫生服务项目均等化水平，规范公共卫生服务行为，推进基本公共卫生服务项目开展，加强孕产妇健康管理和儿童健康管理，把孕产妇和婴儿死亡率控制在指标范围内，全面完成2021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3368.05</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77BD4205">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lang w:val="en-US" w:eastAsia="zh-CN"/>
        </w:rPr>
        <w:t>4.</w:t>
      </w:r>
      <w:r>
        <w:rPr>
          <w:rFonts w:hint="default" w:ascii="Times New Roman" w:hAnsi="Times New Roman" w:eastAsia="仿宋_GB2312" w:cs="Times New Roman"/>
          <w:b w:val="0"/>
          <w:bCs w:val="0"/>
          <w:highlight w:val="none"/>
        </w:rPr>
        <w:t>绩效评价的范围</w:t>
      </w:r>
    </w:p>
    <w:p w14:paraId="0594EC87">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59D48435">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39324C45">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0F362D76">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5B4ADCAA">
      <w:pPr>
        <w:pStyle w:val="10"/>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影响：考察项目对社会经济等方面的综合影响。</w:t>
      </w:r>
    </w:p>
    <w:p w14:paraId="47C22057">
      <w:pPr>
        <w:spacing w:line="560" w:lineRule="exact"/>
        <w:ind w:firstLine="643" w:firstLineChars="200"/>
        <w:rPr>
          <w:rFonts w:hint="default" w:ascii="Times New Roman" w:hAnsi="Times New Roman" w:cs="Times New Roman"/>
          <w:highlight w:val="none"/>
        </w:rPr>
      </w:pPr>
      <w:r>
        <w:rPr>
          <w:rFonts w:hint="default" w:ascii="Times New Roman" w:hAnsi="Times New Roman" w:eastAsia="楷体_GB2312" w:cs="Times New Roman"/>
          <w:b/>
          <w:bCs/>
          <w:sz w:val="32"/>
          <w:szCs w:val="32"/>
          <w:highlight w:val="none"/>
        </w:rPr>
        <w:t>（二）绩效评价原则、评价指标体系（详情见表1）、评价方法、评价标准。</w:t>
      </w:r>
    </w:p>
    <w:p w14:paraId="23843C6E">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绩效评价原则</w:t>
      </w:r>
    </w:p>
    <w:p w14:paraId="698136AF">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本次项目绩效评价遵循以下基本原则：</w:t>
      </w:r>
    </w:p>
    <w:p w14:paraId="4F46A1E1">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（1）科学公正。绩效评价应当运用科学合理的方法，按照规范的程序，对项目绩效进行客观、公正的反映。</w:t>
      </w:r>
    </w:p>
    <w:p w14:paraId="4E381335">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（2）统筹兼顾。单位自评、部门评价和财政评价应职责明确，各有侧重，相互衔接。单位自评应由项目单位自主实施，即“谁支出、谁自评”。部门评价和财政评价应在单位自评的基础上开展。</w:t>
      </w:r>
    </w:p>
    <w:p w14:paraId="4A7DAC0F">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（3）激励约束。绩效评价结果应与预算安排、政策调整、改进管理实质性挂钩，体现奖优罚劣和激励相容导向，有效要安排、低效要压减、无效要问责。</w:t>
      </w:r>
    </w:p>
    <w:p w14:paraId="7CE86616">
      <w:pPr>
        <w:pStyle w:val="1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（4）公开透明。绩效评价结果应依法依规公开，并自觉接受社会监督。</w:t>
      </w:r>
    </w:p>
    <w:p w14:paraId="252DFE51">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2</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评价指标体系</w:t>
      </w:r>
    </w:p>
    <w:p w14:paraId="069920A8">
      <w:pPr>
        <w:spacing w:line="560" w:lineRule="exact"/>
        <w:ind w:firstLine="708" w:firstLineChars="200"/>
        <w:rPr>
          <w:rFonts w:hint="default" w:ascii="Times New Roman" w:hAnsi="Times New Roman"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绩效评价框架是开展绩效评价的核心。绩效评价框架包括评价准则、关键评价问题、评价指标、数据来源、数据收集方法等。指标体系建立过程如下：</w:t>
      </w:r>
    </w:p>
    <w:p w14:paraId="02757E53">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（1）确定评价指标</w:t>
      </w:r>
    </w:p>
    <w:p w14:paraId="3BC940EB">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14:paraId="7E945AB2">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（2）确定权重</w:t>
      </w:r>
    </w:p>
    <w:p w14:paraId="6736869C">
      <w:pPr>
        <w:spacing w:line="560" w:lineRule="exact"/>
        <w:ind w:firstLine="708" w:firstLineChars="200"/>
        <w:rPr>
          <w:rFonts w:hint="default" w:ascii="Times New Roman" w:hAnsi="Times New Roman" w:eastAsia="仿宋_GB2312" w:cs="Times New Roman"/>
          <w:color w:val="FF0000"/>
          <w:spacing w:val="17"/>
          <w:sz w:val="32"/>
          <w:szCs w:val="32"/>
          <w:highlight w:val="none"/>
          <w:lang w:eastAsia="zh-CN"/>
        </w:rPr>
      </w:pPr>
      <w:r>
        <w:rPr>
          <w:rFonts w:hint="default" w:ascii="Times New Roman" w:hAnsi="Times New Roman" w:eastAsia="仿宋_GB2312" w:cs="Times New Roman"/>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14:paraId="44D3A448">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（3）确定指标标准值</w:t>
      </w:r>
    </w:p>
    <w:p w14:paraId="686555AF">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14:paraId="540C25F2">
      <w:pPr>
        <w:pStyle w:val="10"/>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highlight w:val="none"/>
        </w:rPr>
      </w:pPr>
      <w:r>
        <w:rPr>
          <w:rFonts w:hint="default" w:ascii="Times New Roman" w:hAnsi="Times New Roman" w:eastAsia="仿宋_GB2312" w:cs="Times New Roman"/>
          <w:b w:val="0"/>
          <w:bCs w:val="0"/>
          <w:color w:val="000000"/>
          <w:spacing w:val="17"/>
          <w:kern w:val="2"/>
          <w:highlight w:val="none"/>
        </w:rPr>
        <w:t>绩效评价总分值100分，根据综合评分结果，90（含）-100分为优、80（含）-90分为良、60（含）-80分为中、60分以下为差。</w:t>
      </w:r>
    </w:p>
    <w:p w14:paraId="150609E9">
      <w:pPr>
        <w:pStyle w:val="10"/>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highlight w:val="none"/>
        </w:rPr>
      </w:pPr>
      <w:r>
        <w:rPr>
          <w:rFonts w:hint="default" w:ascii="Times New Roman" w:hAnsi="Times New Roman" w:eastAsia="仿宋_GB2312" w:cs="Times New Roman"/>
          <w:b w:val="0"/>
          <w:bCs w:val="0"/>
          <w:color w:val="000000"/>
          <w:spacing w:val="17"/>
          <w:highlight w:val="none"/>
        </w:rPr>
        <w:t>具体评价指标体系详情见附件1</w:t>
      </w:r>
    </w:p>
    <w:p w14:paraId="48E7EECA">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3</w:t>
      </w:r>
      <w:r>
        <w:rPr>
          <w:rFonts w:hint="default" w:ascii="Times New Roman" w:hAnsi="Times New Roman" w:eastAsia="仿宋_GB2312" w:cs="Times New Roman"/>
          <w:b w:val="0"/>
          <w:bCs w:val="0"/>
          <w:highlight w:val="none"/>
          <w:lang w:val="en-US" w:eastAsia="zh-CN"/>
        </w:rPr>
        <w:t>.</w:t>
      </w:r>
      <w:r>
        <w:rPr>
          <w:rFonts w:hint="default" w:ascii="Times New Roman" w:hAnsi="Times New Roman" w:eastAsia="仿宋_GB2312" w:cs="Times New Roman"/>
          <w:b w:val="0"/>
          <w:bCs w:val="0"/>
          <w:highlight w:val="none"/>
        </w:rPr>
        <w:t>绩效评价方法</w:t>
      </w:r>
    </w:p>
    <w:p w14:paraId="5942E290">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14:paraId="47DE22E6">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本次评价指标中，既有定性指标又有定量指标，各类指标因考核内容不同和客观标准不同存在较大差异，因此核定具体指标时采用了不同方法，具体评价方法如下：</w:t>
      </w:r>
    </w:p>
    <w:p w14:paraId="570A8C95">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 xml:space="preserve">（一）成本效益分析法。是指将投入与产出、效益进行关联性分析的方法。 </w:t>
      </w:r>
    </w:p>
    <w:p w14:paraId="541F725A">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w:t>
      </w:r>
      <w:r>
        <w:rPr>
          <w:rFonts w:hint="eastAsia" w:eastAsia="仿宋_GB2312" w:cs="Times New Roman"/>
          <w:color w:val="000000"/>
          <w:spacing w:val="17"/>
          <w:sz w:val="32"/>
          <w:szCs w:val="32"/>
          <w:highlight w:val="none"/>
          <w:lang w:eastAsia="zh-CN"/>
        </w:rPr>
        <w:t>二</w:t>
      </w:r>
      <w:r>
        <w:rPr>
          <w:rFonts w:hint="default" w:ascii="Times New Roman" w:hAnsi="Times New Roman" w:eastAsia="仿宋_GB2312" w:cs="Times New Roman"/>
          <w:color w:val="000000"/>
          <w:spacing w:val="17"/>
          <w:sz w:val="32"/>
          <w:szCs w:val="32"/>
          <w:highlight w:val="none"/>
        </w:rPr>
        <w:t>）因素分析法。是指综合分析影响绩效目标实现、实施效果的内外部因素的方法。</w:t>
      </w:r>
    </w:p>
    <w:p w14:paraId="49ED829A">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（三）公众评判法。是指通过专家评估、公众问卷及抽样调查等方式进行评判的方法。</w:t>
      </w:r>
    </w:p>
    <w:p w14:paraId="68F05262">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643BB28F">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绩效评价标准通常包括计划标准、行业标准、历史标准等，用于对绩效指标完成情况进行比较、分析、评价。本次评价主要采用了计划标准。</w:t>
      </w:r>
    </w:p>
    <w:p w14:paraId="6D136D7B">
      <w:pPr>
        <w:pStyle w:val="10"/>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highlight w:val="none"/>
        </w:rPr>
      </w:pPr>
      <w:r>
        <w:rPr>
          <w:rFonts w:hint="default" w:ascii="Times New Roman" w:hAnsi="Times New Roman" w:eastAsia="楷体" w:cs="Times New Roman"/>
          <w:color w:val="000000"/>
          <w:spacing w:val="17"/>
          <w:highlight w:val="none"/>
        </w:rPr>
        <w:t>绩效评价工作过程</w:t>
      </w:r>
    </w:p>
    <w:p w14:paraId="32F98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前期准备与规划</w:t>
      </w:r>
    </w:p>
    <w:p w14:paraId="76775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1249A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165FE9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37560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2DF92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473C0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57578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FA17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0E1FB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DBEC6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1BEBD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7417F5FD">
      <w:pPr>
        <w:numPr>
          <w:ilvl w:val="0"/>
          <w:numId w:val="4"/>
        </w:num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综合评价情况及评价结论（附相关评分表）</w:t>
      </w:r>
    </w:p>
    <w:p w14:paraId="1C9AA7C7">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一</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评价情况</w:t>
      </w:r>
    </w:p>
    <w:p w14:paraId="24DA87F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default" w:ascii="Times New Roman" w:hAnsi="Times New Roman" w:eastAsia="仿宋_GB2312" w:cs="Times New Roman"/>
          <w:color w:val="auto"/>
          <w:sz w:val="32"/>
          <w:szCs w:val="32"/>
          <w:highlight w:val="none"/>
        </w:rPr>
        <w:t>乌财社〔2023〕266号-2024年国家财政基本公共卫生服务补助资金（直达资金）</w:t>
      </w:r>
      <w:r>
        <w:rPr>
          <w:rFonts w:hint="default" w:ascii="Times New Roman" w:hAnsi="Times New Roman" w:eastAsia="仿宋_GB2312" w:cs="Times New Roman"/>
          <w:sz w:val="32"/>
          <w:szCs w:val="32"/>
          <w:highlight w:val="none"/>
        </w:rPr>
        <w:t>在7岁以下儿童健康管理率、肺结核患者健康管理率等方面表现出色，达到了预期的标准与要求。同时，项目也在适龄儿童国家免疫规划疫苗接种率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传染病和突发公共卫生时间报告率</w:t>
      </w:r>
      <w:r>
        <w:rPr>
          <w:rFonts w:hint="eastAsia" w:eastAsia="仿宋_GB2312" w:cs="Times New Roman"/>
          <w:sz w:val="32"/>
          <w:szCs w:val="32"/>
          <w:highlight w:val="none"/>
          <w:lang w:eastAsia="zh-CN"/>
        </w:rPr>
        <w:t>方面</w:t>
      </w:r>
      <w:r>
        <w:rPr>
          <w:rFonts w:hint="default" w:ascii="Times New Roman" w:hAnsi="Times New Roman" w:eastAsia="仿宋_GB2312" w:cs="Times New Roman"/>
          <w:sz w:val="32"/>
          <w:szCs w:val="32"/>
          <w:highlight w:val="none"/>
        </w:rPr>
        <w:t>取得了显著的成效，如适龄儿童国家免疫规划疫苗接种率</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99.73%、</w:t>
      </w:r>
      <w:r>
        <w:rPr>
          <w:rFonts w:hint="default" w:ascii="Times New Roman" w:hAnsi="Times New Roman" w:eastAsia="仿宋_GB2312" w:cs="Times New Roman"/>
          <w:sz w:val="32"/>
          <w:szCs w:val="32"/>
          <w:highlight w:val="none"/>
        </w:rPr>
        <w:t>传染病和突发公共卫生时间报告率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等。</w:t>
      </w:r>
    </w:p>
    <w:p w14:paraId="57D66E45">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在项目管理方面，乌鲁木齐市沙依巴克区卫生健康委员会通过有效的规划、组织与协调，项目得以顺利实施，并在预算与时间上保持了良好的控制。</w:t>
      </w:r>
    </w:p>
    <w:p w14:paraId="635ED78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从项目效益的角度来看，本项目实现了预期的社会效益。具体而言，不断缩小城乡居民公共卫生差距、不断提高基本公共卫生服务水平等方面的提升，为项目的利益相关者带来了实实在在的利益。</w:t>
      </w:r>
    </w:p>
    <w:p w14:paraId="4B842E9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综上所述，乌财社〔2023〕266号-2024年国家财政基本公共卫生服务补助资金（直达资金）在绩效评价中表现出色，达到了项目的预期目标，并在多个方面取得了显著的成效。</w:t>
      </w:r>
    </w:p>
    <w:p w14:paraId="69CAD9CD">
      <w:pPr>
        <w:pStyle w:val="1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highlight w:val="none"/>
          <w:lang w:val="en-US" w:eastAsia="zh-CN"/>
        </w:rPr>
      </w:pP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二</w:t>
      </w:r>
      <w:r>
        <w:rPr>
          <w:rFonts w:hint="default" w:ascii="Times New Roman" w:hAnsi="Times New Roman" w:eastAsia="楷体_GB2312" w:cs="Times New Roman"/>
          <w:highlight w:val="none"/>
          <w:lang w:eastAsia="zh-CN"/>
        </w:rPr>
        <w:t>）</w:t>
      </w:r>
      <w:r>
        <w:rPr>
          <w:rFonts w:hint="default" w:ascii="Times New Roman" w:hAnsi="Times New Roman" w:eastAsia="楷体_GB2312" w:cs="Times New Roman"/>
          <w:highlight w:val="none"/>
          <w:lang w:val="en-US" w:eastAsia="zh-CN"/>
        </w:rPr>
        <w:t>评价结论</w:t>
      </w:r>
    </w:p>
    <w:p w14:paraId="73092C39">
      <w:pPr>
        <w:pStyle w:val="10"/>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%。具体打分情况详见：附件1综合评分表</w:t>
      </w:r>
      <w:r>
        <w:rPr>
          <w:rFonts w:hint="default" w:ascii="Times New Roman" w:hAnsi="Times New Roman" w:eastAsia="仿宋_GB2312" w:cs="Times New Roman"/>
          <w:b w:val="0"/>
          <w:bCs w:val="0"/>
          <w:highlight w:val="none"/>
          <w:lang w:eastAsia="zh-CN"/>
        </w:rPr>
        <w:t>。</w:t>
      </w:r>
    </w:p>
    <w:p w14:paraId="21CA58C3">
      <w:pPr>
        <w:pStyle w:val="10"/>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4E4D04E8">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1B8A5A8">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DCF1B0D">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CF360DE">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4989610">
            <w:pPr>
              <w:jc w:val="center"/>
              <w:rPr>
                <w:rFonts w:hint="eastAsia"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得分率</w:t>
            </w:r>
          </w:p>
        </w:tc>
      </w:tr>
      <w:tr w14:paraId="696F8C7B">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00BC19C8">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项目决策</w:t>
            </w:r>
          </w:p>
        </w:tc>
        <w:tc>
          <w:tcPr>
            <w:tcW w:w="1927" w:type="dxa"/>
            <w:tcBorders>
              <w:top w:val="nil"/>
              <w:left w:val="nil"/>
              <w:bottom w:val="single" w:color="auto" w:sz="4" w:space="0"/>
              <w:right w:val="single" w:color="auto" w:sz="4" w:space="0"/>
            </w:tcBorders>
            <w:shd w:val="clear" w:color="auto" w:fill="auto"/>
            <w:vAlign w:val="center"/>
          </w:tcPr>
          <w:p w14:paraId="52AC1803">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470CD0DB">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053F2557">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100%</w:t>
            </w:r>
          </w:p>
        </w:tc>
      </w:tr>
      <w:tr w14:paraId="11E827CB">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30DA536B">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项目过程</w:t>
            </w:r>
          </w:p>
        </w:tc>
        <w:tc>
          <w:tcPr>
            <w:tcW w:w="1927" w:type="dxa"/>
            <w:tcBorders>
              <w:top w:val="nil"/>
              <w:left w:val="nil"/>
              <w:bottom w:val="single" w:color="auto" w:sz="4" w:space="0"/>
              <w:right w:val="single" w:color="auto" w:sz="4" w:space="0"/>
            </w:tcBorders>
            <w:shd w:val="clear" w:color="auto" w:fill="auto"/>
            <w:vAlign w:val="center"/>
          </w:tcPr>
          <w:p w14:paraId="3BCE0CBB">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57845B3">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7E2DADED">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7ECD7809">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423FADD9">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项目产出</w:t>
            </w:r>
          </w:p>
        </w:tc>
        <w:tc>
          <w:tcPr>
            <w:tcW w:w="1927" w:type="dxa"/>
            <w:tcBorders>
              <w:top w:val="nil"/>
              <w:left w:val="nil"/>
              <w:bottom w:val="single" w:color="auto" w:sz="4" w:space="0"/>
              <w:right w:val="single" w:color="auto" w:sz="4" w:space="0"/>
            </w:tcBorders>
            <w:shd w:val="clear" w:color="auto" w:fill="auto"/>
            <w:vAlign w:val="center"/>
          </w:tcPr>
          <w:p w14:paraId="56A71CA5">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125ACD61">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40</w:t>
            </w:r>
          </w:p>
        </w:tc>
        <w:tc>
          <w:tcPr>
            <w:tcW w:w="2023" w:type="dxa"/>
            <w:tcBorders>
              <w:top w:val="nil"/>
              <w:left w:val="nil"/>
              <w:bottom w:val="single" w:color="auto" w:sz="4" w:space="0"/>
              <w:right w:val="single" w:color="auto" w:sz="4" w:space="0"/>
            </w:tcBorders>
            <w:shd w:val="clear" w:color="auto" w:fill="auto"/>
            <w:vAlign w:val="center"/>
          </w:tcPr>
          <w:p w14:paraId="62FA8BD2">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54E88105">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2BFEED79">
            <w:pPr>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项目效益</w:t>
            </w:r>
          </w:p>
        </w:tc>
        <w:tc>
          <w:tcPr>
            <w:tcW w:w="1927" w:type="dxa"/>
            <w:tcBorders>
              <w:top w:val="nil"/>
              <w:left w:val="nil"/>
              <w:bottom w:val="single" w:color="auto" w:sz="4" w:space="0"/>
              <w:right w:val="single" w:color="auto" w:sz="4" w:space="0"/>
            </w:tcBorders>
            <w:shd w:val="clear" w:color="auto" w:fill="auto"/>
            <w:vAlign w:val="center"/>
          </w:tcPr>
          <w:p w14:paraId="5286409E">
            <w:pPr>
              <w:jc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5F636333">
            <w:pPr>
              <w:jc w:val="center"/>
              <w:rPr>
                <w:rFonts w:hint="default" w:ascii="Times New Roman" w:hAnsi="Times New Roman" w:eastAsia="仿宋_GB2312" w:cs="Times New Roman"/>
                <w:color w:val="000000"/>
                <w:sz w:val="21"/>
                <w:szCs w:val="21"/>
                <w:highlight w:val="none"/>
                <w:lang w:val="en-US" w:eastAsia="zh-CN"/>
              </w:rPr>
            </w:pPr>
            <w:r>
              <w:rPr>
                <w:rFonts w:hint="eastAsia" w:eastAsia="仿宋_GB2312" w:cs="Times New Roman"/>
                <w:color w:val="000000"/>
                <w:sz w:val="21"/>
                <w:szCs w:val="21"/>
                <w:highlight w:val="none"/>
                <w:lang w:val="en-US" w:eastAsia="zh-CN"/>
              </w:rPr>
              <w:t>20</w:t>
            </w:r>
          </w:p>
        </w:tc>
        <w:tc>
          <w:tcPr>
            <w:tcW w:w="2023" w:type="dxa"/>
            <w:tcBorders>
              <w:top w:val="nil"/>
              <w:left w:val="nil"/>
              <w:bottom w:val="single" w:color="auto" w:sz="4" w:space="0"/>
              <w:right w:val="single" w:color="auto" w:sz="4" w:space="0"/>
            </w:tcBorders>
            <w:shd w:val="clear" w:color="auto" w:fill="auto"/>
            <w:vAlign w:val="center"/>
          </w:tcPr>
          <w:p w14:paraId="09793E10">
            <w:pPr>
              <w:jc w:val="center"/>
              <w:rPr>
                <w:rFonts w:hint="default" w:ascii="Times New Roman" w:hAnsi="Times New Roman" w:eastAsia="仿宋_GB2312" w:cs="Times New Roman"/>
                <w:color w:val="000000"/>
                <w:sz w:val="21"/>
                <w:szCs w:val="21"/>
                <w:highlight w:val="none"/>
              </w:rPr>
            </w:pPr>
            <w:r>
              <w:rPr>
                <w:rFonts w:hint="eastAsia" w:eastAsia="仿宋_GB2312" w:cs="Times New Roman"/>
                <w:color w:val="000000"/>
                <w:sz w:val="21"/>
                <w:szCs w:val="21"/>
                <w:highlight w:val="none"/>
                <w:lang w:val="en-US" w:eastAsia="zh-CN"/>
              </w:rPr>
              <w:t>100%</w:t>
            </w:r>
          </w:p>
        </w:tc>
      </w:tr>
      <w:tr w14:paraId="3BD8B909">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shd w:val="clear" w:color="auto" w:fill="auto"/>
            <w:vAlign w:val="center"/>
          </w:tcPr>
          <w:p w14:paraId="02DEF1D0">
            <w:pPr>
              <w:jc w:val="center"/>
              <w:rPr>
                <w:rFonts w:hint="default" w:ascii="Times New Roman" w:hAnsi="Times New Roman" w:eastAsia="仿宋_GB2312" w:cs="Times New Roman"/>
                <w:b/>
                <w:bCs/>
                <w:color w:val="000000"/>
                <w:sz w:val="21"/>
                <w:szCs w:val="21"/>
                <w:highlight w:val="none"/>
              </w:rPr>
            </w:pPr>
            <w:r>
              <w:rPr>
                <w:rFonts w:hint="default" w:ascii="Times New Roman" w:hAnsi="Times New Roman" w:eastAsia="仿宋_GB2312" w:cs="Times New Roman"/>
                <w:b/>
                <w:bCs/>
                <w:color w:val="000000"/>
                <w:sz w:val="21"/>
                <w:szCs w:val="21"/>
                <w:highlight w:val="none"/>
              </w:rPr>
              <w:t>合计</w:t>
            </w:r>
          </w:p>
        </w:tc>
        <w:tc>
          <w:tcPr>
            <w:tcW w:w="1927" w:type="dxa"/>
            <w:tcBorders>
              <w:top w:val="nil"/>
              <w:left w:val="nil"/>
              <w:bottom w:val="single" w:color="auto" w:sz="4" w:space="0"/>
              <w:right w:val="single" w:color="auto" w:sz="4" w:space="0"/>
            </w:tcBorders>
            <w:shd w:val="clear" w:color="auto" w:fill="auto"/>
            <w:vAlign w:val="center"/>
          </w:tcPr>
          <w:p w14:paraId="1288C8C5">
            <w:pPr>
              <w:jc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76DBFA1C">
            <w:pPr>
              <w:jc w:val="center"/>
              <w:rPr>
                <w:rFonts w:hint="default" w:ascii="Times New Roman" w:hAnsi="Times New Roman" w:eastAsia="仿宋_GB2312" w:cs="Times New Roman"/>
                <w:b/>
                <w:bCs/>
                <w:color w:val="000000"/>
                <w:sz w:val="21"/>
                <w:szCs w:val="21"/>
                <w:highlight w:val="none"/>
                <w:lang w:val="en-US" w:eastAsia="zh-CN"/>
              </w:rPr>
            </w:pPr>
            <w:r>
              <w:rPr>
                <w:rFonts w:hint="eastAsia" w:eastAsia="仿宋_GB2312" w:cs="Times New Roman"/>
                <w:b/>
                <w:bCs/>
                <w:color w:val="000000"/>
                <w:sz w:val="21"/>
                <w:szCs w:val="21"/>
                <w:highlight w:val="none"/>
                <w:lang w:val="en-US" w:eastAsia="zh-CN"/>
              </w:rPr>
              <w:t>100</w:t>
            </w:r>
          </w:p>
        </w:tc>
        <w:tc>
          <w:tcPr>
            <w:tcW w:w="2023" w:type="dxa"/>
            <w:tcBorders>
              <w:top w:val="nil"/>
              <w:left w:val="nil"/>
              <w:bottom w:val="single" w:color="auto" w:sz="4" w:space="0"/>
              <w:right w:val="single" w:color="auto" w:sz="4" w:space="0"/>
            </w:tcBorders>
            <w:shd w:val="clear" w:color="auto" w:fill="auto"/>
            <w:vAlign w:val="center"/>
          </w:tcPr>
          <w:p w14:paraId="452AC9DE">
            <w:pPr>
              <w:jc w:val="center"/>
              <w:rPr>
                <w:rFonts w:hint="default" w:ascii="Times New Roman" w:hAnsi="Times New Roman" w:eastAsia="仿宋_GB2312" w:cs="Times New Roman"/>
                <w:b/>
                <w:bCs/>
                <w:color w:val="000000"/>
                <w:sz w:val="21"/>
                <w:szCs w:val="21"/>
                <w:highlight w:val="none"/>
              </w:rPr>
            </w:pPr>
            <w:r>
              <w:rPr>
                <w:rFonts w:hint="eastAsia" w:eastAsia="仿宋_GB2312" w:cs="Times New Roman"/>
                <w:color w:val="000000"/>
                <w:sz w:val="21"/>
                <w:szCs w:val="21"/>
                <w:highlight w:val="none"/>
                <w:lang w:val="en-US" w:eastAsia="zh-CN"/>
              </w:rPr>
              <w:t>100%</w:t>
            </w:r>
          </w:p>
        </w:tc>
      </w:tr>
    </w:tbl>
    <w:p w14:paraId="71BA01FC">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四、绩效评价指标分析</w:t>
      </w:r>
    </w:p>
    <w:p w14:paraId="65F840E6">
      <w:pPr>
        <w:pStyle w:val="10"/>
        <w:spacing w:before="0" w:after="0" w:line="560" w:lineRule="exact"/>
        <w:ind w:firstLine="643" w:firstLineChars="200"/>
        <w:jc w:val="both"/>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t>（一）项目决策情况</w:t>
      </w:r>
    </w:p>
    <w:p w14:paraId="0A627A2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7D3F448B">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50369B3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（1）立项依据充分性</w:t>
      </w:r>
    </w:p>
    <w:p w14:paraId="25B1E16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该项目立项符合</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中华人民共和国基本医疗卫生与健康促进法</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及</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国家</w:t>
      </w:r>
      <w:r>
        <w:rPr>
          <w:rFonts w:hint="eastAsia" w:ascii="Times New Roman" w:hAnsi="Times New Roman" w:eastAsia="仿宋_GB2312" w:cs="Times New Roman"/>
          <w:sz w:val="32"/>
          <w:szCs w:val="32"/>
          <w:highlight w:val="none"/>
          <w:lang w:val="en-US" w:eastAsia="zh-CN"/>
        </w:rPr>
        <w:t>基本公共卫生服务</w:t>
      </w:r>
      <w:r>
        <w:rPr>
          <w:rFonts w:hint="eastAsia" w:eastAsia="仿宋_GB2312" w:cs="Times New Roman"/>
          <w:sz w:val="32"/>
          <w:szCs w:val="32"/>
          <w:highlight w:val="none"/>
          <w:lang w:val="en-US" w:eastAsia="zh-CN"/>
        </w:rPr>
        <w:t>补助资金管理办法》的</w:t>
      </w:r>
      <w:r>
        <w:rPr>
          <w:rFonts w:hint="default" w:ascii="Times New Roman" w:hAnsi="Times New Roman" w:eastAsia="仿宋_GB2312" w:cs="Times New Roman"/>
          <w:sz w:val="32"/>
          <w:szCs w:val="32"/>
          <w:highlight w:val="none"/>
          <w:lang w:val="en-US" w:eastAsia="zh-CN"/>
        </w:rPr>
        <w:t>要求，符合行业规划要求，围绕本年度工作重点和工作计划制定经费预算，属于公共财政支持范围。本项目与部门内部其他相关项目不重复。部门发展规划及职能文件等归档完整。</w:t>
      </w:r>
    </w:p>
    <w:p w14:paraId="59A4B03A">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（2）立项程序规范性</w:t>
      </w:r>
    </w:p>
    <w:p w14:paraId="7FE25E2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项目申请、设立过程符合相关要求，</w:t>
      </w:r>
      <w:r>
        <w:rPr>
          <w:rFonts w:hint="default" w:ascii="Times New Roman" w:hAnsi="Times New Roman" w:eastAsia="仿宋_GB2312" w:cs="Times New Roman"/>
          <w:sz w:val="32"/>
          <w:szCs w:val="32"/>
          <w:highlight w:val="none"/>
          <w:lang w:eastAsia="zh-Hans"/>
        </w:rPr>
        <w:t>严格按照审批流程准备符合要求的文件、材料；</w:t>
      </w:r>
      <w:r>
        <w:rPr>
          <w:rFonts w:hint="default" w:ascii="Times New Roman" w:hAnsi="Times New Roman" w:eastAsia="仿宋_GB2312" w:cs="Times New Roman"/>
          <w:sz w:val="32"/>
          <w:szCs w:val="32"/>
          <w:highlight w:val="none"/>
          <w:lang w:val="en-US" w:eastAsia="zh-CN"/>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7E994DA">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2.绩效目标</w:t>
      </w:r>
    </w:p>
    <w:p w14:paraId="4B7758D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（1）绩效目标合理性</w:t>
      </w:r>
    </w:p>
    <w:p w14:paraId="39D7339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Hans"/>
        </w:rPr>
        <w:t>年初结合实际工作内容</w:t>
      </w:r>
      <w:r>
        <w:rPr>
          <w:rFonts w:hint="default" w:ascii="Times New Roman" w:hAnsi="Times New Roman" w:eastAsia="仿宋_GB2312" w:cs="Times New Roman"/>
          <w:sz w:val="32"/>
          <w:szCs w:val="32"/>
          <w:highlight w:val="none"/>
          <w:lang w:val="en-US" w:eastAsia="zh-CN"/>
        </w:rPr>
        <w:t>设定绩效目标</w:t>
      </w:r>
      <w:r>
        <w:rPr>
          <w:rFonts w:hint="default" w:ascii="Times New Roman" w:hAnsi="Times New Roman" w:eastAsia="仿宋_GB2312" w:cs="Times New Roman"/>
          <w:sz w:val="32"/>
          <w:szCs w:val="32"/>
          <w:highlight w:val="none"/>
          <w:lang w:val="en-US" w:eastAsia="zh-Hans"/>
        </w:rPr>
        <w:t>，绩效目标</w:t>
      </w:r>
      <w:r>
        <w:rPr>
          <w:rFonts w:hint="default" w:ascii="Times New Roman" w:hAnsi="Times New Roman" w:eastAsia="仿宋_GB2312" w:cs="Times New Roman"/>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282AAAF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（2）绩效指标明确性</w:t>
      </w:r>
    </w:p>
    <w:p w14:paraId="6A9159F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项目设置了明确的预期产出效益和效果，将绩效目标细化分解为具体的绩效指标，绩效目标与项目目标任务数相对应，</w:t>
      </w:r>
      <w:r>
        <w:rPr>
          <w:rFonts w:hint="eastAsia" w:eastAsia="仿宋_GB2312" w:cs="Times New Roman"/>
          <w:sz w:val="32"/>
          <w:szCs w:val="32"/>
          <w:highlight w:val="none"/>
          <w:lang w:val="en-US" w:eastAsia="zh-CN"/>
        </w:rPr>
        <w:t>数量指标：1.7岁以下儿童健康管理率93.28%；数量指标：2.孕产妇系统管理率92.88；数量指标：3.肺结核患者健康管理率100%；数量指标：4.社区在册居家严重精神障碍患者健康管理率85.51%；数量指标：5.老年人中医药健康管理率78.22%；数量指标：6.适龄儿童国家免疫规划疫苗接种率99.73%；数量指标：7.高血压患者管理人数5.1万人；数量指标：8.2型糖尿病患者管理人数2.3万人；数量指标：9.儿童中医药健康管理率87.05%；数量指标：10.卫生监督协管各专业年巡查（访）2次完成率93.75%；质量指标：11.居民规范化电子健康档案覆盖率64.99%；质量指标：12.高血压患者基层规范管理服务率81.53%；质量指标：13.2型糖尿病患者基层规范管理服务率82.50%；质量指标：14.传染病和突发公共卫生时间报告率100%；质量指标：15.65岁及以上老年人城乡社区规范健康管理服务率72.4%；社会效益指标：16.城乡居民公共卫生差距不断缩小；社会效益指标：17.基本公共卫生服务水平不断提高；满意度指标：18.服务对象满意度100%。</w:t>
      </w:r>
      <w:r>
        <w:rPr>
          <w:rFonts w:hint="default" w:ascii="Times New Roman" w:hAnsi="Times New Roman" w:eastAsia="仿宋_GB2312" w:cs="Times New Roman"/>
          <w:sz w:val="32"/>
          <w:szCs w:val="32"/>
          <w:highlight w:val="none"/>
          <w:lang w:val="en-US" w:eastAsia="zh-CN"/>
        </w:rPr>
        <w:t>绩效目标设定的绩效指标清晰、细化、可衡量。</w:t>
      </w:r>
    </w:p>
    <w:p w14:paraId="363E27DD">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3.资金投入</w:t>
      </w:r>
    </w:p>
    <w:p w14:paraId="02CAD03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（1）预算编制科学性</w:t>
      </w:r>
    </w:p>
    <w:p w14:paraId="370810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273C3105">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59A52C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57534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0702F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ED76A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2B884361">
      <w:pPr>
        <w:pStyle w:val="10"/>
        <w:numPr>
          <w:ilvl w:val="0"/>
          <w:numId w:val="5"/>
        </w:numPr>
        <w:spacing w:before="0" w:after="0" w:line="560" w:lineRule="exact"/>
        <w:ind w:left="-13" w:leftChars="0" w:firstLine="643" w:firstLineChars="0"/>
        <w:jc w:val="both"/>
        <w:rPr>
          <w:rFonts w:hint="default" w:ascii="Times New Roman" w:hAnsi="Times New Roman" w:eastAsia="楷体" w:cs="Times New Roman"/>
          <w:highlight w:val="none"/>
        </w:rPr>
      </w:pPr>
      <w:r>
        <w:rPr>
          <w:rFonts w:hint="default" w:ascii="Times New Roman" w:hAnsi="Times New Roman" w:eastAsia="楷体" w:cs="Times New Roman"/>
          <w:highlight w:val="none"/>
        </w:rPr>
        <w:t>项目过程情况</w:t>
      </w:r>
    </w:p>
    <w:p w14:paraId="1526D26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项目过程类指标包括资金管理和组织实施两方面的内容，由5个三级指标构成，权重分值为20分，实际得分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3730D2E1">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32C5428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（1）资金到位率</w:t>
      </w:r>
    </w:p>
    <w:p w14:paraId="683EB5A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3368.05</w:t>
      </w:r>
      <w:r>
        <w:rPr>
          <w:rFonts w:hint="default" w:ascii="Times New Roman" w:hAnsi="Times New Roman" w:eastAsia="仿宋_GB2312" w:cs="Times New Roman"/>
          <w:sz w:val="32"/>
          <w:szCs w:val="32"/>
          <w:highlight w:val="none"/>
          <w:lang w:val="en-US" w:eastAsia="zh-CN"/>
        </w:rPr>
        <w:t>万元，财政资金</w:t>
      </w:r>
      <w:r>
        <w:rPr>
          <w:rFonts w:hint="eastAsia" w:eastAsia="仿宋_GB2312" w:cs="Times New Roman"/>
          <w:sz w:val="32"/>
          <w:szCs w:val="32"/>
          <w:highlight w:val="none"/>
          <w:lang w:val="en-US" w:eastAsia="zh-CN"/>
        </w:rPr>
        <w:t>2024年1月15日</w:t>
      </w:r>
      <w:r>
        <w:rPr>
          <w:rFonts w:hint="default" w:ascii="Times New Roman" w:hAnsi="Times New Roman" w:eastAsia="仿宋_GB2312" w:cs="Times New Roman"/>
          <w:sz w:val="32"/>
          <w:szCs w:val="32"/>
          <w:highlight w:val="none"/>
          <w:lang w:val="en-US" w:eastAsia="zh-CN"/>
        </w:rPr>
        <w:t>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p>
    <w:p w14:paraId="541D2FA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00BDED5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3368.05</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全部为委托业务费，资金</w:t>
      </w:r>
      <w:r>
        <w:rPr>
          <w:rFonts w:hint="default" w:ascii="Times New Roman" w:hAnsi="Times New Roman" w:eastAsia="仿宋_GB2312" w:cs="Times New Roman"/>
          <w:sz w:val="32"/>
          <w:szCs w:val="32"/>
          <w:highlight w:val="none"/>
          <w:lang w:val="en-US" w:eastAsia="zh-CN"/>
        </w:rPr>
        <w:t>用于</w:t>
      </w:r>
      <w:r>
        <w:rPr>
          <w:rFonts w:hint="eastAsia" w:eastAsia="仿宋_GB2312" w:cs="Times New Roman"/>
          <w:sz w:val="32"/>
          <w:szCs w:val="32"/>
          <w:highlight w:val="none"/>
          <w:lang w:val="en-US" w:eastAsia="zh-CN"/>
        </w:rPr>
        <w:t>向辖区内</w:t>
      </w:r>
      <w:r>
        <w:rPr>
          <w:rFonts w:hint="eastAsia" w:eastAsia="仿宋_GB2312" w:cs="Times New Roman"/>
          <w:b w:val="0"/>
          <w:bCs w:val="0"/>
          <w:kern w:val="2"/>
          <w:sz w:val="32"/>
          <w:szCs w:val="32"/>
          <w:highlight w:val="none"/>
          <w:lang w:val="en-US" w:eastAsia="zh-CN" w:bidi="ar-SA"/>
        </w:rPr>
        <w:t>开展基本公卫的基层医疗卫生机构拨付基本公共卫生服务补助资金。基层医疗卫生机构</w:t>
      </w:r>
      <w:r>
        <w:rPr>
          <w:rFonts w:hint="eastAsia" w:ascii="仿宋_GB2312" w:hAnsi="仿宋_GB2312" w:eastAsia="仿宋_GB2312" w:cs="仿宋_GB2312"/>
          <w:i w:val="0"/>
          <w:caps w:val="0"/>
          <w:color w:val="333333"/>
          <w:spacing w:val="0"/>
          <w:sz w:val="32"/>
          <w:szCs w:val="32"/>
          <w:highlight w:val="none"/>
          <w:shd w:val="clear" w:fill="FFFFFF"/>
        </w:rPr>
        <w:t>免费向城乡居民提供基本公共卫生服务</w:t>
      </w:r>
      <w:r>
        <w:rPr>
          <w:rFonts w:hint="eastAsia" w:ascii="仿宋_GB2312" w:hAnsi="仿宋_GB2312" w:eastAsia="仿宋_GB2312" w:cs="仿宋_GB2312"/>
          <w:i w:val="0"/>
          <w:caps w:val="0"/>
          <w:color w:val="333333"/>
          <w:spacing w:val="0"/>
          <w:sz w:val="32"/>
          <w:szCs w:val="32"/>
          <w:highlight w:val="none"/>
          <w:shd w:val="clear" w:fill="FFFFFF"/>
          <w:lang w:eastAsia="zh-CN"/>
        </w:rPr>
        <w:t>，</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78EEED76">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（3）资金使用合规性</w:t>
      </w:r>
    </w:p>
    <w:p w14:paraId="661DC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740A6F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4462B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08E1F088">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6285EDEF">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4BCA3F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w:t>
      </w:r>
      <w:r>
        <w:rPr>
          <w:rFonts w:hint="eastAsia" w:eastAsia="仿宋_GB2312" w:cs="Times New Roman"/>
          <w:sz w:val="32"/>
          <w:szCs w:val="32"/>
          <w:highlight w:val="none"/>
          <w:lang w:val="en-US" w:eastAsia="zh-CN"/>
        </w:rPr>
        <w:t>依据《国家基本公共卫生服务规范（第三版）》的要求及《基本公共卫生服务补助资金管理办法》等管理制度开展工作</w:t>
      </w:r>
      <w:r>
        <w:rPr>
          <w:rFonts w:hint="default" w:ascii="Times New Roman" w:hAnsi="Times New Roman" w:eastAsia="仿宋_GB2312" w:cs="Times New Roman"/>
          <w:sz w:val="32"/>
          <w:szCs w:val="32"/>
          <w:highlight w:val="none"/>
          <w:lang w:eastAsia="zh-CN"/>
        </w:rPr>
        <w:t>，为项目的成功实施提供了坚实的制度保障。项目管理制度涵盖了项目的组织、实施、监控与收尾等各个环节。</w:t>
      </w:r>
    </w:p>
    <w:p w14:paraId="02F98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5BA99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F658C20">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549911E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（2）制度执行有效性</w:t>
      </w:r>
    </w:p>
    <w:p w14:paraId="75B6A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highlight w:val="none"/>
          <w:lang w:val="en-US" w:eastAsia="zh-CN"/>
        </w:rPr>
        <w:t>单位</w:t>
      </w:r>
      <w:r>
        <w:rPr>
          <w:rFonts w:hint="default" w:ascii="Times New Roman" w:hAnsi="Times New Roman" w:eastAsia="仿宋_GB2312" w:cs="Times New Roman"/>
          <w:sz w:val="32"/>
          <w:szCs w:val="32"/>
          <w:highlight w:val="none"/>
          <w:lang w:eastAsia="zh-CN"/>
        </w:rPr>
        <w:t>重视制度执行的重要性，通过明确责任分工、制定详细执行计划、加强监督考核等措施，确保了各项管理制度能够得到有效执行。</w:t>
      </w:r>
    </w:p>
    <w:p w14:paraId="40F9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0FB1F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综上所述，本项目的管理制度在执行过程中表现出了高度的有效性，既确保了项目的顺利进行，又实现了项目目标的有效达成。</w:t>
      </w:r>
    </w:p>
    <w:p w14:paraId="72C21BE8">
      <w:pPr>
        <w:pStyle w:val="12"/>
        <w:numPr>
          <w:ilvl w:val="0"/>
          <w:numId w:val="5"/>
        </w:numPr>
        <w:spacing w:line="560" w:lineRule="exact"/>
        <w:ind w:left="-13" w:leftChars="0" w:firstLine="643" w:firstLineChars="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20EDBCF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个三级指标构成，权重分为</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%。具体产出指标完成情况如下：</w:t>
      </w:r>
    </w:p>
    <w:p w14:paraId="20947363">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1528D769">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指标1：7岁以下儿童健康管理率，指标值：&gt;=93.28% ，实际完成值：=93.28%，指标完成率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，我区本年度</w:t>
      </w:r>
      <w:r>
        <w:rPr>
          <w:rFonts w:hint="default" w:ascii="Times New Roman" w:hAnsi="Times New Roman" w:eastAsia="仿宋_GB2312" w:cs="Times New Roman"/>
          <w:sz w:val="32"/>
          <w:szCs w:val="32"/>
          <w:highlight w:val="none"/>
        </w:rPr>
        <w:t>7岁以下儿童</w:t>
      </w:r>
      <w:r>
        <w:rPr>
          <w:rFonts w:hint="eastAsia" w:eastAsia="仿宋_GB2312" w:cs="Times New Roman"/>
          <w:sz w:val="32"/>
          <w:szCs w:val="32"/>
          <w:highlight w:val="none"/>
          <w:lang w:eastAsia="zh-CN"/>
        </w:rPr>
        <w:t>应管人数</w:t>
      </w:r>
      <w:r>
        <w:rPr>
          <w:rFonts w:hint="eastAsia" w:eastAsia="仿宋_GB2312" w:cs="Times New Roman"/>
          <w:sz w:val="32"/>
          <w:szCs w:val="32"/>
          <w:highlight w:val="none"/>
          <w:lang w:val="en-US" w:eastAsia="zh-CN"/>
        </w:rPr>
        <w:t>31289人，</w:t>
      </w:r>
      <w:r>
        <w:rPr>
          <w:rFonts w:hint="eastAsia" w:eastAsia="仿宋_GB2312" w:cs="Times New Roman"/>
          <w:sz w:val="32"/>
          <w:szCs w:val="32"/>
          <w:highlight w:val="none"/>
          <w:lang w:eastAsia="zh-CN"/>
        </w:rPr>
        <w:t>实际完成</w:t>
      </w:r>
      <w:r>
        <w:rPr>
          <w:rFonts w:hint="eastAsia" w:eastAsia="仿宋_GB2312" w:cs="Times New Roman"/>
          <w:sz w:val="32"/>
          <w:szCs w:val="32"/>
          <w:highlight w:val="none"/>
          <w:lang w:val="en-US" w:eastAsia="zh-CN"/>
        </w:rPr>
        <w:t>7岁以下儿童健康管理29187人，并提供相关健康管理工作。</w:t>
      </w:r>
    </w:p>
    <w:p w14:paraId="75443BB2">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：孕产妇系统管理率，指标值：&gt;=92.88%，实际完成值：=92.88%，指标完成率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，我区本年度</w:t>
      </w:r>
      <w:r>
        <w:rPr>
          <w:rFonts w:hint="default" w:ascii="Times New Roman" w:hAnsi="Times New Roman" w:eastAsia="仿宋_GB2312" w:cs="Times New Roman"/>
          <w:sz w:val="32"/>
          <w:szCs w:val="32"/>
          <w:highlight w:val="none"/>
        </w:rPr>
        <w:t>孕产妇</w:t>
      </w:r>
      <w:r>
        <w:rPr>
          <w:rFonts w:hint="eastAsia" w:eastAsia="仿宋_GB2312" w:cs="Times New Roman"/>
          <w:sz w:val="32"/>
          <w:szCs w:val="32"/>
          <w:highlight w:val="none"/>
          <w:lang w:eastAsia="zh-CN"/>
        </w:rPr>
        <w:t>应管人数</w:t>
      </w:r>
      <w:r>
        <w:rPr>
          <w:rFonts w:hint="eastAsia" w:eastAsia="仿宋_GB2312" w:cs="Times New Roman"/>
          <w:sz w:val="32"/>
          <w:szCs w:val="32"/>
          <w:highlight w:val="none"/>
          <w:lang w:val="en-US" w:eastAsia="zh-CN"/>
        </w:rPr>
        <w:t>5042人，</w:t>
      </w:r>
      <w:r>
        <w:rPr>
          <w:rFonts w:hint="eastAsia" w:eastAsia="仿宋_GB2312" w:cs="Times New Roman"/>
          <w:sz w:val="32"/>
          <w:szCs w:val="32"/>
          <w:highlight w:val="none"/>
          <w:lang w:eastAsia="zh-CN"/>
        </w:rPr>
        <w:t>实际完成</w:t>
      </w:r>
      <w:r>
        <w:rPr>
          <w:rFonts w:hint="default" w:ascii="Times New Roman" w:hAnsi="Times New Roman" w:eastAsia="仿宋_GB2312" w:cs="Times New Roman"/>
          <w:sz w:val="32"/>
          <w:szCs w:val="32"/>
          <w:highlight w:val="none"/>
        </w:rPr>
        <w:t>孕产妇</w:t>
      </w:r>
      <w:r>
        <w:rPr>
          <w:rFonts w:hint="eastAsia" w:eastAsia="仿宋_GB2312" w:cs="Times New Roman"/>
          <w:sz w:val="32"/>
          <w:szCs w:val="32"/>
          <w:highlight w:val="none"/>
          <w:lang w:val="en-US" w:eastAsia="zh-CN"/>
        </w:rPr>
        <w:t>管理4683人，并提供孕产妇《母子保健手册》、教育与指导、产前检查与产后访视等服务相关健康管理工作。</w:t>
      </w:r>
    </w:p>
    <w:p w14:paraId="1E7FD554">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：肺结核患者健康管理率，指标值：=100%，实际完成值：=100%，指标完成率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。本年度我区应管理肺结核患者</w:t>
      </w:r>
      <w:r>
        <w:rPr>
          <w:rFonts w:hint="eastAsia" w:eastAsia="仿宋_GB2312" w:cs="Times New Roman"/>
          <w:sz w:val="32"/>
          <w:szCs w:val="32"/>
          <w:highlight w:val="none"/>
          <w:lang w:val="en-US" w:eastAsia="zh-CN"/>
        </w:rPr>
        <w:t>216人，实际管理216人，均</w:t>
      </w:r>
      <w:r>
        <w:rPr>
          <w:rFonts w:hint="eastAsia" w:eastAsia="仿宋_GB2312" w:cs="Times New Roman"/>
          <w:sz w:val="32"/>
          <w:szCs w:val="32"/>
          <w:highlight w:val="none"/>
          <w:lang w:eastAsia="zh-CN"/>
        </w:rPr>
        <w:t>按照《结核病防治规划实施工作指南》和《基本公共卫生服务项目结核病健康管理服务 规范》相关要求，对肺结核患者进行治疗管理。</w:t>
      </w:r>
    </w:p>
    <w:p w14:paraId="2788D552">
      <w:pPr>
        <w:shd w:val="clear"/>
        <w:spacing w:line="600" w:lineRule="exact"/>
        <w:ind w:firstLine="640" w:firstLineChars="200"/>
        <w:outlineLvl w:val="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：社区在册居家严重精神障碍患者健康管理率，指标值：&gt;=85.51%，实际完成值：=85.51%，指标完成率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2024年我区</w:t>
      </w:r>
      <w:r>
        <w:rPr>
          <w:rFonts w:hint="default" w:ascii="Times New Roman" w:hAnsi="Times New Roman" w:eastAsia="仿宋_GB2312" w:cs="Times New Roman"/>
          <w:sz w:val="32"/>
          <w:szCs w:val="32"/>
          <w:highlight w:val="none"/>
        </w:rPr>
        <w:t>社区在册居家严重精神障碍患者</w:t>
      </w:r>
      <w:r>
        <w:rPr>
          <w:rFonts w:hint="eastAsia" w:eastAsia="仿宋_GB2312" w:cs="Times New Roman"/>
          <w:sz w:val="32"/>
          <w:szCs w:val="32"/>
          <w:highlight w:val="none"/>
          <w:lang w:val="en-US" w:eastAsia="zh-CN"/>
        </w:rPr>
        <w:t>3091人，接受管理2643人，</w:t>
      </w:r>
      <w:r>
        <w:rPr>
          <w:rFonts w:hint="default" w:ascii="Times New Roman" w:hAnsi="Times New Roman" w:eastAsia="仿宋_GB2312" w:cs="Times New Roman"/>
          <w:sz w:val="32"/>
          <w:szCs w:val="32"/>
          <w:highlight w:val="none"/>
        </w:rPr>
        <w:t>对重性精神疾病患者进行系统管理，每人每年至少4次随访服务，进行病情评估、督导 服药、健康教育和康复指导等</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为重性精神病人每年做一次常规健康体检，内容包括一般体格检查、血压、体重、血常 规(含白细胞分类)、转氨酶、血糖、心电图。</w:t>
      </w:r>
    </w:p>
    <w:p w14:paraId="6560BEDD">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：老年人中医药健康管理率，指标值：&gt;=78.22%，实际完成值：=78.22%，指标完成率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2024年我区老年人人数69102人，接受中医药健康管理人数为54051人，并为我区54051名65岁以上老年人做1次体质辨识并进行保健指导。</w:t>
      </w:r>
    </w:p>
    <w:p w14:paraId="71D96D54">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：适龄儿童国家免疫规划疫苗接种率，指标值：&gt;=99.73%，实际完成值：=99.73%，指标完成率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，本年度我区应接种</w:t>
      </w:r>
      <w:r>
        <w:rPr>
          <w:rFonts w:hint="default" w:ascii="Times New Roman" w:hAnsi="Times New Roman" w:eastAsia="仿宋_GB2312" w:cs="Times New Roman"/>
          <w:sz w:val="32"/>
          <w:szCs w:val="32"/>
          <w:highlight w:val="none"/>
        </w:rPr>
        <w:t>适龄儿童</w:t>
      </w:r>
      <w:r>
        <w:rPr>
          <w:rFonts w:hint="eastAsia" w:eastAsia="仿宋_GB2312" w:cs="Times New Roman"/>
          <w:sz w:val="32"/>
          <w:szCs w:val="32"/>
          <w:highlight w:val="none"/>
          <w:lang w:val="en-US" w:eastAsia="zh-CN"/>
        </w:rPr>
        <w:t>539122人，完成</w:t>
      </w:r>
      <w:r>
        <w:rPr>
          <w:rFonts w:hint="default" w:ascii="Times New Roman" w:hAnsi="Times New Roman" w:eastAsia="仿宋_GB2312" w:cs="Times New Roman"/>
          <w:sz w:val="32"/>
          <w:szCs w:val="32"/>
          <w:highlight w:val="none"/>
        </w:rPr>
        <w:t>国家免疫规划疫苗</w:t>
      </w:r>
      <w:r>
        <w:rPr>
          <w:rFonts w:hint="eastAsia" w:eastAsia="仿宋_GB2312" w:cs="Times New Roman"/>
          <w:sz w:val="32"/>
          <w:szCs w:val="32"/>
          <w:highlight w:val="none"/>
          <w:lang w:val="en-US" w:eastAsia="zh-CN"/>
        </w:rPr>
        <w:t>537670人，</w:t>
      </w:r>
      <w:r>
        <w:rPr>
          <w:rFonts w:hint="eastAsia" w:eastAsia="仿宋_GB2312" w:cs="Times New Roman"/>
          <w:sz w:val="32"/>
          <w:szCs w:val="32"/>
          <w:highlight w:val="none"/>
          <w:lang w:eastAsia="zh-CN"/>
        </w:rPr>
        <w:t>对0-6岁儿童建卡建证，接种乙肝疫苗、卡介苗、脊灰疫苗、百白破疫苗、白破疫苗、麻 疹疫苗、甲肝疫苗、流脑疫苗、乙脑疫苗、麻腮风疫苗等国家免疫规划疫苗。</w:t>
      </w:r>
    </w:p>
    <w:p w14:paraId="5300E9E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：高血压患者管理人数，指标值：&gt;=5.10万人，实际完成值：=5.10万人，指标完成率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，本年度我区实际管理高血压患者</w:t>
      </w:r>
      <w:r>
        <w:rPr>
          <w:rFonts w:hint="eastAsia" w:eastAsia="仿宋_GB2312" w:cs="Times New Roman"/>
          <w:sz w:val="32"/>
          <w:szCs w:val="32"/>
          <w:highlight w:val="none"/>
          <w:lang w:val="en-US" w:eastAsia="zh-CN"/>
        </w:rPr>
        <w:t>5.1万人，</w:t>
      </w:r>
      <w:r>
        <w:rPr>
          <w:rFonts w:hint="default" w:ascii="Times New Roman" w:hAnsi="Times New Roman" w:eastAsia="仿宋_GB2312" w:cs="Times New Roman"/>
          <w:sz w:val="32"/>
          <w:szCs w:val="32"/>
          <w:highlight w:val="none"/>
        </w:rPr>
        <w:t>对确诊的高血压患者每季度至少随访1次，每年随访不少于4次，血压控制不理想的增加随访2次，每次随访内容包括：进行健康评估、病情监测、行为干预、用药指导、健康教育、效果评价等，每年进行1次较全面的健康检查。</w:t>
      </w:r>
    </w:p>
    <w:p w14:paraId="02D966AF">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：2型糖尿病患者管理人数，指标值：&gt;=2.30万人，实际完成值：=2.3万人，指标完成率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，本年度我区实际管理</w:t>
      </w:r>
      <w:r>
        <w:rPr>
          <w:rFonts w:hint="default" w:ascii="Times New Roman" w:hAnsi="Times New Roman" w:eastAsia="仿宋_GB2312" w:cs="Times New Roman"/>
          <w:sz w:val="32"/>
          <w:szCs w:val="32"/>
          <w:highlight w:val="none"/>
        </w:rPr>
        <w:t>2型糖尿病患者</w:t>
      </w:r>
      <w:r>
        <w:rPr>
          <w:rFonts w:hint="eastAsia" w:eastAsia="仿宋_GB2312" w:cs="Times New Roman"/>
          <w:sz w:val="32"/>
          <w:szCs w:val="32"/>
          <w:highlight w:val="none"/>
          <w:lang w:val="en-US" w:eastAsia="zh-CN"/>
        </w:rPr>
        <w:t>2.3万人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每季度至少对糖尿病患者检测指血1次，血糖控制不理想的增加随访2次，对其进行健  康评估、病情监测、行为干预、用药指导、健康教育、效果评价等，每年进行1次较全 面的健康检查。</w:t>
      </w:r>
    </w:p>
    <w:p w14:paraId="27D24319">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：儿童中医药健康管理率，指标值：&gt;=87.05%，实际完成值：=87.05%，指标完成率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2024年我区0-36月儿童人数13318人，接受中医药健康管理人数为11594人，并向0-36个月儿童家长提供儿童中医饮食体质调养、起居活动指导，传授中医穴位按揉方法，6、12、18、24、30、36月龄各1次。</w:t>
      </w:r>
    </w:p>
    <w:p w14:paraId="60A33155">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：卫生监督协管各专业年巡查（访）2次完成率，指标值：&gt;=93.75%，实际完成值：=93.75%，指标完成率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定期</w:t>
      </w:r>
      <w:r>
        <w:rPr>
          <w:rFonts w:hint="eastAsia" w:eastAsia="仿宋_GB2312" w:cs="Times New Roman"/>
          <w:sz w:val="32"/>
          <w:szCs w:val="32"/>
          <w:highlight w:val="none"/>
          <w:lang w:eastAsia="zh-CN"/>
        </w:rPr>
        <w:t>在全区范围内</w:t>
      </w:r>
      <w:r>
        <w:rPr>
          <w:rFonts w:hint="default" w:ascii="Times New Roman" w:hAnsi="Times New Roman" w:eastAsia="仿宋_GB2312" w:cs="Times New Roman"/>
          <w:sz w:val="32"/>
          <w:szCs w:val="32"/>
          <w:highlight w:val="none"/>
        </w:rPr>
        <w:t>进行食品安全信息报告、职业卫生咨询指导、饮用水卫生安全巡查、学校卫生服务、非法行医和非法采供血信息报告，发现相关信息及时向卫生监督机构报告。</w:t>
      </w:r>
    </w:p>
    <w:p w14:paraId="6B44B8A4">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7F02454F">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：居民规范化电子健康档案覆盖率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指标值：&gt;=64.99%，实际完成值：=64.99%，指标完成率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，规范</w:t>
      </w:r>
      <w:r>
        <w:rPr>
          <w:rFonts w:hint="default" w:ascii="Times New Roman" w:hAnsi="Times New Roman" w:eastAsia="仿宋_GB2312" w:cs="Times New Roman"/>
          <w:sz w:val="32"/>
          <w:szCs w:val="32"/>
          <w:highlight w:val="none"/>
        </w:rPr>
        <w:t>维护居民健康档案</w:t>
      </w:r>
      <w:r>
        <w:rPr>
          <w:rFonts w:hint="eastAsia" w:eastAsia="仿宋_GB2312" w:cs="Times New Roman"/>
          <w:sz w:val="32"/>
          <w:szCs w:val="32"/>
          <w:highlight w:val="none"/>
          <w:lang w:eastAsia="zh-CN"/>
        </w:rPr>
        <w:t>，覆盖范围达</w:t>
      </w:r>
      <w:r>
        <w:rPr>
          <w:rFonts w:hint="eastAsia" w:eastAsia="仿宋_GB2312" w:cs="Times New Roman"/>
          <w:sz w:val="32"/>
          <w:szCs w:val="32"/>
          <w:highlight w:val="none"/>
          <w:lang w:val="en-US" w:eastAsia="zh-CN"/>
        </w:rPr>
        <w:t>64.99%。</w:t>
      </w:r>
    </w:p>
    <w:p w14:paraId="75F02A95">
      <w:pPr>
        <w:shd w:val="clear"/>
        <w:spacing w:line="600" w:lineRule="exact"/>
        <w:ind w:firstLine="640" w:firstLineChars="200"/>
        <w:outlineLvl w:val="0"/>
        <w:rPr>
          <w:rFonts w:hint="default"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：高血压患者基层规范管理服务率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指标值：&gt;=81.53%，实际完成值：=81.53%，指标完成率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2024年高血压患者规范人数为42176人，接受管理人数为51733人，规范管理率达81.53%。</w:t>
      </w:r>
    </w:p>
    <w:p w14:paraId="2936AAD2">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：2型糖尿病患者基层规范管理服务率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指标值：&gt;=82.50%，实际完成值：=82.5%，指标完成率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2型糖尿病患者</w:t>
      </w:r>
      <w:r>
        <w:rPr>
          <w:rFonts w:hint="eastAsia" w:eastAsia="仿宋_GB2312" w:cs="Times New Roman"/>
          <w:sz w:val="32"/>
          <w:szCs w:val="32"/>
          <w:highlight w:val="none"/>
          <w:lang w:val="en-US" w:eastAsia="zh-CN"/>
        </w:rPr>
        <w:t>规范人数为19138人，接受管理人数为23198人，规范管理率达82.50%。</w:t>
      </w:r>
    </w:p>
    <w:p w14:paraId="52D803B0">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：传染病和突发公共卫生时间报告率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指标值：=100%，实际完成值：=100%，指标完成率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乡镇卫生院和社区卫生服务中心利用传染病报告系统对发现的传染病病人和疑似病人 进行报告.村卫生室和社区卫生服务站负责可疑传染病的监测和报告。协助有关部门做 好疫点处理等其他传染病防治工作，配合专业机构对艾滋病病人进行治疗管理。</w:t>
      </w:r>
    </w:p>
    <w:p w14:paraId="419B4AE4">
      <w:pPr>
        <w:pStyle w:val="24"/>
        <w:spacing w:before="78" w:line="242" w:lineRule="auto"/>
        <w:ind w:left="397" w:leftChars="189" w:right="108" w:firstLine="304" w:firstLineChars="95"/>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：65岁及以上老年人城乡社区规范健康管理服务</w:t>
      </w:r>
    </w:p>
    <w:p w14:paraId="7EFEA5BD">
      <w:pPr>
        <w:pStyle w:val="24"/>
        <w:spacing w:before="78" w:line="242" w:lineRule="auto"/>
        <w:ind w:right="108"/>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率</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指标值：&gt;=72.40%，实际完成值：=72.4%，指标完成率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，老年人体检人数为</w:t>
      </w:r>
      <w:r>
        <w:rPr>
          <w:rFonts w:hint="default" w:ascii="Times New Roman" w:hAnsi="Times New Roman" w:eastAsia="仿宋_GB2312" w:cs="Times New Roman"/>
          <w:sz w:val="32"/>
          <w:szCs w:val="32"/>
          <w:highlight w:val="none"/>
          <w:lang w:val="en-US" w:eastAsia="zh-CN"/>
        </w:rPr>
        <w:t>50028人，老年人摸底数为69102人，</w:t>
      </w:r>
      <w:r>
        <w:rPr>
          <w:rFonts w:hint="default" w:ascii="Times New Roman" w:hAnsi="Times New Roman" w:eastAsia="仿宋_GB2312" w:cs="Times New Roman"/>
          <w:sz w:val="32"/>
          <w:szCs w:val="32"/>
          <w:highlight w:val="none"/>
        </w:rPr>
        <w:t>对65岁及以上老年人每年进行1次健康管理服务，主要内容包括一般体格检查、实验室 检查项目(包括：血、尿、便常规，血生化(包括肝功、肾功、血脂、血糖)</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B超，心电图检查)、老年人自我保健及伤害预防、自救等健康指导等。</w:t>
      </w:r>
    </w:p>
    <w:p w14:paraId="46A269BC">
      <w:pPr>
        <w:pStyle w:val="12"/>
        <w:numPr>
          <w:ilvl w:val="0"/>
          <w:numId w:val="5"/>
        </w:numPr>
        <w:spacing w:line="560" w:lineRule="exact"/>
        <w:ind w:left="-13" w:leftChars="0" w:firstLine="643" w:firstLineChars="0"/>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项目效益情况</w:t>
      </w:r>
    </w:p>
    <w:p w14:paraId="36099B7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%。具体效益指标及满意度指标完成情况如下：</w:t>
      </w:r>
    </w:p>
    <w:p w14:paraId="47CBCA60">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1.实施效益</w:t>
      </w:r>
    </w:p>
    <w:p w14:paraId="4B0DB2C5">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经济效益指标：</w:t>
      </w:r>
    </w:p>
    <w:p w14:paraId="41406F00">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该项目不涉及</w:t>
      </w:r>
      <w:r>
        <w:rPr>
          <w:rFonts w:hint="default" w:ascii="Times New Roman" w:hAnsi="Times New Roman" w:eastAsia="仿宋_GB2312" w:cs="Times New Roman"/>
          <w:sz w:val="32"/>
          <w:szCs w:val="32"/>
          <w:highlight w:val="none"/>
        </w:rPr>
        <w:t>经济效益指标</w:t>
      </w:r>
      <w:r>
        <w:rPr>
          <w:rFonts w:hint="eastAsia" w:eastAsia="仿宋_GB2312" w:cs="Times New Roman"/>
          <w:sz w:val="32"/>
          <w:szCs w:val="32"/>
          <w:highlight w:val="none"/>
          <w:lang w:eastAsia="zh-CN"/>
        </w:rPr>
        <w:t>。</w:t>
      </w:r>
    </w:p>
    <w:p w14:paraId="13AFE592">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②</w:t>
      </w:r>
      <w:r>
        <w:rPr>
          <w:rFonts w:hint="default" w:ascii="Times New Roman" w:hAnsi="Times New Roman" w:eastAsia="仿宋_GB2312" w:cs="Times New Roman"/>
          <w:sz w:val="32"/>
          <w:szCs w:val="32"/>
          <w:highlight w:val="none"/>
        </w:rPr>
        <w:t>社会效益指标：</w:t>
      </w:r>
    </w:p>
    <w:p w14:paraId="43A4F407">
      <w:pPr>
        <w:shd w:val="clear"/>
        <w:spacing w:line="600" w:lineRule="exact"/>
        <w:ind w:firstLine="640" w:firstLineChars="200"/>
        <w:outlineLvl w:val="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：城乡居民公共卫生差距</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指标值：不断缩小，实际完成值：</w:t>
      </w:r>
      <w:r>
        <w:rPr>
          <w:rFonts w:hint="eastAsia" w:eastAsia="仿宋_GB2312" w:cs="Times New Roman"/>
          <w:sz w:val="32"/>
          <w:szCs w:val="32"/>
          <w:highlight w:val="none"/>
          <w:lang w:val="en-US" w:eastAsia="zh-CN"/>
        </w:rPr>
        <w:t>完全达到预期指标</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沙依巴克区坚持以习近平新时代中国特色社会主义思想为指导，进一步组织实施好国家基本公共卫生服务项目，利用信息化平台推进各项工作有序开展，</w:t>
      </w:r>
      <w:r>
        <w:rPr>
          <w:rFonts w:hint="eastAsia" w:eastAsia="仿宋_GB2312" w:cs="Times New Roman"/>
          <w:sz w:val="32"/>
          <w:szCs w:val="32"/>
          <w:highlight w:val="none"/>
          <w:lang w:eastAsia="zh-CN"/>
        </w:rPr>
        <w:t>不断缩小城乡居民公共卫生差距</w:t>
      </w:r>
      <w:r>
        <w:rPr>
          <w:rFonts w:hint="default" w:ascii="Times New Roman" w:hAnsi="Times New Roman" w:eastAsia="仿宋_GB2312" w:cs="Times New Roman"/>
          <w:sz w:val="32"/>
          <w:szCs w:val="32"/>
          <w:highlight w:val="none"/>
        </w:rPr>
        <w:t>。</w:t>
      </w:r>
    </w:p>
    <w:p w14:paraId="0329B92D">
      <w:pPr>
        <w:shd w:val="clear"/>
        <w:spacing w:line="600" w:lineRule="exact"/>
        <w:ind w:firstLine="640" w:firstLineChars="200"/>
        <w:outlineLvl w:val="0"/>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：基本公共卫生服务水平</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指标值：不断</w:t>
      </w:r>
      <w:r>
        <w:rPr>
          <w:rFonts w:hint="eastAsia" w:eastAsia="仿宋_GB2312" w:cs="Times New Roman"/>
          <w:sz w:val="32"/>
          <w:szCs w:val="32"/>
          <w:highlight w:val="none"/>
          <w:lang w:eastAsia="zh-CN"/>
        </w:rPr>
        <w:t>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完全达到预期指标</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沙依巴克区坚持以习近平新时代中国特色社会主义思想为指导，进一步组织实施好国家基本公共卫生服务项目，利用信息化平台</w:t>
      </w:r>
      <w:r>
        <w:rPr>
          <w:rFonts w:hint="eastAsia" w:eastAsia="仿宋_GB2312" w:cs="Times New Roman"/>
          <w:sz w:val="32"/>
          <w:szCs w:val="32"/>
          <w:highlight w:val="none"/>
          <w:lang w:eastAsia="zh-CN"/>
        </w:rPr>
        <w:t>、组织培训、考核等多种方式，促使基层医疗卫生机构不断提高基本公共卫生服务水平</w:t>
      </w:r>
      <w:r>
        <w:rPr>
          <w:rFonts w:hint="default" w:ascii="Times New Roman" w:hAnsi="Times New Roman" w:eastAsia="仿宋_GB2312" w:cs="Times New Roman"/>
          <w:sz w:val="32"/>
          <w:szCs w:val="32"/>
          <w:highlight w:val="none"/>
        </w:rPr>
        <w:t>。</w:t>
      </w:r>
    </w:p>
    <w:p w14:paraId="199BB6E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③生态效益指标：</w:t>
      </w:r>
    </w:p>
    <w:p w14:paraId="7A6C2F11">
      <w:pPr>
        <w:shd w:val="clear"/>
        <w:spacing w:line="600" w:lineRule="exact"/>
        <w:ind w:firstLine="640" w:firstLineChars="200"/>
        <w:outlineLvl w:val="0"/>
        <w:rPr>
          <w:rFonts w:hint="eastAsia" w:eastAsia="仿宋_GB2312"/>
          <w:lang w:val="en-US" w:eastAsia="zh-CN"/>
        </w:rPr>
      </w:pPr>
      <w:r>
        <w:rPr>
          <w:rFonts w:hint="eastAsia" w:eastAsia="仿宋_GB2312" w:cs="Times New Roman"/>
          <w:sz w:val="32"/>
          <w:szCs w:val="32"/>
          <w:highlight w:val="none"/>
          <w:lang w:val="en-US" w:eastAsia="zh-CN"/>
        </w:rPr>
        <w:t>该项目不涉及生态</w:t>
      </w:r>
      <w:r>
        <w:rPr>
          <w:rFonts w:hint="default" w:ascii="Times New Roman" w:hAnsi="Times New Roman" w:eastAsia="仿宋_GB2312" w:cs="Times New Roman"/>
          <w:sz w:val="32"/>
          <w:szCs w:val="32"/>
          <w:highlight w:val="none"/>
        </w:rPr>
        <w:t>效益指标</w:t>
      </w:r>
      <w:r>
        <w:rPr>
          <w:rFonts w:hint="eastAsia" w:eastAsia="仿宋_GB2312" w:cs="Times New Roman"/>
          <w:sz w:val="32"/>
          <w:szCs w:val="32"/>
          <w:highlight w:val="none"/>
          <w:lang w:eastAsia="zh-CN"/>
        </w:rPr>
        <w:t>。</w:t>
      </w:r>
    </w:p>
    <w:p w14:paraId="24CA882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02233EE7">
      <w:pPr>
        <w:shd w:val="clear"/>
        <w:spacing w:line="600" w:lineRule="exact"/>
        <w:ind w:firstLine="640" w:firstLineChars="200"/>
        <w:outlineLvl w:val="0"/>
        <w:rPr>
          <w:rFonts w:hint="eastAsia"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：服务对象满意度</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 xml:space="preserve"> %</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2024年</w:t>
      </w:r>
      <w:r>
        <w:rPr>
          <w:rFonts w:hint="default" w:ascii="Times New Roman" w:hAnsi="Times New Roman" w:eastAsia="仿宋_GB2312" w:cs="Times New Roman"/>
          <w:sz w:val="32"/>
          <w:szCs w:val="32"/>
          <w:highlight w:val="none"/>
        </w:rPr>
        <w:t>沙依巴克区坚持以习近平新时代中国特色社会主义思想为指导，进一步组织实施好国家基本公共卫生服务项目，</w:t>
      </w:r>
      <w:r>
        <w:rPr>
          <w:rFonts w:hint="eastAsia" w:eastAsia="仿宋_GB2312" w:cs="Times New Roman"/>
          <w:sz w:val="32"/>
          <w:szCs w:val="32"/>
          <w:highlight w:val="none"/>
          <w:lang w:eastAsia="zh-CN"/>
        </w:rPr>
        <w:t>在每个机构面向居民填写调查问卷</w:t>
      </w:r>
      <w:r>
        <w:rPr>
          <w:rFonts w:hint="eastAsia" w:eastAsia="仿宋_GB2312" w:cs="Times New Roman"/>
          <w:sz w:val="32"/>
          <w:szCs w:val="32"/>
          <w:highlight w:val="none"/>
          <w:lang w:val="en-US" w:eastAsia="zh-CN"/>
        </w:rPr>
        <w:t>10份，均有效且满意，故满意度指标为100%</w:t>
      </w:r>
      <w:r>
        <w:rPr>
          <w:rFonts w:hint="default" w:ascii="Times New Roman" w:hAnsi="Times New Roman" w:eastAsia="仿宋_GB2312" w:cs="Times New Roman"/>
          <w:sz w:val="32"/>
          <w:szCs w:val="32"/>
          <w:highlight w:val="none"/>
        </w:rPr>
        <w:t>。</w:t>
      </w:r>
    </w:p>
    <w:p w14:paraId="233421C5">
      <w:pPr>
        <w:spacing w:line="560" w:lineRule="exact"/>
        <w:ind w:firstLine="643" w:firstLineChars="200"/>
        <w:rPr>
          <w:rFonts w:hint="default" w:ascii="Times New Roman" w:hAnsi="Times New Roman" w:eastAsia="楷体_GB2312" w:cs="Times New Roman"/>
          <w:b/>
          <w:bCs/>
          <w:sz w:val="32"/>
          <w:szCs w:val="32"/>
          <w:highlight w:val="none"/>
          <w:lang w:val="en-US" w:eastAsia="zh-Hans"/>
        </w:rPr>
      </w:pPr>
      <w:r>
        <w:rPr>
          <w:rFonts w:hint="default" w:ascii="Times New Roman" w:hAnsi="Times New Roman" w:eastAsia="楷体_GB2312" w:cs="Times New Roman"/>
          <w:b/>
          <w:bCs/>
          <w:sz w:val="32"/>
          <w:szCs w:val="32"/>
          <w:highlight w:val="none"/>
          <w:lang w:val="en-US" w:eastAsia="zh-CN"/>
        </w:rPr>
        <w:t>（五）</w:t>
      </w:r>
      <w:r>
        <w:rPr>
          <w:rFonts w:hint="default" w:ascii="Times New Roman" w:hAnsi="Times New Roman" w:eastAsia="楷体_GB2312" w:cs="Times New Roman"/>
          <w:b/>
          <w:bCs/>
          <w:sz w:val="32"/>
          <w:szCs w:val="32"/>
          <w:highlight w:val="none"/>
          <w:lang w:val="en-US" w:eastAsia="zh-Hans"/>
        </w:rPr>
        <w:t>预算执行进度与绩效指标总体完成率偏差</w:t>
      </w:r>
    </w:p>
    <w:p w14:paraId="0A32F1AF">
      <w:pPr>
        <w:pStyle w:val="19"/>
        <w:spacing w:line="560" w:lineRule="exact"/>
        <w:ind w:firstLine="64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乌财社〔2023〕266号-2024年国家财政基本公共卫生服务补助资金（直达资金）</w:t>
      </w:r>
      <w:r>
        <w:rPr>
          <w:rFonts w:hint="default" w:ascii="Times New Roman" w:hAnsi="Times New Roman" w:eastAsia="方正仿宋_GBK" w:cs="Times New Roman"/>
          <w:sz w:val="32"/>
          <w:szCs w:val="32"/>
          <w:highlight w:val="none"/>
        </w:rPr>
        <w:t>项目年初预算</w:t>
      </w:r>
      <w:r>
        <w:rPr>
          <w:rFonts w:hint="default" w:ascii="Times New Roman" w:hAnsi="Times New Roman" w:eastAsia="方正仿宋_GBK" w:cs="Times New Roman"/>
          <w:sz w:val="32"/>
          <w:szCs w:val="32"/>
          <w:highlight w:val="none"/>
          <w:lang w:val="en-US" w:eastAsia="zh-CN"/>
        </w:rPr>
        <w:t>3387.35</w:t>
      </w:r>
      <w:r>
        <w:rPr>
          <w:rFonts w:hint="default" w:ascii="Times New Roman" w:hAnsi="Times New Roman" w:eastAsia="方正仿宋_GBK" w:cs="Times New Roman"/>
          <w:sz w:val="32"/>
          <w:szCs w:val="32"/>
          <w:highlight w:val="none"/>
        </w:rPr>
        <w:t>万元，全年预算</w:t>
      </w:r>
      <w:r>
        <w:rPr>
          <w:rFonts w:hint="default" w:ascii="Times New Roman" w:hAnsi="Times New Roman" w:eastAsia="方正仿宋_GBK" w:cs="Times New Roman"/>
          <w:sz w:val="32"/>
          <w:szCs w:val="32"/>
          <w:highlight w:val="none"/>
          <w:lang w:val="en-US" w:eastAsia="zh-CN"/>
        </w:rPr>
        <w:t>3368.05</w:t>
      </w:r>
      <w:r>
        <w:rPr>
          <w:rFonts w:hint="default" w:ascii="Times New Roman" w:hAnsi="Times New Roman" w:eastAsia="方正仿宋_GBK" w:cs="Times New Roman"/>
          <w:sz w:val="32"/>
          <w:szCs w:val="32"/>
          <w:highlight w:val="none"/>
        </w:rPr>
        <w:t>万元，实际支出</w:t>
      </w:r>
      <w:r>
        <w:rPr>
          <w:rFonts w:hint="default" w:ascii="Times New Roman" w:hAnsi="Times New Roman" w:eastAsia="方正仿宋_GBK" w:cs="Times New Roman"/>
          <w:sz w:val="32"/>
          <w:szCs w:val="32"/>
          <w:highlight w:val="none"/>
          <w:lang w:val="en-US" w:eastAsia="zh-CN"/>
        </w:rPr>
        <w:t>3368.05</w:t>
      </w:r>
      <w:r>
        <w:rPr>
          <w:rFonts w:hint="default" w:ascii="Times New Roman" w:hAnsi="Times New Roman" w:eastAsia="方正仿宋_GBK" w:cs="Times New Roman"/>
          <w:sz w:val="32"/>
          <w:szCs w:val="32"/>
          <w:highlight w:val="none"/>
        </w:rPr>
        <w:t>万元，预算执行率为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%，项目绩效指标总体完成率为</w:t>
      </w:r>
      <w:r>
        <w:rPr>
          <w:rFonts w:hint="eastAsia" w:eastAsia="方正仿宋_GBK" w:cs="Times New Roman"/>
          <w:sz w:val="32"/>
          <w:szCs w:val="32"/>
          <w:highlight w:val="none"/>
          <w:lang w:val="en-US" w:eastAsia="zh-CN"/>
        </w:rPr>
        <w:t>100</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Hans"/>
        </w:rPr>
        <w:t>总体</w:t>
      </w:r>
      <w:r>
        <w:rPr>
          <w:rFonts w:hint="default" w:ascii="Times New Roman" w:hAnsi="Times New Roman" w:eastAsia="方正仿宋_GBK" w:cs="Times New Roman"/>
          <w:sz w:val="32"/>
          <w:szCs w:val="32"/>
          <w:highlight w:val="none"/>
        </w:rPr>
        <w:t>偏差率为</w:t>
      </w:r>
      <w:r>
        <w:rPr>
          <w:rFonts w:hint="eastAsia"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rPr>
        <w:t>%。</w:t>
      </w:r>
    </w:p>
    <w:p w14:paraId="7EA43EE3">
      <w:pPr>
        <w:spacing w:line="560" w:lineRule="exact"/>
        <w:ind w:firstLine="640" w:firstLineChars="200"/>
        <w:rPr>
          <w:rStyle w:val="18"/>
          <w:rFonts w:hint="default" w:ascii="Times New Roman" w:hAnsi="Times New Roman" w:cs="Times New Roman"/>
          <w:color w:val="auto"/>
          <w:highlight w:val="none"/>
        </w:rPr>
      </w:pPr>
      <w:r>
        <w:rPr>
          <w:rFonts w:hint="eastAsia"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主要经验及做法、存在的问题及原因分析</w:t>
      </w:r>
    </w:p>
    <w:p w14:paraId="3852A0CA">
      <w:pPr>
        <w:spacing w:line="560" w:lineRule="exact"/>
        <w:ind w:firstLine="627" w:firstLineChars="200"/>
        <w:rPr>
          <w:rFonts w:hint="default" w:ascii="Times New Roman" w:hAnsi="Times New Roman" w:eastAsia="楷体" w:cs="Times New Roman"/>
          <w:b/>
          <w:spacing w:val="-4"/>
          <w:sz w:val="32"/>
          <w:szCs w:val="32"/>
          <w:highlight w:val="none"/>
        </w:rPr>
      </w:pPr>
      <w:r>
        <w:rPr>
          <w:rFonts w:hint="default" w:ascii="Times New Roman" w:hAnsi="Times New Roman" w:eastAsia="楷体" w:cs="Times New Roman"/>
          <w:b/>
          <w:spacing w:val="-4"/>
          <w:sz w:val="32"/>
          <w:szCs w:val="32"/>
          <w:highlight w:val="none"/>
        </w:rPr>
        <w:t>（一）主要经验及做法</w:t>
      </w:r>
    </w:p>
    <w:p w14:paraId="51395695">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5E1D5B01">
      <w:pPr>
        <w:pStyle w:val="10"/>
        <w:spacing w:before="0" w:after="0" w:line="560" w:lineRule="exact"/>
        <w:ind w:firstLine="640" w:firstLineChars="200"/>
        <w:jc w:val="left"/>
        <w:rPr>
          <w:rFonts w:hint="default" w:ascii="Times New Roman" w:hAnsi="Times New Roman" w:eastAsia="仿宋_GB2312" w:cs="Times New Roman"/>
          <w:b w:val="0"/>
          <w:bCs w:val="0"/>
          <w:kern w:val="2"/>
          <w:highlight w:val="none"/>
        </w:rPr>
      </w:pPr>
      <w:r>
        <w:rPr>
          <w:rFonts w:hint="default" w:ascii="Times New Roman" w:hAnsi="Times New Roman" w:eastAsia="仿宋_GB2312" w:cs="Times New Roman"/>
          <w:b w:val="0"/>
          <w:bCs w:val="0"/>
          <w:kern w:val="2"/>
          <w:highlight w:val="none"/>
        </w:rPr>
        <w:t>严格坚持先做事、后验收、再拨付的原则，</w:t>
      </w:r>
      <w:r>
        <w:rPr>
          <w:rFonts w:hint="eastAsia" w:ascii="Times New Roman" w:hAnsi="Times New Roman" w:eastAsia="仿宋_GB2312" w:cs="Times New Roman"/>
          <w:b w:val="0"/>
          <w:bCs w:val="0"/>
          <w:kern w:val="2"/>
          <w:highlight w:val="none"/>
          <w:lang w:eastAsia="zh-CN"/>
        </w:rPr>
        <w:t>杜绝</w:t>
      </w:r>
      <w:r>
        <w:rPr>
          <w:rFonts w:hint="default" w:ascii="Times New Roman" w:hAnsi="Times New Roman" w:eastAsia="仿宋_GB2312" w:cs="Times New Roman"/>
          <w:b w:val="0"/>
          <w:bCs w:val="0"/>
          <w:kern w:val="2"/>
          <w:highlight w:val="none"/>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622E8F32">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存在的问题及原因分析</w:t>
      </w:r>
    </w:p>
    <w:p w14:paraId="33AC2A1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18C57C4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4345134D">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有关建议</w:t>
      </w:r>
    </w:p>
    <w:p w14:paraId="00B0B84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2A92A03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2666651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3E7D969F">
      <w:pPr>
        <w:shd w:val="clear"/>
        <w:spacing w:line="600" w:lineRule="exact"/>
        <w:ind w:firstLine="640" w:firstLineChars="200"/>
        <w:outlineLvl w:val="0"/>
        <w:rPr>
          <w:rFonts w:hint="default" w:ascii="Times New Roman" w:hAnsi="Times New Roman" w:cs="Times New Roman"/>
          <w:sz w:val="22"/>
          <w:szCs w:val="28"/>
          <w:highlight w:val="none"/>
        </w:rPr>
      </w:pPr>
      <w:r>
        <w:rPr>
          <w:rFonts w:hint="default" w:ascii="Times New Roman" w:hAnsi="Times New Roman" w:eastAsia="仿宋_GB2312" w:cs="Times New Roman"/>
          <w:sz w:val="32"/>
          <w:szCs w:val="32"/>
          <w:highlight w:val="none"/>
          <w:lang w:val="en-US" w:eastAsia="zh-CN"/>
        </w:rPr>
        <w:t>4.进一步完善项目评价过程中有关数据和资料的收集、整理、审核及分析。项目启动时同步做好档案的归纳与整理，及时整理、收集、汇总，健全档案资料。项目后续管理有待进一步加强和跟踪</w:t>
      </w:r>
      <w:r>
        <w:rPr>
          <w:rFonts w:hint="default" w:ascii="Times New Roman" w:hAnsi="Times New Roman" w:eastAsia="仿宋_GB2312" w:cs="Times New Roman"/>
          <w:sz w:val="36"/>
          <w:szCs w:val="32"/>
          <w:highlight w:val="none"/>
        </w:rPr>
        <w:t>。</w:t>
      </w:r>
    </w:p>
    <w:p w14:paraId="59927BF8">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进一步加强对绩效管理工作的组织领导，提高对预算绩效管理工作重要性的认识，总结经验查找问题，抓紧研究制定更全面更完善的绩效评价管理办法。结合食品安全考核建立绩效工作考核制度，加大全局对全面实施预算绩效管理和绩效管理工作的学习力度，让“花钱必问效，无效必问责”的理念深入工作每个环节。</w:t>
      </w:r>
    </w:p>
    <w:p w14:paraId="73D9371D">
      <w:pPr>
        <w:spacing w:line="560" w:lineRule="exact"/>
        <w:ind w:firstLine="640" w:firstLineChars="200"/>
        <w:rPr>
          <w:rFonts w:hint="default" w:ascii="Times New Roman" w:hAnsi="Times New Roman" w:eastAsia="黑体" w:cs="Times New Roman"/>
          <w:sz w:val="32"/>
          <w:szCs w:val="32"/>
          <w:highlight w:val="none"/>
        </w:rPr>
      </w:pPr>
      <w:r>
        <w:rPr>
          <w:rFonts w:hint="eastAsia"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其他需要说</w:t>
      </w:r>
      <w:bookmarkStart w:id="0" w:name="page8"/>
      <w:bookmarkEnd w:id="0"/>
      <w:r>
        <w:rPr>
          <w:rFonts w:hint="default" w:ascii="Times New Roman" w:hAnsi="Times New Roman" w:eastAsia="黑体" w:cs="Times New Roman"/>
          <w:sz w:val="32"/>
          <w:szCs w:val="32"/>
          <w:highlight w:val="none"/>
        </w:rPr>
        <w:t>明的问题</w:t>
      </w:r>
    </w:p>
    <w:p w14:paraId="1748D832">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项目支出政策和路径设计科学，符合实际需要；</w:t>
      </w:r>
    </w:p>
    <w:p w14:paraId="4261D37D">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1734CB2E">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项目的申报、审核机制完善；</w:t>
      </w:r>
    </w:p>
    <w:p w14:paraId="4F469C8C">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未发现虚假行为和骗取财政资金的问题。</w:t>
      </w:r>
    </w:p>
    <w:p w14:paraId="73743E5B">
      <w:pPr>
        <w:pStyle w:val="13"/>
        <w:spacing w:after="0" w:line="560" w:lineRule="exact"/>
        <w:ind w:left="0" w:leftChars="0" w:firstLine="640"/>
        <w:rPr>
          <w:rFonts w:hint="default" w:ascii="Times New Roman" w:hAnsi="Times New Roman" w:eastAsia="仿宋_GB2312" w:cs="Times New Roman"/>
          <w:sz w:val="32"/>
          <w:szCs w:val="32"/>
          <w:highlight w:val="none"/>
          <w:lang w:eastAsia="zh-Hans"/>
        </w:rPr>
      </w:pPr>
    </w:p>
    <w:p w14:paraId="2FD8818B">
      <w:pPr>
        <w:pStyle w:val="13"/>
        <w:spacing w:after="0" w:line="560" w:lineRule="exact"/>
        <w:ind w:left="0" w:leftChars="0" w:firstLine="0" w:firstLineChars="0"/>
        <w:rPr>
          <w:rFonts w:hint="eastAsia" w:ascii="Times New Roman" w:hAnsi="Times New Roman" w:eastAsia="仿宋_GB2312" w:cs="Times New Roman"/>
          <w:sz w:val="32"/>
          <w:szCs w:val="32"/>
          <w:highlight w:val="none"/>
          <w:lang w:eastAsia="zh-CN"/>
        </w:rPr>
      </w:pPr>
    </w:p>
    <w:p w14:paraId="1FBD23D5">
      <w:pPr>
        <w:pStyle w:val="13"/>
        <w:spacing w:after="0" w:line="560" w:lineRule="exact"/>
        <w:ind w:left="0" w:leftChars="0" w:firstLine="640"/>
        <w:rPr>
          <w:rFonts w:hint="default" w:ascii="Times New Roman" w:hAnsi="Times New Roman" w:eastAsia="仿宋_GB2312" w:cs="Times New Roman"/>
          <w:sz w:val="32"/>
          <w:szCs w:val="32"/>
          <w:highlight w:val="none"/>
        </w:rPr>
      </w:pPr>
    </w:p>
    <w:p w14:paraId="7C8004C3">
      <w:pPr>
        <w:pStyle w:val="13"/>
        <w:spacing w:after="0" w:line="560" w:lineRule="exact"/>
        <w:ind w:left="0" w:leftChars="0" w:firstLine="640"/>
        <w:rPr>
          <w:rFonts w:hint="default" w:ascii="Times New Roman" w:hAnsi="Times New Roman" w:eastAsia="仿宋_GB2312" w:cs="Times New Roman"/>
          <w:sz w:val="32"/>
          <w:szCs w:val="32"/>
          <w:highlight w:val="none"/>
        </w:rPr>
      </w:pPr>
    </w:p>
    <w:p w14:paraId="03ADE3F2">
      <w:pPr>
        <w:pStyle w:val="13"/>
        <w:spacing w:after="0" w:line="560" w:lineRule="exact"/>
        <w:ind w:left="0" w:leftChars="0" w:firstLine="0" w:firstLineChars="0"/>
        <w:rPr>
          <w:rFonts w:hint="default" w:ascii="Times New Roman" w:hAnsi="Times New Roman" w:eastAsia="仿宋_GB2312" w:cs="Times New Roman"/>
          <w:sz w:val="32"/>
          <w:szCs w:val="32"/>
          <w:highlight w:val="none"/>
        </w:rPr>
      </w:pPr>
    </w:p>
    <w:p w14:paraId="37D59A88">
      <w:pPr>
        <w:spacing w:line="600" w:lineRule="exact"/>
        <w:rPr>
          <w:rFonts w:hint="eastAsia" w:ascii="Times New Roman" w:hAnsi="Times New Roman" w:eastAsia="黑体" w:cs="Times New Roman"/>
          <w:sz w:val="32"/>
          <w:szCs w:val="32"/>
          <w:highlight w:val="none"/>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39BC4129">
      <w:pPr>
        <w:spacing w:line="600" w:lineRule="exact"/>
        <w:rPr>
          <w:rFonts w:hint="eastAsia"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1</w:t>
      </w:r>
    </w:p>
    <w:p w14:paraId="001CC191">
      <w:pPr>
        <w:pStyle w:val="19"/>
        <w:ind w:firstLine="562"/>
        <w:jc w:val="center"/>
        <w:rPr>
          <w:rFonts w:hint="eastAsia" w:ascii="仿宋_GB2312" w:hAnsi="仿宋_GB2312" w:eastAsia="仿宋_GB2312" w:cs="仿宋_GB2312"/>
          <w:b/>
          <w:bCs/>
          <w:sz w:val="28"/>
          <w:szCs w:val="40"/>
          <w:highlight w:val="none"/>
        </w:rPr>
      </w:pPr>
      <w:bookmarkStart w:id="1" w:name="_Toc26499_WPSOffice_Level2"/>
      <w:bookmarkStart w:id="2" w:name="_Toc30064_WPSOffice_Level1"/>
      <w:r>
        <w:rPr>
          <w:rFonts w:hint="eastAsia" w:ascii="仿宋_GB2312" w:hAnsi="仿宋_GB2312" w:eastAsia="仿宋_GB2312" w:cs="仿宋_GB2312"/>
          <w:b/>
          <w:bCs/>
          <w:sz w:val="28"/>
          <w:szCs w:val="40"/>
          <w:highlight w:val="none"/>
          <w:lang w:val="en-US" w:eastAsia="zh-CN"/>
        </w:rPr>
        <w:t>乌财社〔2023〕266号-2024年国家财政基本公共卫生服务补助资金（直达资金）</w:t>
      </w:r>
      <w:r>
        <w:rPr>
          <w:rFonts w:hint="eastAsia" w:ascii="仿宋_GB2312" w:hAnsi="仿宋_GB2312" w:eastAsia="仿宋_GB2312" w:cs="仿宋_GB2312"/>
          <w:b/>
          <w:bCs/>
          <w:sz w:val="28"/>
          <w:szCs w:val="40"/>
          <w:highlight w:val="none"/>
        </w:rPr>
        <w:t>项目绩效评价</w:t>
      </w:r>
    </w:p>
    <w:p w14:paraId="5DFFA70A">
      <w:pPr>
        <w:pStyle w:val="19"/>
        <w:ind w:firstLine="562"/>
        <w:jc w:val="center"/>
        <w:rPr>
          <w:rFonts w:hint="eastAsia" w:ascii="仿宋_GB2312" w:hAnsi="仿宋_GB2312" w:eastAsia="仿宋_GB2312" w:cs="仿宋_GB2312"/>
          <w:sz w:val="28"/>
          <w:szCs w:val="40"/>
          <w:highlight w:val="none"/>
        </w:rPr>
      </w:pPr>
      <w:r>
        <w:rPr>
          <w:rFonts w:hint="eastAsia" w:ascii="仿宋_GB2312" w:hAnsi="仿宋_GB2312" w:eastAsia="仿宋_GB2312" w:cs="仿宋_GB2312"/>
          <w:b/>
          <w:bCs/>
          <w:sz w:val="28"/>
          <w:szCs w:val="40"/>
          <w:highlight w:val="none"/>
        </w:rPr>
        <w:t>指标体系及综合评分表</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2"/>
        <w:gridCol w:w="1000"/>
        <w:gridCol w:w="1071"/>
        <w:gridCol w:w="1725"/>
        <w:gridCol w:w="5216"/>
        <w:gridCol w:w="5"/>
        <w:gridCol w:w="1299"/>
        <w:gridCol w:w="1365"/>
      </w:tblGrid>
      <w:tr w14:paraId="2F719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48115FA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一级指标</w:t>
            </w:r>
          </w:p>
        </w:tc>
        <w:tc>
          <w:tcPr>
            <w:tcW w:w="1000" w:type="dxa"/>
            <w:shd w:val="clear" w:color="auto" w:fill="FFFFFF"/>
            <w:vAlign w:val="center"/>
          </w:tcPr>
          <w:p w14:paraId="2217B97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二级指标</w:t>
            </w:r>
          </w:p>
        </w:tc>
        <w:tc>
          <w:tcPr>
            <w:tcW w:w="1071" w:type="dxa"/>
            <w:shd w:val="clear" w:color="auto" w:fill="FFFFFF"/>
            <w:vAlign w:val="center"/>
          </w:tcPr>
          <w:p w14:paraId="158D908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三级指标</w:t>
            </w:r>
          </w:p>
        </w:tc>
        <w:tc>
          <w:tcPr>
            <w:tcW w:w="1725" w:type="dxa"/>
            <w:shd w:val="clear" w:color="auto" w:fill="FFFFFF"/>
            <w:vAlign w:val="center"/>
          </w:tcPr>
          <w:p w14:paraId="104B6ED5">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指标解释</w:t>
            </w:r>
          </w:p>
        </w:tc>
        <w:tc>
          <w:tcPr>
            <w:tcW w:w="5216" w:type="dxa"/>
            <w:shd w:val="clear" w:color="auto" w:fill="FFFFFF"/>
            <w:vAlign w:val="center"/>
          </w:tcPr>
          <w:p w14:paraId="209048F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指标说明</w:t>
            </w:r>
          </w:p>
        </w:tc>
        <w:tc>
          <w:tcPr>
            <w:tcW w:w="1304" w:type="dxa"/>
            <w:gridSpan w:val="2"/>
            <w:shd w:val="clear" w:color="auto" w:fill="FFFFFF"/>
            <w:vAlign w:val="center"/>
          </w:tcPr>
          <w:p w14:paraId="6AE3A83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权重</w:t>
            </w:r>
          </w:p>
        </w:tc>
        <w:tc>
          <w:tcPr>
            <w:tcW w:w="1365" w:type="dxa"/>
            <w:shd w:val="clear" w:color="auto" w:fill="FFFFFF"/>
            <w:vAlign w:val="center"/>
          </w:tcPr>
          <w:p w14:paraId="5F2C747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得分</w:t>
            </w:r>
          </w:p>
        </w:tc>
      </w:tr>
      <w:tr w14:paraId="2A43E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4868A888">
            <w:pPr>
              <w:widowControl/>
              <w:spacing w:line="0" w:lineRule="atLeast"/>
              <w:jc w:val="center"/>
              <w:rPr>
                <w:rFonts w:hint="default" w:ascii="Times New Roman" w:hAnsi="Times New Roman" w:eastAsia="仿宋_GB2312" w:cs="Times New Roman"/>
                <w:color w:val="000000"/>
                <w:kern w:val="0"/>
                <w:sz w:val="18"/>
                <w:szCs w:val="18"/>
                <w:highlight w:val="none"/>
              </w:rPr>
            </w:pPr>
          </w:p>
          <w:p w14:paraId="12D99211">
            <w:pPr>
              <w:widowControl/>
              <w:spacing w:line="0" w:lineRule="atLeast"/>
              <w:jc w:val="center"/>
              <w:rPr>
                <w:rFonts w:hint="default" w:ascii="Times New Roman" w:hAnsi="Times New Roman" w:eastAsia="仿宋_GB2312" w:cs="Times New Roman"/>
                <w:color w:val="000000"/>
                <w:kern w:val="0"/>
                <w:sz w:val="18"/>
                <w:szCs w:val="18"/>
                <w:highlight w:val="none"/>
              </w:rPr>
            </w:pPr>
          </w:p>
          <w:p w14:paraId="2F2365A9">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B6B46CD">
            <w:pPr>
              <w:widowControl/>
              <w:spacing w:line="0" w:lineRule="atLeast"/>
              <w:jc w:val="center"/>
              <w:rPr>
                <w:rFonts w:hint="default" w:ascii="Times New Roman" w:hAnsi="Times New Roman" w:eastAsia="仿宋_GB2312" w:cs="Times New Roman"/>
                <w:color w:val="000000"/>
                <w:kern w:val="0"/>
                <w:sz w:val="18"/>
                <w:szCs w:val="18"/>
                <w:highlight w:val="none"/>
              </w:rPr>
            </w:pPr>
          </w:p>
          <w:p w14:paraId="6B7F9846">
            <w:pPr>
              <w:widowControl/>
              <w:spacing w:line="0" w:lineRule="atLeast"/>
              <w:jc w:val="center"/>
              <w:rPr>
                <w:rFonts w:hint="default" w:ascii="Times New Roman" w:hAnsi="Times New Roman" w:eastAsia="仿宋_GB2312" w:cs="Times New Roman"/>
                <w:color w:val="000000"/>
                <w:kern w:val="0"/>
                <w:sz w:val="18"/>
                <w:szCs w:val="18"/>
                <w:highlight w:val="none"/>
              </w:rPr>
            </w:pPr>
          </w:p>
          <w:p w14:paraId="13040B27">
            <w:pPr>
              <w:widowControl/>
              <w:spacing w:line="0" w:lineRule="atLeast"/>
              <w:jc w:val="center"/>
              <w:rPr>
                <w:rFonts w:hint="default" w:ascii="Times New Roman" w:hAnsi="Times New Roman" w:eastAsia="仿宋_GB2312" w:cs="Times New Roman"/>
                <w:color w:val="000000"/>
                <w:kern w:val="0"/>
                <w:sz w:val="18"/>
                <w:szCs w:val="18"/>
                <w:highlight w:val="none"/>
              </w:rPr>
            </w:pPr>
          </w:p>
          <w:p w14:paraId="5AE754A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决策　</w:t>
            </w:r>
          </w:p>
        </w:tc>
        <w:tc>
          <w:tcPr>
            <w:tcW w:w="1000" w:type="dxa"/>
            <w:vMerge w:val="restart"/>
            <w:shd w:val="clear" w:color="auto" w:fill="FFFFFF"/>
            <w:vAlign w:val="center"/>
          </w:tcPr>
          <w:p w14:paraId="63962D7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　</w:t>
            </w:r>
          </w:p>
        </w:tc>
        <w:tc>
          <w:tcPr>
            <w:tcW w:w="1071" w:type="dxa"/>
            <w:shd w:val="clear" w:color="auto" w:fill="FFFFFF"/>
            <w:vAlign w:val="center"/>
          </w:tcPr>
          <w:p w14:paraId="42A197C7">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立项依据</w:t>
            </w:r>
          </w:p>
          <w:p w14:paraId="3FBDC3F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充分性</w:t>
            </w:r>
          </w:p>
        </w:tc>
        <w:tc>
          <w:tcPr>
            <w:tcW w:w="1725" w:type="dxa"/>
            <w:shd w:val="clear" w:color="auto" w:fill="FFFFFF"/>
            <w:vAlign w:val="center"/>
          </w:tcPr>
          <w:p w14:paraId="70A45C0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项目立项是否符合法律法规、相关政策、发展规划以及部门职责，用以反映和考核项目立项依据情况。</w:t>
            </w:r>
          </w:p>
        </w:tc>
        <w:tc>
          <w:tcPr>
            <w:tcW w:w="5216" w:type="dxa"/>
            <w:shd w:val="clear" w:color="auto" w:fill="FFFFFF"/>
            <w:vAlign w:val="center"/>
          </w:tcPr>
          <w:p w14:paraId="1D008875">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①项目立项是否符合国家法律法规、国民经济发展规划和相关政策；</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②项目立项是否符合行业发展规划和政策要求；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③项目立项是否与部门职责范围相符，属于部门履职所需；</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④项目是否属于公共财政支持范围，是否符合中央、地方事权支出责任划分原则；</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⑤项目是否与相关部门同类项目或部门内部相关项目重复。</w:t>
            </w:r>
          </w:p>
        </w:tc>
        <w:tc>
          <w:tcPr>
            <w:tcW w:w="1304" w:type="dxa"/>
            <w:gridSpan w:val="2"/>
            <w:shd w:val="clear" w:color="auto" w:fill="FFFFFF"/>
            <w:vAlign w:val="center"/>
          </w:tcPr>
          <w:p w14:paraId="798773B0">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68CFF52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77207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34880D56">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3EABB2E9">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4A6495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立项程序</w:t>
            </w:r>
          </w:p>
          <w:p w14:paraId="062DC4C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规范性</w:t>
            </w:r>
          </w:p>
        </w:tc>
        <w:tc>
          <w:tcPr>
            <w:tcW w:w="1725" w:type="dxa"/>
            <w:shd w:val="clear" w:color="auto" w:fill="FFFFFF"/>
            <w:vAlign w:val="center"/>
          </w:tcPr>
          <w:p w14:paraId="2D8D456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项目申请、设立过程是否符合相关要求，用以反映和考核项目立项的规范情况。</w:t>
            </w:r>
          </w:p>
        </w:tc>
        <w:tc>
          <w:tcPr>
            <w:tcW w:w="5216" w:type="dxa"/>
            <w:shd w:val="clear" w:color="auto" w:fill="FFFFFF"/>
            <w:vAlign w:val="center"/>
          </w:tcPr>
          <w:p w14:paraId="313AB37D">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①项目是否按照规定的程序申请设立；</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②审批文件、材料是否符合相关要求；</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③事前是否已经过必要的可行性研究、专家论证、风险评估、绩效评估、集体决策。</w:t>
            </w:r>
          </w:p>
        </w:tc>
        <w:tc>
          <w:tcPr>
            <w:tcW w:w="1304" w:type="dxa"/>
            <w:gridSpan w:val="2"/>
            <w:shd w:val="clear" w:color="auto" w:fill="FFFFFF"/>
            <w:vAlign w:val="center"/>
          </w:tcPr>
          <w:p w14:paraId="6097B2A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auto" w:fill="FFFFFF"/>
            <w:vAlign w:val="center"/>
          </w:tcPr>
          <w:p w14:paraId="7F682F75">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5D5C9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1BDDD0AE">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5EA5FDF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　</w:t>
            </w:r>
          </w:p>
        </w:tc>
        <w:tc>
          <w:tcPr>
            <w:tcW w:w="1071" w:type="dxa"/>
            <w:shd w:val="clear" w:color="auto" w:fill="FFFFFF"/>
            <w:vAlign w:val="center"/>
          </w:tcPr>
          <w:p w14:paraId="4AC1FED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绩效目标</w:t>
            </w:r>
          </w:p>
          <w:p w14:paraId="79FC361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000000" w:fill="FFFFFF"/>
            <w:vAlign w:val="center"/>
          </w:tcPr>
          <w:p w14:paraId="3617975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项目所设定的绩效目标是否依据充分，是否符合客观实际，用以反映和考核项目绩效目标与项目实施的相符情况。</w:t>
            </w:r>
          </w:p>
        </w:tc>
        <w:tc>
          <w:tcPr>
            <w:tcW w:w="5216" w:type="dxa"/>
            <w:shd w:val="clear" w:color="000000" w:fill="FFFFFF"/>
            <w:vAlign w:val="center"/>
          </w:tcPr>
          <w:p w14:paraId="58987F85">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（如未设定预算绩效目标，也可考核其他工作任务目标）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①项目是否有绩效目标；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②项目绩效目标与实际工作内容是否具有相关性；</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③项目预期产出效益和效果是否符合正常的业绩水平；</w:t>
            </w:r>
          </w:p>
          <w:p w14:paraId="1490145D">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④是否与预算确定的项目投资额或资金量相匹配。</w:t>
            </w:r>
          </w:p>
        </w:tc>
        <w:tc>
          <w:tcPr>
            <w:tcW w:w="1304" w:type="dxa"/>
            <w:gridSpan w:val="2"/>
            <w:shd w:val="clear" w:color="000000" w:fill="FFFFFF"/>
            <w:vAlign w:val="center"/>
          </w:tcPr>
          <w:p w14:paraId="7876AF57">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4B049B39">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38AC7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7D22412A">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787BE093">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7E8E70B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绩效指标</w:t>
            </w:r>
          </w:p>
          <w:p w14:paraId="096BB0F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明确性</w:t>
            </w:r>
          </w:p>
        </w:tc>
        <w:tc>
          <w:tcPr>
            <w:tcW w:w="1725" w:type="dxa"/>
            <w:shd w:val="clear" w:color="000000" w:fill="FFFFFF"/>
            <w:vAlign w:val="center"/>
          </w:tcPr>
          <w:p w14:paraId="3B428B85">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依据绩效目标设定的绩效指标是否清晰、细化、可衡量等，用以反映和考核项目绩效目标的明细化情况。</w:t>
            </w:r>
          </w:p>
        </w:tc>
        <w:tc>
          <w:tcPr>
            <w:tcW w:w="5216" w:type="dxa"/>
            <w:shd w:val="clear" w:color="000000" w:fill="FFFFFF"/>
            <w:vAlign w:val="center"/>
          </w:tcPr>
          <w:p w14:paraId="5EF33C5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①是否将项目绩效目标细化分解为具体的绩效指标；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②是否通过清晰、可衡量的指标值予以体现；</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③是否与项目目标任务数或计划数相对应。</w:t>
            </w:r>
            <w:r>
              <w:rPr>
                <w:rFonts w:hint="default" w:ascii="Times New Roman" w:hAnsi="Times New Roman" w:eastAsia="仿宋_GB2312" w:cs="Times New Roman"/>
                <w:color w:val="000000"/>
                <w:kern w:val="0"/>
                <w:sz w:val="18"/>
                <w:szCs w:val="18"/>
                <w:highlight w:val="none"/>
              </w:rPr>
              <w:br w:type="textWrapping"/>
            </w:r>
          </w:p>
        </w:tc>
        <w:tc>
          <w:tcPr>
            <w:tcW w:w="1304" w:type="dxa"/>
            <w:gridSpan w:val="2"/>
            <w:shd w:val="clear" w:color="000000" w:fill="FFFFFF"/>
            <w:vAlign w:val="center"/>
          </w:tcPr>
          <w:p w14:paraId="45BECBD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3</w:t>
            </w:r>
          </w:p>
        </w:tc>
        <w:tc>
          <w:tcPr>
            <w:tcW w:w="1365" w:type="dxa"/>
            <w:shd w:val="clear" w:color="000000" w:fill="FFFFFF"/>
            <w:vAlign w:val="center"/>
          </w:tcPr>
          <w:p w14:paraId="5833F2C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471B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2132EAEB">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74C714B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资金投入</w:t>
            </w:r>
          </w:p>
          <w:p w14:paraId="0195EBBF">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5C9484D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预算编制</w:t>
            </w:r>
          </w:p>
          <w:p w14:paraId="43CA9C0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科学性</w:t>
            </w:r>
          </w:p>
        </w:tc>
        <w:tc>
          <w:tcPr>
            <w:tcW w:w="1725" w:type="dxa"/>
            <w:shd w:val="clear" w:color="auto" w:fill="FFFFFF"/>
            <w:vAlign w:val="center"/>
          </w:tcPr>
          <w:p w14:paraId="5D5FA0C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06606AFD">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①预算编制是否经过科学论证；</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②预算内容与项目内容是否匹配；</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③预算额度测算依据是否充分，是否按照标准编制；</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④预算确定的项目投资额或资金量是否与工作任务相匹配。</w:t>
            </w:r>
          </w:p>
        </w:tc>
        <w:tc>
          <w:tcPr>
            <w:tcW w:w="1304" w:type="dxa"/>
            <w:gridSpan w:val="2"/>
            <w:shd w:val="clear" w:color="auto" w:fill="FFFFFF"/>
            <w:vAlign w:val="center"/>
          </w:tcPr>
          <w:p w14:paraId="4D9728EA">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44B536E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F005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06FFDE7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2EDC7BCB">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87042A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资金分配</w:t>
            </w:r>
          </w:p>
          <w:p w14:paraId="17239B0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合理性</w:t>
            </w:r>
          </w:p>
        </w:tc>
        <w:tc>
          <w:tcPr>
            <w:tcW w:w="1725" w:type="dxa"/>
            <w:shd w:val="clear" w:color="auto" w:fill="FFFFFF"/>
            <w:vAlign w:val="center"/>
          </w:tcPr>
          <w:p w14:paraId="64EAF9B9">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6E673A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①预算资金分配依据是否充分；</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②资金分配额度是否合理，与项目单位或地方实际是否相适应。</w:t>
            </w:r>
          </w:p>
        </w:tc>
        <w:tc>
          <w:tcPr>
            <w:tcW w:w="1304" w:type="dxa"/>
            <w:gridSpan w:val="2"/>
            <w:shd w:val="clear" w:color="auto" w:fill="FFFFFF"/>
            <w:vAlign w:val="center"/>
          </w:tcPr>
          <w:p w14:paraId="4A9D2B2F">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51A3220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5BDEA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29F91EB6">
            <w:pPr>
              <w:spacing w:line="0" w:lineRule="atLeast"/>
              <w:jc w:val="center"/>
              <w:rPr>
                <w:rFonts w:hint="default" w:ascii="Times New Roman" w:hAnsi="Times New Roman" w:eastAsia="仿宋_GB2312" w:cs="Times New Roman"/>
                <w:color w:val="000000"/>
                <w:kern w:val="0"/>
                <w:sz w:val="18"/>
                <w:szCs w:val="18"/>
                <w:highlight w:val="none"/>
              </w:rPr>
            </w:pPr>
          </w:p>
          <w:p w14:paraId="2A70F322">
            <w:pPr>
              <w:spacing w:line="0" w:lineRule="atLeast"/>
              <w:jc w:val="center"/>
              <w:rPr>
                <w:rFonts w:hint="default" w:ascii="Times New Roman" w:hAnsi="Times New Roman" w:eastAsia="仿宋_GB2312" w:cs="Times New Roman"/>
                <w:color w:val="000000"/>
                <w:kern w:val="0"/>
                <w:sz w:val="18"/>
                <w:szCs w:val="18"/>
                <w:highlight w:val="none"/>
              </w:rPr>
            </w:pPr>
          </w:p>
          <w:p w14:paraId="42F116CB">
            <w:pPr>
              <w:spacing w:line="0" w:lineRule="atLeast"/>
              <w:jc w:val="center"/>
              <w:rPr>
                <w:rFonts w:hint="default" w:ascii="Times New Roman" w:hAnsi="Times New Roman" w:eastAsia="仿宋_GB2312" w:cs="Times New Roman"/>
                <w:color w:val="000000"/>
                <w:kern w:val="0"/>
                <w:sz w:val="18"/>
                <w:szCs w:val="18"/>
                <w:highlight w:val="none"/>
              </w:rPr>
            </w:pPr>
          </w:p>
          <w:p w14:paraId="47CD8113">
            <w:pPr>
              <w:spacing w:line="0" w:lineRule="atLeast"/>
              <w:jc w:val="center"/>
              <w:rPr>
                <w:rFonts w:hint="default" w:ascii="Times New Roman" w:hAnsi="Times New Roman" w:eastAsia="仿宋_GB2312" w:cs="Times New Roman"/>
                <w:color w:val="000000"/>
                <w:kern w:val="0"/>
                <w:sz w:val="18"/>
                <w:szCs w:val="18"/>
                <w:highlight w:val="none"/>
              </w:rPr>
            </w:pPr>
          </w:p>
          <w:p w14:paraId="5A304F9B">
            <w:pPr>
              <w:spacing w:line="0" w:lineRule="atLeast"/>
              <w:jc w:val="center"/>
              <w:rPr>
                <w:rFonts w:hint="default" w:ascii="Times New Roman" w:hAnsi="Times New Roman" w:eastAsia="仿宋_GB2312" w:cs="Times New Roman"/>
                <w:color w:val="000000"/>
                <w:kern w:val="0"/>
                <w:sz w:val="18"/>
                <w:szCs w:val="18"/>
                <w:highlight w:val="none"/>
              </w:rPr>
            </w:pPr>
          </w:p>
          <w:p w14:paraId="094BB94C">
            <w:pPr>
              <w:spacing w:line="0" w:lineRule="atLeast"/>
              <w:jc w:val="center"/>
              <w:rPr>
                <w:rFonts w:hint="default" w:ascii="Times New Roman" w:hAnsi="Times New Roman" w:eastAsia="仿宋_GB2312" w:cs="Times New Roman"/>
                <w:color w:val="000000"/>
                <w:kern w:val="0"/>
                <w:sz w:val="18"/>
                <w:szCs w:val="18"/>
                <w:highlight w:val="none"/>
              </w:rPr>
            </w:pPr>
          </w:p>
          <w:p w14:paraId="6E7CFD96">
            <w:pPr>
              <w:spacing w:line="0" w:lineRule="atLeast"/>
              <w:jc w:val="center"/>
              <w:rPr>
                <w:rFonts w:hint="default" w:ascii="Times New Roman" w:hAnsi="Times New Roman" w:eastAsia="仿宋_GB2312" w:cs="Times New Roman"/>
                <w:color w:val="000000"/>
                <w:kern w:val="0"/>
                <w:sz w:val="18"/>
                <w:szCs w:val="18"/>
                <w:highlight w:val="none"/>
              </w:rPr>
            </w:pPr>
          </w:p>
          <w:p w14:paraId="35C4724A">
            <w:pPr>
              <w:spacing w:line="0" w:lineRule="atLeast"/>
              <w:jc w:val="center"/>
              <w:rPr>
                <w:rFonts w:hint="default" w:ascii="Times New Roman" w:hAnsi="Times New Roman" w:eastAsia="仿宋_GB2312" w:cs="Times New Roman"/>
                <w:color w:val="000000"/>
                <w:kern w:val="0"/>
                <w:sz w:val="18"/>
                <w:szCs w:val="18"/>
                <w:highlight w:val="none"/>
              </w:rPr>
            </w:pPr>
          </w:p>
          <w:p w14:paraId="5B8648D9">
            <w:pPr>
              <w:spacing w:line="0" w:lineRule="atLeast"/>
              <w:jc w:val="center"/>
              <w:rPr>
                <w:rFonts w:hint="default" w:ascii="Times New Roman" w:hAnsi="Times New Roman" w:eastAsia="仿宋_GB2312" w:cs="Times New Roman"/>
                <w:color w:val="000000"/>
                <w:kern w:val="0"/>
                <w:sz w:val="18"/>
                <w:szCs w:val="18"/>
                <w:highlight w:val="none"/>
              </w:rPr>
            </w:pPr>
          </w:p>
          <w:p w14:paraId="054BE82D">
            <w:pPr>
              <w:spacing w:line="0" w:lineRule="atLeast"/>
              <w:jc w:val="center"/>
              <w:rPr>
                <w:rFonts w:hint="default" w:ascii="Times New Roman" w:hAnsi="Times New Roman" w:eastAsia="仿宋_GB2312" w:cs="Times New Roman"/>
                <w:color w:val="000000"/>
                <w:kern w:val="0"/>
                <w:sz w:val="18"/>
                <w:szCs w:val="18"/>
                <w:highlight w:val="none"/>
              </w:rPr>
            </w:pPr>
          </w:p>
          <w:p w14:paraId="3CBF3A9D">
            <w:pPr>
              <w:spacing w:line="0" w:lineRule="atLeast"/>
              <w:jc w:val="center"/>
              <w:rPr>
                <w:rFonts w:hint="default" w:ascii="Times New Roman" w:hAnsi="Times New Roman" w:eastAsia="仿宋_GB2312" w:cs="Times New Roman"/>
                <w:color w:val="000000"/>
                <w:kern w:val="0"/>
                <w:sz w:val="18"/>
                <w:szCs w:val="18"/>
                <w:highlight w:val="none"/>
              </w:rPr>
            </w:pPr>
          </w:p>
          <w:p w14:paraId="6277253E">
            <w:pPr>
              <w:spacing w:line="0" w:lineRule="atLeast"/>
              <w:jc w:val="center"/>
              <w:rPr>
                <w:rFonts w:hint="default" w:ascii="Times New Roman" w:hAnsi="Times New Roman" w:eastAsia="仿宋_GB2312" w:cs="Times New Roman"/>
                <w:color w:val="000000"/>
                <w:kern w:val="0"/>
                <w:sz w:val="18"/>
                <w:szCs w:val="18"/>
                <w:highlight w:val="none"/>
              </w:rPr>
            </w:pPr>
          </w:p>
          <w:p w14:paraId="1A108959">
            <w:pPr>
              <w:spacing w:line="0" w:lineRule="atLeast"/>
              <w:jc w:val="center"/>
              <w:rPr>
                <w:rFonts w:hint="default" w:ascii="Times New Roman" w:hAnsi="Times New Roman" w:eastAsia="仿宋_GB2312" w:cs="Times New Roman"/>
                <w:color w:val="000000"/>
                <w:kern w:val="0"/>
                <w:sz w:val="18"/>
                <w:szCs w:val="18"/>
                <w:highlight w:val="none"/>
              </w:rPr>
            </w:pPr>
          </w:p>
          <w:p w14:paraId="543BAFD5">
            <w:pPr>
              <w:spacing w:line="0" w:lineRule="atLeast"/>
              <w:jc w:val="center"/>
              <w:rPr>
                <w:rFonts w:hint="default" w:ascii="Times New Roman" w:hAnsi="Times New Roman" w:eastAsia="仿宋_GB2312" w:cs="Times New Roman"/>
                <w:color w:val="000000"/>
                <w:kern w:val="0"/>
                <w:sz w:val="18"/>
                <w:szCs w:val="18"/>
                <w:highlight w:val="none"/>
              </w:rPr>
            </w:pPr>
          </w:p>
          <w:p w14:paraId="6A718468">
            <w:pPr>
              <w:spacing w:line="0" w:lineRule="atLeast"/>
              <w:jc w:val="center"/>
              <w:rPr>
                <w:rFonts w:hint="default" w:ascii="Times New Roman" w:hAnsi="Times New Roman" w:eastAsia="仿宋_GB2312" w:cs="Times New Roman"/>
                <w:color w:val="000000"/>
                <w:kern w:val="0"/>
                <w:sz w:val="18"/>
                <w:szCs w:val="18"/>
                <w:highlight w:val="none"/>
              </w:rPr>
            </w:pPr>
          </w:p>
          <w:p w14:paraId="672A601C">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过程</w:t>
            </w:r>
          </w:p>
          <w:p w14:paraId="66D64E4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00" w:type="dxa"/>
            <w:vMerge w:val="restart"/>
            <w:shd w:val="clear" w:color="auto" w:fill="FFFFFF"/>
            <w:vAlign w:val="center"/>
          </w:tcPr>
          <w:p w14:paraId="4C4B5955">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63DB1A96">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w:t>
            </w:r>
          </w:p>
        </w:tc>
        <w:tc>
          <w:tcPr>
            <w:tcW w:w="1725" w:type="dxa"/>
            <w:shd w:val="clear" w:color="000000" w:fill="FFFFFF"/>
            <w:vAlign w:val="center"/>
          </w:tcPr>
          <w:p w14:paraId="7D4CAF6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实际到位资金与预算资金的比率，用以反映和考核资金落实情况对项目实施的总体保障程度。</w:t>
            </w:r>
          </w:p>
        </w:tc>
        <w:tc>
          <w:tcPr>
            <w:tcW w:w="5216" w:type="dxa"/>
            <w:shd w:val="clear" w:color="000000" w:fill="FFFFFF"/>
            <w:vAlign w:val="center"/>
          </w:tcPr>
          <w:p w14:paraId="4BBCAB1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资金到位率=（实际到位资金/预算资金）×100%。</w:t>
            </w:r>
          </w:p>
          <w:p w14:paraId="0EE6E5C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实际到位资金：一定时期（本年度或项目期）内落实到具体项目的资金。</w:t>
            </w:r>
          </w:p>
          <w:p w14:paraId="684A2C9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预算资金：一定时期（本年度或项目期）内预算安排到具体项目的资金。</w:t>
            </w:r>
          </w:p>
        </w:tc>
        <w:tc>
          <w:tcPr>
            <w:tcW w:w="1304" w:type="dxa"/>
            <w:gridSpan w:val="2"/>
            <w:shd w:val="clear" w:color="000000" w:fill="FFFFFF"/>
            <w:vAlign w:val="center"/>
          </w:tcPr>
          <w:p w14:paraId="3D6472F4">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7865BAA4">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8907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02A4E4CF">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40E1D753">
            <w:pPr>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0C9FB01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w:t>
            </w:r>
          </w:p>
        </w:tc>
        <w:tc>
          <w:tcPr>
            <w:tcW w:w="1725" w:type="dxa"/>
            <w:shd w:val="clear" w:color="auto" w:fill="FFFFFF"/>
            <w:vAlign w:val="center"/>
          </w:tcPr>
          <w:p w14:paraId="6019B50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项目预算资金是否按照计划执行，用以反映或考核项目预算执行情况。</w:t>
            </w:r>
          </w:p>
        </w:tc>
        <w:tc>
          <w:tcPr>
            <w:tcW w:w="5216" w:type="dxa"/>
            <w:shd w:val="clear" w:color="auto" w:fill="FFFFFF"/>
            <w:vAlign w:val="center"/>
          </w:tcPr>
          <w:p w14:paraId="4AE793F8">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预算执行率=（实际支出资金/实际到位资金）×100%。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实际支出资金：一定时期（本年度或项目期）内项目实际拨付的资金。</w:t>
            </w:r>
          </w:p>
        </w:tc>
        <w:tc>
          <w:tcPr>
            <w:tcW w:w="1304" w:type="dxa"/>
            <w:gridSpan w:val="2"/>
            <w:shd w:val="clear" w:color="auto" w:fill="FFFFFF"/>
            <w:vAlign w:val="center"/>
          </w:tcPr>
          <w:p w14:paraId="119DB8B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auto" w:fill="FFFFFF"/>
            <w:vAlign w:val="center"/>
          </w:tcPr>
          <w:p w14:paraId="76EAAAB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CDC2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30656879">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52C1F7D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资金管理</w:t>
            </w:r>
          </w:p>
        </w:tc>
        <w:tc>
          <w:tcPr>
            <w:tcW w:w="1071" w:type="dxa"/>
            <w:shd w:val="clear" w:color="auto" w:fill="FFFFFF"/>
            <w:vAlign w:val="center"/>
          </w:tcPr>
          <w:p w14:paraId="463B763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资金使用</w:t>
            </w:r>
          </w:p>
          <w:p w14:paraId="790571D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合规性</w:t>
            </w:r>
          </w:p>
        </w:tc>
        <w:tc>
          <w:tcPr>
            <w:tcW w:w="1725" w:type="dxa"/>
            <w:shd w:val="clear" w:color="000000" w:fill="FFFFFF"/>
            <w:vAlign w:val="center"/>
          </w:tcPr>
          <w:p w14:paraId="443D4A1C">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项目资金使用是否符合相关的财务管理制度规定，用以反映和考核项目资金的规范运行情况。</w:t>
            </w:r>
          </w:p>
        </w:tc>
        <w:tc>
          <w:tcPr>
            <w:tcW w:w="5216" w:type="dxa"/>
            <w:shd w:val="clear" w:color="000000" w:fill="FFFFFF"/>
            <w:vAlign w:val="center"/>
          </w:tcPr>
          <w:p w14:paraId="7B03B0B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①是否符合国家财经法规和财务管理制度以及有关专项资金管理办法的规定；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②资金的拨付是否有完整的审批程序和手续；</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③是否符合项目预算批复或合同规定的用途；</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④是否存在截留、挤占、挪用、虚列支出等情况。</w:t>
            </w:r>
          </w:p>
        </w:tc>
        <w:tc>
          <w:tcPr>
            <w:tcW w:w="1304" w:type="dxa"/>
            <w:gridSpan w:val="2"/>
            <w:shd w:val="clear" w:color="000000" w:fill="FFFFFF"/>
            <w:vAlign w:val="center"/>
          </w:tcPr>
          <w:p w14:paraId="637C137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6722F93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0CE88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773AC8C3">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restart"/>
            <w:shd w:val="clear" w:color="auto" w:fill="FFFFFF"/>
            <w:vAlign w:val="center"/>
          </w:tcPr>
          <w:p w14:paraId="7EB7B56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组织实施</w:t>
            </w:r>
          </w:p>
          <w:p w14:paraId="1FC9E540">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　</w:t>
            </w:r>
          </w:p>
        </w:tc>
        <w:tc>
          <w:tcPr>
            <w:tcW w:w="1071" w:type="dxa"/>
            <w:shd w:val="clear" w:color="auto" w:fill="FFFFFF"/>
            <w:vAlign w:val="center"/>
          </w:tcPr>
          <w:p w14:paraId="6B76072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管理制度</w:t>
            </w:r>
          </w:p>
          <w:p w14:paraId="1E67207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健全性</w:t>
            </w:r>
          </w:p>
        </w:tc>
        <w:tc>
          <w:tcPr>
            <w:tcW w:w="1725" w:type="dxa"/>
            <w:shd w:val="clear" w:color="000000" w:fill="FFFFFF"/>
            <w:vAlign w:val="center"/>
          </w:tcPr>
          <w:p w14:paraId="5662249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项目实施单位的财务和业务管理制度是否健全，用以反映和考核财务和业务管理制度对项目顺利实施的保障情况。</w:t>
            </w:r>
          </w:p>
        </w:tc>
        <w:tc>
          <w:tcPr>
            <w:tcW w:w="5216" w:type="dxa"/>
            <w:shd w:val="clear" w:color="000000" w:fill="FFFFFF"/>
            <w:vAlign w:val="center"/>
          </w:tcPr>
          <w:p w14:paraId="752A82C2">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①是否已制定或具有相应的财务和业务管理制度；</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②财务和业务管理制度是否合法、合规、完整。</w:t>
            </w:r>
          </w:p>
        </w:tc>
        <w:tc>
          <w:tcPr>
            <w:tcW w:w="1304" w:type="dxa"/>
            <w:gridSpan w:val="2"/>
            <w:shd w:val="clear" w:color="000000" w:fill="FFFFFF"/>
            <w:vAlign w:val="center"/>
          </w:tcPr>
          <w:p w14:paraId="3E00CA89">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1EC04875">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2233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1AD6D709">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79582A8D">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418480A3">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制度执行</w:t>
            </w:r>
          </w:p>
          <w:p w14:paraId="07F2EF2A">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有效性</w:t>
            </w:r>
          </w:p>
        </w:tc>
        <w:tc>
          <w:tcPr>
            <w:tcW w:w="1725" w:type="dxa"/>
            <w:shd w:val="clear" w:color="000000" w:fill="FFFFFF"/>
            <w:vAlign w:val="center"/>
          </w:tcPr>
          <w:p w14:paraId="68C240E7">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项目实施是否符合相关管理规定，用以反映和考核相关管理制度的有效执行情况。</w:t>
            </w:r>
          </w:p>
        </w:tc>
        <w:tc>
          <w:tcPr>
            <w:tcW w:w="5216" w:type="dxa"/>
            <w:shd w:val="clear" w:color="000000" w:fill="FFFFFF"/>
            <w:vAlign w:val="center"/>
          </w:tcPr>
          <w:p w14:paraId="696D015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评价要点：</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①是否遵守相关法律法规和相关管理规定；</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②项目调整及支出调整手续是否完备；</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③项目合同书、验收报告、技术鉴定等资料是否齐全并及时归档；</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④项目实施的人员条件、场地设备、信息支撑等是否落实到位。</w:t>
            </w:r>
          </w:p>
        </w:tc>
        <w:tc>
          <w:tcPr>
            <w:tcW w:w="1304" w:type="dxa"/>
            <w:gridSpan w:val="2"/>
            <w:shd w:val="clear" w:color="000000" w:fill="FFFFFF"/>
            <w:vAlign w:val="center"/>
          </w:tcPr>
          <w:p w14:paraId="64FC223D">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4</w:t>
            </w:r>
          </w:p>
        </w:tc>
        <w:tc>
          <w:tcPr>
            <w:tcW w:w="1365" w:type="dxa"/>
            <w:shd w:val="clear" w:color="000000" w:fill="FFFFFF"/>
            <w:vAlign w:val="center"/>
          </w:tcPr>
          <w:p w14:paraId="1E797F00">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432C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2666183F">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w:t>
            </w:r>
          </w:p>
        </w:tc>
        <w:tc>
          <w:tcPr>
            <w:tcW w:w="1000" w:type="dxa"/>
            <w:shd w:val="clear" w:color="auto" w:fill="FFFFFF"/>
            <w:vAlign w:val="center"/>
          </w:tcPr>
          <w:p w14:paraId="67AFF479">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产出数量</w:t>
            </w:r>
          </w:p>
        </w:tc>
        <w:tc>
          <w:tcPr>
            <w:tcW w:w="1071" w:type="dxa"/>
            <w:shd w:val="clear" w:color="auto" w:fill="FFFFFF"/>
            <w:vAlign w:val="center"/>
          </w:tcPr>
          <w:p w14:paraId="78D314CB">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w:t>
            </w:r>
          </w:p>
        </w:tc>
        <w:tc>
          <w:tcPr>
            <w:tcW w:w="1725" w:type="dxa"/>
            <w:shd w:val="clear" w:color="000000" w:fill="FFFFFF"/>
            <w:vAlign w:val="center"/>
          </w:tcPr>
          <w:p w14:paraId="7E9D517A">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项目实施的实际产出数与计划产出数的比率，用以反映和考核项目产出数量目标的实现程度。</w:t>
            </w:r>
          </w:p>
        </w:tc>
        <w:tc>
          <w:tcPr>
            <w:tcW w:w="5216" w:type="dxa"/>
            <w:shd w:val="clear" w:color="000000" w:fill="FFFFFF"/>
            <w:vAlign w:val="center"/>
          </w:tcPr>
          <w:p w14:paraId="7EA5B6B3">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实际完成率=（实际产出数/计划产出数）×100%。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实际产出数：一定时期（本年度或项目期）内项目实际产出的产品或提供的服务数量。</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计划产出数：项目绩效目标确定的在一定时期（本年度或项目期）内计划产出的产品或提供的服务数量。</w:t>
            </w:r>
          </w:p>
        </w:tc>
        <w:tc>
          <w:tcPr>
            <w:tcW w:w="1304" w:type="dxa"/>
            <w:gridSpan w:val="2"/>
            <w:shd w:val="clear" w:color="000000" w:fill="FFFFFF"/>
            <w:vAlign w:val="center"/>
          </w:tcPr>
          <w:p w14:paraId="1E5593B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0FE45C6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40A98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6DFCB095">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2AD8DC60">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产出质量</w:t>
            </w:r>
          </w:p>
        </w:tc>
        <w:tc>
          <w:tcPr>
            <w:tcW w:w="1071" w:type="dxa"/>
            <w:shd w:val="clear" w:color="auto" w:fill="FFFFFF"/>
            <w:vAlign w:val="center"/>
          </w:tcPr>
          <w:p w14:paraId="5F3AAF02">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w:t>
            </w:r>
          </w:p>
        </w:tc>
        <w:tc>
          <w:tcPr>
            <w:tcW w:w="1725" w:type="dxa"/>
            <w:shd w:val="clear" w:color="000000" w:fill="FFFFFF"/>
            <w:vAlign w:val="center"/>
          </w:tcPr>
          <w:p w14:paraId="311F3C6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项目完成的质量达标产出数与实际产出数的比率，用以反映和考核项目产出质量目标的实现程度。</w:t>
            </w:r>
          </w:p>
        </w:tc>
        <w:tc>
          <w:tcPr>
            <w:tcW w:w="5216" w:type="dxa"/>
            <w:shd w:val="clear" w:color="000000" w:fill="FFFFFF"/>
            <w:vAlign w:val="center"/>
          </w:tcPr>
          <w:p w14:paraId="0521CB9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质量达标率=（质量达标产出数/实际产出数）×100%。</w:t>
            </w:r>
          </w:p>
          <w:p w14:paraId="051E9FE6">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gridSpan w:val="2"/>
            <w:shd w:val="clear" w:color="000000" w:fill="FFFFFF"/>
            <w:vAlign w:val="center"/>
          </w:tcPr>
          <w:p w14:paraId="1087FEF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1D50B14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74D6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25AB5C2E">
            <w:pPr>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668BC653">
            <w:pPr>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产出时效</w:t>
            </w:r>
          </w:p>
        </w:tc>
        <w:tc>
          <w:tcPr>
            <w:tcW w:w="1071" w:type="dxa"/>
            <w:shd w:val="clear" w:color="auto" w:fill="FFFFFF"/>
            <w:vAlign w:val="center"/>
          </w:tcPr>
          <w:p w14:paraId="2F09B89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完成及时性</w:t>
            </w:r>
          </w:p>
        </w:tc>
        <w:tc>
          <w:tcPr>
            <w:tcW w:w="1725" w:type="dxa"/>
            <w:shd w:val="clear" w:color="000000" w:fill="FFFFFF"/>
            <w:vAlign w:val="center"/>
          </w:tcPr>
          <w:p w14:paraId="1A1632A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项目实际完成时间与计划完成时间的比较，用以反映和考核项目产出时效目标的实现程度。</w:t>
            </w:r>
          </w:p>
        </w:tc>
        <w:tc>
          <w:tcPr>
            <w:tcW w:w="5216" w:type="dxa"/>
            <w:shd w:val="clear" w:color="000000" w:fill="FFFFFF"/>
            <w:vAlign w:val="center"/>
          </w:tcPr>
          <w:p w14:paraId="43CD3870">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实际完成时间：项目实施单位完成该项目实际所耗用的时间。</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计划完成时间：按照项目实施计划或相关规定完成该项目所需的时间。</w:t>
            </w:r>
          </w:p>
        </w:tc>
        <w:tc>
          <w:tcPr>
            <w:tcW w:w="1304" w:type="dxa"/>
            <w:gridSpan w:val="2"/>
            <w:shd w:val="clear" w:color="000000" w:fill="FFFFFF"/>
            <w:vAlign w:val="center"/>
          </w:tcPr>
          <w:p w14:paraId="0743082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3C586B69">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F6B8D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03111E11">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shd w:val="clear" w:color="auto" w:fill="FFFFFF"/>
            <w:vAlign w:val="center"/>
          </w:tcPr>
          <w:p w14:paraId="76612E6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产出成本</w:t>
            </w:r>
          </w:p>
        </w:tc>
        <w:tc>
          <w:tcPr>
            <w:tcW w:w="1071" w:type="dxa"/>
            <w:shd w:val="clear" w:color="auto" w:fill="FFFFFF"/>
            <w:vAlign w:val="center"/>
          </w:tcPr>
          <w:p w14:paraId="0A368D2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成本节约率</w:t>
            </w:r>
          </w:p>
        </w:tc>
        <w:tc>
          <w:tcPr>
            <w:tcW w:w="1725" w:type="dxa"/>
            <w:shd w:val="clear" w:color="000000" w:fill="FFFFFF"/>
            <w:vAlign w:val="center"/>
          </w:tcPr>
          <w:p w14:paraId="3E548C2E">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完成项目计划工作目标的实际节约成本与计划成本的比率，用以反映和考核项目的成本节约程度。</w:t>
            </w:r>
          </w:p>
        </w:tc>
        <w:tc>
          <w:tcPr>
            <w:tcW w:w="5216" w:type="dxa"/>
            <w:shd w:val="clear" w:color="000000" w:fill="FFFFFF"/>
            <w:vAlign w:val="center"/>
          </w:tcPr>
          <w:p w14:paraId="18EE056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成本节约率=[（计划成本-实际成本）/计划成本]×100%。</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实际成本：项目实施单位如期、保质、保量完成既定工作目标实际所耗费的支出。</w:t>
            </w:r>
            <w:r>
              <w:rPr>
                <w:rFonts w:hint="default" w:ascii="Times New Roman" w:hAnsi="Times New Roman" w:eastAsia="仿宋_GB2312" w:cs="Times New Roman"/>
                <w:color w:val="000000"/>
                <w:kern w:val="0"/>
                <w:sz w:val="18"/>
                <w:szCs w:val="18"/>
                <w:highlight w:val="none"/>
              </w:rPr>
              <w:br w:type="textWrapping"/>
            </w:r>
            <w:r>
              <w:rPr>
                <w:rFonts w:hint="default" w:ascii="Times New Roman" w:hAnsi="Times New Roman" w:eastAsia="仿宋_GB2312" w:cs="Times New Roman"/>
                <w:color w:val="000000"/>
                <w:kern w:val="0"/>
                <w:sz w:val="18"/>
                <w:szCs w:val="18"/>
                <w:highlight w:val="none"/>
              </w:rPr>
              <w:t>计划成本：项目实施单位为完成工作目标计划安排的支出，一般以项目预算为参考。</w:t>
            </w:r>
          </w:p>
        </w:tc>
        <w:tc>
          <w:tcPr>
            <w:tcW w:w="1304" w:type="dxa"/>
            <w:gridSpan w:val="2"/>
            <w:shd w:val="clear" w:color="000000" w:fill="FFFFFF"/>
            <w:vAlign w:val="center"/>
          </w:tcPr>
          <w:p w14:paraId="3DA9B04E">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30D22311">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0C266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3B98E75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效益　</w:t>
            </w:r>
          </w:p>
        </w:tc>
        <w:tc>
          <w:tcPr>
            <w:tcW w:w="1000" w:type="dxa"/>
            <w:vMerge w:val="restart"/>
            <w:shd w:val="clear" w:color="auto" w:fill="FFFFFF"/>
            <w:vAlign w:val="center"/>
          </w:tcPr>
          <w:p w14:paraId="2BC48EEC">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项目效益　</w:t>
            </w:r>
          </w:p>
        </w:tc>
        <w:tc>
          <w:tcPr>
            <w:tcW w:w="1071" w:type="dxa"/>
            <w:shd w:val="clear" w:color="auto" w:fill="FFFFFF"/>
            <w:vAlign w:val="center"/>
          </w:tcPr>
          <w:p w14:paraId="5CC87D1E">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实施效益</w:t>
            </w:r>
          </w:p>
        </w:tc>
        <w:tc>
          <w:tcPr>
            <w:tcW w:w="1725" w:type="dxa"/>
            <w:shd w:val="clear" w:color="auto" w:fill="FFFFFF"/>
            <w:vAlign w:val="center"/>
          </w:tcPr>
          <w:p w14:paraId="063CB210">
            <w:pPr>
              <w:widowControl/>
              <w:spacing w:line="0" w:lineRule="atLeast"/>
              <w:jc w:val="lef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项目实施所产生的效益。</w:t>
            </w:r>
          </w:p>
        </w:tc>
        <w:tc>
          <w:tcPr>
            <w:tcW w:w="5216" w:type="dxa"/>
            <w:shd w:val="clear" w:color="auto" w:fill="FFFFFF"/>
            <w:vAlign w:val="center"/>
          </w:tcPr>
          <w:p w14:paraId="29FCA8E4">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项目实施所产生的社会效益、经济效益、生态效益、可持续影响等。可根据项目实际情况有选择地设置和细化。</w:t>
            </w:r>
          </w:p>
        </w:tc>
        <w:tc>
          <w:tcPr>
            <w:tcW w:w="1304" w:type="dxa"/>
            <w:gridSpan w:val="2"/>
            <w:shd w:val="clear" w:color="auto" w:fill="FFFFFF"/>
            <w:vAlign w:val="center"/>
          </w:tcPr>
          <w:p w14:paraId="1A7CDC3B">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auto" w:fill="FFFFFF"/>
            <w:vAlign w:val="center"/>
          </w:tcPr>
          <w:p w14:paraId="3BE1110F">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66BE2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247B3737">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00" w:type="dxa"/>
            <w:vMerge w:val="continue"/>
            <w:shd w:val="clear" w:color="auto" w:fill="FFFFFF"/>
            <w:vAlign w:val="center"/>
          </w:tcPr>
          <w:p w14:paraId="116A72A8">
            <w:pPr>
              <w:widowControl/>
              <w:spacing w:line="0" w:lineRule="atLeast"/>
              <w:jc w:val="center"/>
              <w:rPr>
                <w:rFonts w:hint="default" w:ascii="Times New Roman" w:hAnsi="Times New Roman" w:eastAsia="仿宋_GB2312" w:cs="Times New Roman"/>
                <w:color w:val="000000"/>
                <w:kern w:val="0"/>
                <w:sz w:val="18"/>
                <w:szCs w:val="18"/>
                <w:highlight w:val="none"/>
              </w:rPr>
            </w:pPr>
          </w:p>
        </w:tc>
        <w:tc>
          <w:tcPr>
            <w:tcW w:w="1071" w:type="dxa"/>
            <w:shd w:val="clear" w:color="auto" w:fill="FFFFFF"/>
            <w:vAlign w:val="center"/>
          </w:tcPr>
          <w:p w14:paraId="6EFBECC8">
            <w:pPr>
              <w:widowControl/>
              <w:spacing w:line="0" w:lineRule="atLeast"/>
              <w:jc w:val="center"/>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满意度</w:t>
            </w:r>
          </w:p>
        </w:tc>
        <w:tc>
          <w:tcPr>
            <w:tcW w:w="1725" w:type="dxa"/>
            <w:shd w:val="clear" w:color="000000" w:fill="FFFFFF"/>
            <w:vAlign w:val="center"/>
          </w:tcPr>
          <w:p w14:paraId="3DA14F61">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社会公众或服务对象对项目实施效果的满意程度。</w:t>
            </w:r>
          </w:p>
        </w:tc>
        <w:tc>
          <w:tcPr>
            <w:tcW w:w="5216" w:type="dxa"/>
            <w:shd w:val="clear" w:color="000000" w:fill="FFFFFF"/>
            <w:vAlign w:val="center"/>
          </w:tcPr>
          <w:p w14:paraId="6648761B">
            <w:pPr>
              <w:widowControl/>
              <w:spacing w:line="0" w:lineRule="atLeast"/>
              <w:rPr>
                <w:rFonts w:hint="default" w:ascii="Times New Roman" w:hAnsi="Times New Roman" w:eastAsia="仿宋_GB2312" w:cs="Times New Roman"/>
                <w:color w:val="000000"/>
                <w:kern w:val="0"/>
                <w:sz w:val="18"/>
                <w:szCs w:val="18"/>
                <w:highlight w:val="none"/>
              </w:rPr>
            </w:pPr>
            <w:r>
              <w:rPr>
                <w:rFonts w:hint="default" w:ascii="Times New Roman" w:hAnsi="Times New Roman" w:eastAsia="仿宋_GB2312" w:cs="Times New Roman"/>
                <w:color w:val="000000"/>
                <w:kern w:val="0"/>
                <w:sz w:val="18"/>
                <w:szCs w:val="18"/>
                <w:highlight w:val="none"/>
              </w:rPr>
              <w:t>社会公众或服务对象是指因该项目实施而受到影响的部门（单位）、群体或个人。一般采取社会调查的方式。</w:t>
            </w:r>
          </w:p>
        </w:tc>
        <w:tc>
          <w:tcPr>
            <w:tcW w:w="1304" w:type="dxa"/>
            <w:gridSpan w:val="2"/>
            <w:shd w:val="clear" w:color="000000" w:fill="FFFFFF"/>
            <w:vAlign w:val="center"/>
          </w:tcPr>
          <w:p w14:paraId="40D6C102">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t>10</w:t>
            </w:r>
          </w:p>
        </w:tc>
        <w:tc>
          <w:tcPr>
            <w:tcW w:w="1365" w:type="dxa"/>
            <w:shd w:val="clear" w:color="000000" w:fill="FFFFFF"/>
            <w:vAlign w:val="center"/>
          </w:tcPr>
          <w:p w14:paraId="43E082A8">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05CE4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6"/>
            <w:shd w:val="clear" w:color="auto" w:fill="FFFFFF"/>
            <w:vAlign w:val="center"/>
          </w:tcPr>
          <w:p w14:paraId="3ED87560">
            <w:pPr>
              <w:widowControl/>
              <w:spacing w:line="0" w:lineRule="atLeast"/>
              <w:jc w:val="center"/>
              <w:rPr>
                <w:rFonts w:hint="eastAsia"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合计</w:t>
            </w:r>
          </w:p>
        </w:tc>
        <w:tc>
          <w:tcPr>
            <w:tcW w:w="1299" w:type="dxa"/>
            <w:shd w:val="clear" w:color="000000" w:fill="FFFFFF"/>
            <w:vAlign w:val="center"/>
          </w:tcPr>
          <w:p w14:paraId="5FAE25C8">
            <w:pPr>
              <w:widowControl/>
              <w:spacing w:line="0" w:lineRule="atLeast"/>
              <w:jc w:val="center"/>
              <w:rPr>
                <w:rFonts w:hint="default" w:ascii="Times New Roman" w:hAnsi="Times New Roman" w:eastAsia="仿宋_GB2312" w:cs="Times New Roman"/>
                <w:b/>
                <w:bCs/>
                <w:color w:val="000000"/>
                <w:kern w:val="0"/>
                <w:sz w:val="18"/>
                <w:szCs w:val="18"/>
                <w:highlight w:val="none"/>
              </w:rPr>
            </w:pPr>
            <w:r>
              <w:rPr>
                <w:rFonts w:hint="default" w:ascii="Times New Roman" w:hAnsi="Times New Roman" w:eastAsia="仿宋_GB2312" w:cs="Times New Roman"/>
                <w:b/>
                <w:bCs/>
                <w:color w:val="000000"/>
                <w:kern w:val="0"/>
                <w:sz w:val="18"/>
                <w:szCs w:val="18"/>
                <w:highlight w:val="none"/>
              </w:rPr>
              <w:fldChar w:fldCharType="begin"/>
            </w:r>
            <w:r>
              <w:rPr>
                <w:rFonts w:hint="default" w:ascii="Times New Roman" w:hAnsi="Times New Roman" w:eastAsia="仿宋_GB2312" w:cs="Times New Roman"/>
                <w:b/>
                <w:bCs/>
                <w:color w:val="000000"/>
                <w:kern w:val="0"/>
                <w:sz w:val="18"/>
                <w:szCs w:val="18"/>
                <w:highlight w:val="none"/>
              </w:rPr>
              <w:instrText xml:space="preserve"> = sum(F2:F18) \* MERGEFORMAT </w:instrText>
            </w:r>
            <w:r>
              <w:rPr>
                <w:rFonts w:hint="default" w:ascii="Times New Roman" w:hAnsi="Times New Roman" w:eastAsia="仿宋_GB2312" w:cs="Times New Roman"/>
                <w:b/>
                <w:bCs/>
                <w:color w:val="000000"/>
                <w:kern w:val="0"/>
                <w:sz w:val="18"/>
                <w:szCs w:val="18"/>
                <w:highlight w:val="none"/>
              </w:rPr>
              <w:fldChar w:fldCharType="separate"/>
            </w:r>
            <w:r>
              <w:rPr>
                <w:rFonts w:hint="default" w:ascii="Times New Roman" w:hAnsi="Times New Roman" w:eastAsia="仿宋_GB2312" w:cs="Times New Roman"/>
                <w:b/>
                <w:bCs/>
                <w:color w:val="000000"/>
                <w:kern w:val="0"/>
                <w:sz w:val="18"/>
                <w:szCs w:val="18"/>
                <w:highlight w:val="none"/>
              </w:rPr>
              <w:t>100</w:t>
            </w:r>
            <w:r>
              <w:rPr>
                <w:rFonts w:hint="default" w:ascii="Times New Roman" w:hAnsi="Times New Roman" w:eastAsia="仿宋_GB2312" w:cs="Times New Roman"/>
                <w:b/>
                <w:bCs/>
                <w:color w:val="000000"/>
                <w:kern w:val="0"/>
                <w:sz w:val="18"/>
                <w:szCs w:val="18"/>
                <w:highlight w:val="none"/>
              </w:rPr>
              <w:fldChar w:fldCharType="end"/>
            </w:r>
          </w:p>
        </w:tc>
        <w:tc>
          <w:tcPr>
            <w:tcW w:w="1365" w:type="dxa"/>
            <w:shd w:val="clear" w:color="000000" w:fill="FFFFFF"/>
            <w:vAlign w:val="center"/>
          </w:tcPr>
          <w:p w14:paraId="33E5520B">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100</w:t>
            </w:r>
          </w:p>
        </w:tc>
      </w:tr>
    </w:tbl>
    <w:p w14:paraId="5FE2E7F1">
      <w:pPr>
        <w:rPr>
          <w:rFonts w:hint="default" w:ascii="Times New Roman" w:hAnsi="Times New Roman" w:cs="Times New Roman"/>
          <w:highlight w:val="none"/>
        </w:rPr>
        <w:sectPr>
          <w:pgSz w:w="16838" w:h="11906" w:orient="landscape"/>
          <w:pgMar w:top="1800" w:right="1440" w:bottom="1558" w:left="1440" w:header="851" w:footer="992" w:gutter="0"/>
          <w:cols w:space="425" w:num="1"/>
          <w:docGrid w:type="lines" w:linePitch="312" w:charSpace="0"/>
        </w:sectPr>
      </w:pPr>
    </w:p>
    <w:p w14:paraId="560B4A1A">
      <w:pPr>
        <w:spacing w:line="600" w:lineRule="exact"/>
        <w:rPr>
          <w:rFonts w:hint="eastAsia"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附件</w:t>
      </w:r>
      <w:r>
        <w:rPr>
          <w:rFonts w:hint="eastAsia" w:eastAsia="黑体" w:cs="Times New Roman"/>
          <w:sz w:val="32"/>
          <w:szCs w:val="32"/>
          <w:highlight w:val="none"/>
          <w:lang w:val="en-US" w:eastAsia="zh-CN"/>
        </w:rPr>
        <w:t>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40"/>
        <w:gridCol w:w="840"/>
        <w:gridCol w:w="1175"/>
        <w:gridCol w:w="1667"/>
        <w:gridCol w:w="2799"/>
        <w:gridCol w:w="1695"/>
        <w:gridCol w:w="1693"/>
        <w:gridCol w:w="303"/>
        <w:gridCol w:w="394"/>
        <w:gridCol w:w="368"/>
        <w:gridCol w:w="480"/>
        <w:gridCol w:w="642"/>
        <w:gridCol w:w="949"/>
      </w:tblGrid>
      <w:tr w14:paraId="632B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24D70F9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5926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4F24F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217B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6D74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15548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乌财社〔2023〕266号-2024年国家财政基本公共卫生服务补助资金（直达资金）</w:t>
            </w:r>
          </w:p>
        </w:tc>
      </w:tr>
      <w:tr w14:paraId="28B8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0EABE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148D3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乌鲁木齐市沙依巴克区卫生健康委员会</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8A5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066F8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乌鲁木齐市沙依巴克区卫生健康委员会</w:t>
            </w:r>
          </w:p>
        </w:tc>
      </w:tr>
      <w:tr w14:paraId="4832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82CC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B17470E">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7BCD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B186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2A6E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B4BE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1604A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E91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204A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EA4B3FA">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3F7F0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ABB7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3,387.35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B6D7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3,368.05</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654A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3,368.05</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1D24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65B5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932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1D35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101FFAB">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A69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738E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3,387.35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7944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3,368.05</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84FA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3,368.05</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A73F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253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3CB7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4FBB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972A7B5">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7E4C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7CF8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C99C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3DD0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DA5B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DF1E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A44D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F73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01F2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0A3C8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12473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0B44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60E532A">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5FB30E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向辖区居民提供基本公共卫生服务，提高基本公共卫生服务项目均等化水平，规范公共卫生服务行为，推进基本公共卫生服务项目开展，加强孕产妇健康管理和儿童健康管理，把孕产妇和婴儿死亡率控制在指标范围内，全面完成2021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0F0BE44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免费向城乡居民提供基本公共卫生服务。全区所有县（市、区）内常住人口，均可免费享受国家基本公共卫生服务规范（第三版）所列的基本公共卫生服务。依据《国家基本公共卫生服务规范（第三版）》，继续实施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监督协管等基本公共卫生服务。一是做好常态化疫情防控，优化预防接种服务。适龄儿童国家免疫规划疫苗接种率保持在99.73%，进一步加强流动儿童的接种工作。二是推进电子健康档案应用，有序推进向居民开放。三是深入推进慢病医防融合，提升基本公卫服务质量。落实完善基层慢性病医防融合新模式，加强儿童健康管理。7岁以下儿童健康管理率均保持在93.28%，高血压、2型糖尿病患者基层规范管理服务率均保持在80%。</w:t>
            </w:r>
          </w:p>
        </w:tc>
      </w:tr>
      <w:tr w14:paraId="0BD8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9E32D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A01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03DA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2996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313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45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CFB0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DE3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7DF2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13C7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71EA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6BF99F">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7A52D">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989F5D2">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0B1DF99">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47CFD8">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C865AF5">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6E03437">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2E194C8">
            <w:pPr>
              <w:jc w:val="center"/>
              <w:rPr>
                <w:rFonts w:hint="eastAsia" w:ascii="宋体" w:hAnsi="宋体" w:eastAsia="宋体" w:cs="宋体"/>
                <w:i w:val="0"/>
                <w:iCs w:val="0"/>
                <w:color w:val="000000"/>
                <w:sz w:val="20"/>
                <w:szCs w:val="20"/>
                <w:u w:val="none"/>
              </w:rPr>
            </w:pPr>
          </w:p>
        </w:tc>
      </w:tr>
      <w:tr w14:paraId="285C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C21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020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5C9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E649C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7岁以下儿童健康管理率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1E85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&gt;=93.28%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F6E8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=93.28%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B8C9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AC58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610BAB4">
            <w:pPr>
              <w:jc w:val="center"/>
              <w:rPr>
                <w:rFonts w:hint="eastAsia" w:ascii="宋体" w:hAnsi="宋体" w:eastAsia="宋体" w:cs="宋体"/>
                <w:i w:val="0"/>
                <w:iCs w:val="0"/>
                <w:color w:val="000000"/>
                <w:sz w:val="20"/>
                <w:szCs w:val="20"/>
                <w:u w:val="none"/>
              </w:rPr>
            </w:pPr>
          </w:p>
        </w:tc>
      </w:tr>
      <w:tr w14:paraId="04F1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AEA09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02FB45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247B2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2E861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孕产妇系统管理率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C02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&gt;=92.88%</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FC99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=92.88%</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F864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9B7F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3698043">
            <w:pPr>
              <w:jc w:val="center"/>
              <w:rPr>
                <w:rFonts w:hint="eastAsia" w:ascii="宋体" w:hAnsi="宋体" w:eastAsia="宋体" w:cs="宋体"/>
                <w:i w:val="0"/>
                <w:iCs w:val="0"/>
                <w:color w:val="000000"/>
                <w:sz w:val="20"/>
                <w:szCs w:val="20"/>
                <w:u w:val="none"/>
              </w:rPr>
            </w:pPr>
          </w:p>
        </w:tc>
      </w:tr>
      <w:tr w14:paraId="5E0D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0F6E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D88C2D">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5FD92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45F8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肺结核患者健康管理率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43AE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CC77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17D9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C095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0E17B78">
            <w:pPr>
              <w:jc w:val="center"/>
              <w:rPr>
                <w:rFonts w:hint="eastAsia" w:ascii="宋体" w:hAnsi="宋体" w:eastAsia="宋体" w:cs="宋体"/>
                <w:i w:val="0"/>
                <w:iCs w:val="0"/>
                <w:color w:val="000000"/>
                <w:sz w:val="20"/>
                <w:szCs w:val="20"/>
                <w:u w:val="none"/>
              </w:rPr>
            </w:pPr>
          </w:p>
        </w:tc>
      </w:tr>
      <w:tr w14:paraId="1F3C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AC0DB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A967147">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4E61A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53A0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社区在册居家严重精神障碍患者健康管理率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2A6D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&gt;=85.51%</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24A9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=85.51%</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4F2F2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7FEA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69BA068">
            <w:pPr>
              <w:jc w:val="center"/>
              <w:rPr>
                <w:rFonts w:hint="eastAsia" w:ascii="宋体" w:hAnsi="宋体" w:eastAsia="宋体" w:cs="宋体"/>
                <w:i w:val="0"/>
                <w:iCs w:val="0"/>
                <w:color w:val="000000"/>
                <w:sz w:val="20"/>
                <w:szCs w:val="20"/>
                <w:u w:val="none"/>
              </w:rPr>
            </w:pPr>
          </w:p>
        </w:tc>
      </w:tr>
      <w:tr w14:paraId="450C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82266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E7658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44649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28C1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老年人中医药健康管理率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680D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&gt;=78.22%</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705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=78.22%</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EC15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1C7D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DA379E1">
            <w:pPr>
              <w:jc w:val="center"/>
              <w:rPr>
                <w:rFonts w:hint="eastAsia" w:ascii="宋体" w:hAnsi="宋体" w:eastAsia="宋体" w:cs="宋体"/>
                <w:i w:val="0"/>
                <w:iCs w:val="0"/>
                <w:color w:val="000000"/>
                <w:sz w:val="20"/>
                <w:szCs w:val="20"/>
                <w:u w:val="none"/>
              </w:rPr>
            </w:pPr>
          </w:p>
        </w:tc>
      </w:tr>
      <w:tr w14:paraId="300F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16D5B2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45B030">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D1F76E">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76D1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适龄儿童国家免疫规划疫苗接种率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CAFA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&gt;=99.73%</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3F3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=99.73%</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1D1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781D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014BDFA">
            <w:pPr>
              <w:jc w:val="center"/>
              <w:rPr>
                <w:rFonts w:hint="eastAsia" w:ascii="宋体" w:hAnsi="宋体" w:eastAsia="宋体" w:cs="宋体"/>
                <w:i w:val="0"/>
                <w:iCs w:val="0"/>
                <w:color w:val="000000"/>
                <w:sz w:val="20"/>
                <w:szCs w:val="20"/>
                <w:u w:val="none"/>
              </w:rPr>
            </w:pPr>
          </w:p>
        </w:tc>
      </w:tr>
      <w:tr w14:paraId="5E88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B314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1EFB0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8A490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46087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高血压患者管理人数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6A5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&gt;=5.10万人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7BC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=5.1万人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2A28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44D2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11D7D58">
            <w:pPr>
              <w:jc w:val="center"/>
              <w:rPr>
                <w:rFonts w:hint="eastAsia" w:ascii="宋体" w:hAnsi="宋体" w:eastAsia="宋体" w:cs="宋体"/>
                <w:i w:val="0"/>
                <w:iCs w:val="0"/>
                <w:color w:val="000000"/>
                <w:sz w:val="20"/>
                <w:szCs w:val="20"/>
                <w:u w:val="none"/>
              </w:rPr>
            </w:pPr>
          </w:p>
        </w:tc>
      </w:tr>
      <w:tr w14:paraId="632B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1AC3D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F8780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8E719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7473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2型糖尿病患者管理人数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44CA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&gt;=2.30万人</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D5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=2.3万人</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1C49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0A62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F92B626">
            <w:pPr>
              <w:jc w:val="center"/>
              <w:rPr>
                <w:rFonts w:hint="eastAsia" w:ascii="宋体" w:hAnsi="宋体" w:eastAsia="宋体" w:cs="宋体"/>
                <w:i w:val="0"/>
                <w:iCs w:val="0"/>
                <w:color w:val="000000"/>
                <w:sz w:val="20"/>
                <w:szCs w:val="20"/>
                <w:u w:val="none"/>
              </w:rPr>
            </w:pPr>
          </w:p>
        </w:tc>
      </w:tr>
      <w:tr w14:paraId="6E1C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E8C25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0FB198">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BCF4D5">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D10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儿童中医药健康管理率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4926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&gt;=87.05%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AEED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=87.05%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EEFD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D140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B5BC748">
            <w:pPr>
              <w:jc w:val="center"/>
              <w:rPr>
                <w:rFonts w:hint="eastAsia" w:ascii="宋体" w:hAnsi="宋体" w:eastAsia="宋体" w:cs="宋体"/>
                <w:i w:val="0"/>
                <w:iCs w:val="0"/>
                <w:color w:val="000000"/>
                <w:sz w:val="20"/>
                <w:szCs w:val="20"/>
                <w:u w:val="none"/>
              </w:rPr>
            </w:pPr>
          </w:p>
        </w:tc>
      </w:tr>
      <w:tr w14:paraId="447A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0DC18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F1565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48CF32">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85C7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卫生监督协管各专业年巡查（访）2次完成率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4C5A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&gt;=93.75%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7AE9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=93.75%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4089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093A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4BA1D4D">
            <w:pPr>
              <w:jc w:val="center"/>
              <w:rPr>
                <w:rFonts w:hint="eastAsia" w:ascii="宋体" w:hAnsi="宋体" w:eastAsia="宋体" w:cs="宋体"/>
                <w:i w:val="0"/>
                <w:iCs w:val="0"/>
                <w:color w:val="000000"/>
                <w:sz w:val="20"/>
                <w:szCs w:val="20"/>
                <w:u w:val="none"/>
              </w:rPr>
            </w:pPr>
          </w:p>
        </w:tc>
      </w:tr>
      <w:tr w14:paraId="765E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20091A">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558E3F">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58F9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2900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居民规范化电子健康档案覆盖率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687D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&gt;=64.99%</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6CB5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=64.99%</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DF88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F84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2256B68">
            <w:pPr>
              <w:jc w:val="center"/>
              <w:rPr>
                <w:rFonts w:hint="eastAsia" w:ascii="宋体" w:hAnsi="宋体" w:eastAsia="宋体" w:cs="宋体"/>
                <w:i w:val="0"/>
                <w:iCs w:val="0"/>
                <w:color w:val="000000"/>
                <w:sz w:val="20"/>
                <w:szCs w:val="20"/>
                <w:u w:val="none"/>
              </w:rPr>
            </w:pPr>
          </w:p>
        </w:tc>
      </w:tr>
      <w:tr w14:paraId="4E22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B410F5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EF4EDF">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25BFD4">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49F3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高血压患者基层规范管理服务率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6228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&gt;=81.53%</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3743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=81.53%</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0896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021A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5074A91">
            <w:pPr>
              <w:jc w:val="center"/>
              <w:rPr>
                <w:rFonts w:hint="eastAsia" w:ascii="宋体" w:hAnsi="宋体" w:eastAsia="宋体" w:cs="宋体"/>
                <w:i w:val="0"/>
                <w:iCs w:val="0"/>
                <w:color w:val="000000"/>
                <w:sz w:val="20"/>
                <w:szCs w:val="20"/>
                <w:u w:val="none"/>
              </w:rPr>
            </w:pPr>
          </w:p>
        </w:tc>
      </w:tr>
      <w:tr w14:paraId="6E367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54E44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0271EA">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ED3EE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4A29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2型糖尿病患者基层规范管理服务率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05C4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&gt;=82.50%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2870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6786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107D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D462660">
            <w:pPr>
              <w:jc w:val="center"/>
              <w:rPr>
                <w:rFonts w:hint="eastAsia" w:ascii="宋体" w:hAnsi="宋体" w:eastAsia="宋体" w:cs="宋体"/>
                <w:i w:val="0"/>
                <w:iCs w:val="0"/>
                <w:color w:val="000000"/>
                <w:sz w:val="20"/>
                <w:szCs w:val="20"/>
                <w:u w:val="none"/>
              </w:rPr>
            </w:pPr>
          </w:p>
        </w:tc>
      </w:tr>
      <w:tr w14:paraId="2272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1C1DF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7FA26D">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52075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B514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传染病和突发公共卫生时间报告率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1B1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C472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5B2A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0ABA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7463CE1">
            <w:pPr>
              <w:jc w:val="center"/>
              <w:rPr>
                <w:rFonts w:hint="eastAsia" w:ascii="宋体" w:hAnsi="宋体" w:eastAsia="宋体" w:cs="宋体"/>
                <w:i w:val="0"/>
                <w:iCs w:val="0"/>
                <w:color w:val="000000"/>
                <w:sz w:val="20"/>
                <w:szCs w:val="20"/>
                <w:u w:val="none"/>
              </w:rPr>
            </w:pPr>
          </w:p>
        </w:tc>
      </w:tr>
      <w:tr w14:paraId="2D4E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FF9E4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8A0979A">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3F3EA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98C6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65岁及以上老年人城乡社区规范健康管理服务率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00C2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&gt;=72.40%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DE36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=72.4%</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B253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4B8B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76D04184">
            <w:pPr>
              <w:jc w:val="center"/>
              <w:rPr>
                <w:rFonts w:hint="eastAsia" w:ascii="宋体" w:hAnsi="宋体" w:eastAsia="宋体" w:cs="宋体"/>
                <w:i w:val="0"/>
                <w:iCs w:val="0"/>
                <w:color w:val="000000"/>
                <w:sz w:val="20"/>
                <w:szCs w:val="20"/>
                <w:u w:val="none"/>
              </w:rPr>
            </w:pPr>
          </w:p>
        </w:tc>
      </w:tr>
      <w:tr w14:paraId="6D3B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A82769">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A60E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25E5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47A2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城乡居民公共卫生差距</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B0CC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不断缩小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8F68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4963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C836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C234AC6">
            <w:pPr>
              <w:jc w:val="center"/>
              <w:rPr>
                <w:rFonts w:hint="eastAsia" w:ascii="宋体" w:hAnsi="宋体" w:eastAsia="宋体" w:cs="宋体"/>
                <w:i w:val="0"/>
                <w:iCs w:val="0"/>
                <w:color w:val="000000"/>
                <w:sz w:val="20"/>
                <w:szCs w:val="20"/>
                <w:u w:val="none"/>
              </w:rPr>
            </w:pPr>
          </w:p>
        </w:tc>
      </w:tr>
      <w:tr w14:paraId="1771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4AA71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124D7E">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35B6BD">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C31C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基本公共卫生服务水平</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FE6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不断提高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BEC4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98C0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4005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298A26F">
            <w:pPr>
              <w:jc w:val="center"/>
              <w:rPr>
                <w:rFonts w:hint="eastAsia" w:ascii="宋体" w:hAnsi="宋体" w:eastAsia="宋体" w:cs="宋体"/>
                <w:i w:val="0"/>
                <w:iCs w:val="0"/>
                <w:color w:val="000000"/>
                <w:sz w:val="20"/>
                <w:szCs w:val="20"/>
                <w:u w:val="none"/>
              </w:rPr>
            </w:pPr>
          </w:p>
        </w:tc>
      </w:tr>
      <w:tr w14:paraId="2580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3AF036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179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59934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314A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服务对象满意度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1575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F022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B2C9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9D0A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F81A7CB">
            <w:pPr>
              <w:jc w:val="center"/>
              <w:rPr>
                <w:rFonts w:hint="eastAsia" w:ascii="宋体" w:hAnsi="宋体" w:eastAsia="宋体" w:cs="宋体"/>
                <w:i w:val="0"/>
                <w:iCs w:val="0"/>
                <w:color w:val="000000"/>
                <w:sz w:val="20"/>
                <w:szCs w:val="20"/>
                <w:u w:val="none"/>
              </w:rPr>
            </w:pPr>
          </w:p>
        </w:tc>
      </w:tr>
      <w:tr w14:paraId="0D7F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2A06D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90F0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2358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E086D84">
            <w:pPr>
              <w:jc w:val="center"/>
              <w:rPr>
                <w:rFonts w:hint="eastAsia" w:ascii="宋体" w:hAnsi="宋体" w:eastAsia="宋体" w:cs="宋体"/>
                <w:i w:val="0"/>
                <w:iCs w:val="0"/>
                <w:color w:val="000000"/>
                <w:sz w:val="20"/>
                <w:szCs w:val="20"/>
                <w:u w:val="none"/>
              </w:rPr>
            </w:pPr>
          </w:p>
        </w:tc>
      </w:tr>
    </w:tbl>
    <w:p w14:paraId="03B5F8CA">
      <w:pPr>
        <w:rPr>
          <w:rFonts w:hint="default" w:ascii="Times New Roman" w:hAnsi="Times New Roman" w:cs="Times New Roman"/>
          <w:highlight w:val="none"/>
        </w:rPr>
      </w:pPr>
      <w:bookmarkStart w:id="3" w:name="_GoBack"/>
      <w:bookmarkEnd w:id="3"/>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0EDD2D36">
        <w:pPr>
          <w:pStyle w:val="7"/>
          <w:jc w:val="center"/>
        </w:pPr>
        <w:r>
          <w:fldChar w:fldCharType="begin"/>
        </w:r>
        <w:r>
          <w:instrText xml:space="preserve">PAGE   \* MERGEFORMAT</w:instrText>
        </w:r>
        <w:r>
          <w:fldChar w:fldCharType="separate"/>
        </w:r>
        <w:r>
          <w:rPr>
            <w:lang w:val="zh-CN"/>
          </w:rPr>
          <w:t>13</w:t>
        </w:r>
        <w:r>
          <w:fldChar w:fldCharType="end"/>
        </w:r>
      </w:p>
    </w:sdtContent>
  </w:sdt>
  <w:p w14:paraId="0E5EC7A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1307639F"/>
    <w:multiLevelType w:val="singleLevel"/>
    <w:tmpl w:val="1307639F"/>
    <w:lvl w:ilvl="0" w:tentative="0">
      <w:start w:val="2"/>
      <w:numFmt w:val="decimal"/>
      <w:lvlText w:val="%1."/>
      <w:lvlJc w:val="left"/>
      <w:pPr>
        <w:tabs>
          <w:tab w:val="left" w:pos="312"/>
        </w:tabs>
      </w:p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6F7242"/>
    <w:rsid w:val="007B168A"/>
    <w:rsid w:val="008B2CFE"/>
    <w:rsid w:val="00F26FF6"/>
    <w:rsid w:val="01610122"/>
    <w:rsid w:val="02510197"/>
    <w:rsid w:val="03EC461B"/>
    <w:rsid w:val="061572B2"/>
    <w:rsid w:val="07397B77"/>
    <w:rsid w:val="07C93427"/>
    <w:rsid w:val="0AD007F3"/>
    <w:rsid w:val="0E3C619F"/>
    <w:rsid w:val="0F6273CA"/>
    <w:rsid w:val="0FE166D8"/>
    <w:rsid w:val="100F38EC"/>
    <w:rsid w:val="11170296"/>
    <w:rsid w:val="127D7377"/>
    <w:rsid w:val="12C66037"/>
    <w:rsid w:val="12CD1ABC"/>
    <w:rsid w:val="131823DC"/>
    <w:rsid w:val="13471461"/>
    <w:rsid w:val="13B90F01"/>
    <w:rsid w:val="155E4C4D"/>
    <w:rsid w:val="181066D2"/>
    <w:rsid w:val="19451056"/>
    <w:rsid w:val="1C0A637B"/>
    <w:rsid w:val="1C671E73"/>
    <w:rsid w:val="1D322C47"/>
    <w:rsid w:val="1F852181"/>
    <w:rsid w:val="23616034"/>
    <w:rsid w:val="23696C97"/>
    <w:rsid w:val="24480FA2"/>
    <w:rsid w:val="25227A45"/>
    <w:rsid w:val="26AC3A6A"/>
    <w:rsid w:val="288578DA"/>
    <w:rsid w:val="2B9D7E25"/>
    <w:rsid w:val="2BFD6A4C"/>
    <w:rsid w:val="2C181655"/>
    <w:rsid w:val="2C7C7A3B"/>
    <w:rsid w:val="2D9F4BC0"/>
    <w:rsid w:val="2E8E4BB6"/>
    <w:rsid w:val="2F364819"/>
    <w:rsid w:val="2FD63906"/>
    <w:rsid w:val="35373667"/>
    <w:rsid w:val="369F0A7C"/>
    <w:rsid w:val="37215DAE"/>
    <w:rsid w:val="38CA40DD"/>
    <w:rsid w:val="395F2B56"/>
    <w:rsid w:val="3B482032"/>
    <w:rsid w:val="3BBA0580"/>
    <w:rsid w:val="3BECE841"/>
    <w:rsid w:val="3CDE204C"/>
    <w:rsid w:val="3D363C36"/>
    <w:rsid w:val="3E907838"/>
    <w:rsid w:val="3E9C3F6D"/>
    <w:rsid w:val="3FF7797D"/>
    <w:rsid w:val="43E23C54"/>
    <w:rsid w:val="46690BD8"/>
    <w:rsid w:val="49792371"/>
    <w:rsid w:val="49F70BF1"/>
    <w:rsid w:val="4B4340EE"/>
    <w:rsid w:val="4D792201"/>
    <w:rsid w:val="503D507A"/>
    <w:rsid w:val="51FA74D0"/>
    <w:rsid w:val="52AA4A52"/>
    <w:rsid w:val="533269B7"/>
    <w:rsid w:val="539D3AD1"/>
    <w:rsid w:val="56C966B6"/>
    <w:rsid w:val="59943D66"/>
    <w:rsid w:val="59D74168"/>
    <w:rsid w:val="59E051FD"/>
    <w:rsid w:val="59E6355E"/>
    <w:rsid w:val="5A5B2899"/>
    <w:rsid w:val="5B821531"/>
    <w:rsid w:val="5BFF6039"/>
    <w:rsid w:val="5D76A616"/>
    <w:rsid w:val="5D7F20B9"/>
    <w:rsid w:val="5DAC7D0E"/>
    <w:rsid w:val="5F98B5AF"/>
    <w:rsid w:val="5FFE8511"/>
    <w:rsid w:val="5FFEACE2"/>
    <w:rsid w:val="60233572"/>
    <w:rsid w:val="609D5BF6"/>
    <w:rsid w:val="61073070"/>
    <w:rsid w:val="61B9080E"/>
    <w:rsid w:val="61DF3FED"/>
    <w:rsid w:val="62606CE8"/>
    <w:rsid w:val="642B176B"/>
    <w:rsid w:val="643EE26D"/>
    <w:rsid w:val="656019A0"/>
    <w:rsid w:val="65F242EE"/>
    <w:rsid w:val="666D7E19"/>
    <w:rsid w:val="68376930"/>
    <w:rsid w:val="68E201B2"/>
    <w:rsid w:val="68F91E38"/>
    <w:rsid w:val="6B3158B9"/>
    <w:rsid w:val="6BA02A3F"/>
    <w:rsid w:val="6C105349"/>
    <w:rsid w:val="6C1E5A53"/>
    <w:rsid w:val="6F5C41AC"/>
    <w:rsid w:val="6FAF6C78"/>
    <w:rsid w:val="700114C9"/>
    <w:rsid w:val="716167CC"/>
    <w:rsid w:val="718A7AD1"/>
    <w:rsid w:val="72A44BC2"/>
    <w:rsid w:val="7317C656"/>
    <w:rsid w:val="734ED73F"/>
    <w:rsid w:val="73C82B32"/>
    <w:rsid w:val="73F94DAE"/>
    <w:rsid w:val="74220495"/>
    <w:rsid w:val="747D1B6F"/>
    <w:rsid w:val="749E5641"/>
    <w:rsid w:val="76271066"/>
    <w:rsid w:val="763F5883"/>
    <w:rsid w:val="77FD8BE9"/>
    <w:rsid w:val="78000AED"/>
    <w:rsid w:val="78036054"/>
    <w:rsid w:val="79744B6D"/>
    <w:rsid w:val="79A9BD3F"/>
    <w:rsid w:val="7A4B2D07"/>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17066</Words>
  <Characters>18386</Characters>
  <Lines>58</Lines>
  <Paragraphs>16</Paragraphs>
  <TotalTime>7</TotalTime>
  <ScaleCrop>false</ScaleCrop>
  <LinksUpToDate>false</LinksUpToDate>
  <CharactersWithSpaces>18431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2025-11-27T04:01:09Z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