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4EE88">
      <w:pPr>
        <w:spacing w:line="267" w:lineRule="auto"/>
        <w:rPr>
          <w:rFonts w:ascii="Arial"/>
          <w:sz w:val="21"/>
        </w:rPr>
      </w:pPr>
    </w:p>
    <w:p w14:paraId="2E698CF3">
      <w:pPr>
        <w:spacing w:line="267" w:lineRule="auto"/>
        <w:rPr>
          <w:rFonts w:ascii="Arial"/>
          <w:sz w:val="21"/>
        </w:rPr>
      </w:pPr>
    </w:p>
    <w:p w14:paraId="44FD539D">
      <w:pPr>
        <w:spacing w:line="268" w:lineRule="auto"/>
        <w:rPr>
          <w:rFonts w:ascii="Arial"/>
          <w:sz w:val="21"/>
        </w:rPr>
      </w:pPr>
    </w:p>
    <w:p w14:paraId="3533E0FD">
      <w:pPr>
        <w:spacing w:line="268" w:lineRule="auto"/>
        <w:rPr>
          <w:rFonts w:ascii="Arial"/>
          <w:sz w:val="21"/>
        </w:rPr>
      </w:pPr>
    </w:p>
    <w:p w14:paraId="597468BF">
      <w:pPr>
        <w:spacing w:line="268" w:lineRule="auto"/>
        <w:rPr>
          <w:rFonts w:ascii="Arial"/>
          <w:sz w:val="21"/>
        </w:rPr>
      </w:pPr>
    </w:p>
    <w:p w14:paraId="1B54D774">
      <w:pPr>
        <w:spacing w:line="268" w:lineRule="auto"/>
        <w:rPr>
          <w:rFonts w:ascii="Arial"/>
          <w:sz w:val="21"/>
        </w:rPr>
      </w:pPr>
    </w:p>
    <w:p w14:paraId="00E9DD3E">
      <w:pPr>
        <w:spacing w:before="185" w:line="255" w:lineRule="auto"/>
        <w:ind w:left="1592" w:right="989" w:hanging="60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乌鲁木齐市沙依巴克区招商服务局</w:t>
      </w:r>
      <w:r>
        <w:rPr>
          <w:rFonts w:ascii="微软雅黑" w:hAnsi="微软雅黑" w:eastAsia="微软雅黑" w:cs="微软雅黑"/>
          <w:spacing w:val="6"/>
          <w:sz w:val="43"/>
          <w:szCs w:val="43"/>
        </w:rPr>
        <w:t>2021年度部门决算公开说明</w:t>
      </w:r>
    </w:p>
    <w:p w14:paraId="10B7897F">
      <w:pPr>
        <w:spacing w:line="255" w:lineRule="auto"/>
        <w:rPr>
          <w:rFonts w:ascii="微软雅黑" w:hAnsi="微软雅黑" w:eastAsia="微软雅黑" w:cs="微软雅黑"/>
          <w:sz w:val="43"/>
          <w:szCs w:val="43"/>
        </w:rPr>
        <w:sectPr>
          <w:pgSz w:w="12240" w:h="15840"/>
          <w:pgMar w:top="1346" w:right="1836" w:bottom="0" w:left="1836" w:header="0" w:footer="0" w:gutter="0"/>
          <w:cols w:space="720" w:num="1"/>
        </w:sectPr>
      </w:pPr>
    </w:p>
    <w:sdt>
      <w:sdtPr>
        <w:rPr>
          <w:rFonts w:ascii="仿宋" w:hAnsi="仿宋" w:eastAsia="仿宋" w:cs="仿宋"/>
          <w:sz w:val="36"/>
          <w:szCs w:val="36"/>
        </w:rPr>
        <w:id w:val="147469627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7525542C">
          <w:pPr>
            <w:pStyle w:val="2"/>
            <w:spacing w:before="216" w:line="219" w:lineRule="auto"/>
            <w:ind w:left="3854"/>
            <w:rPr>
              <w:sz w:val="36"/>
              <w:szCs w:val="36"/>
            </w:rPr>
          </w:pPr>
          <w:r>
            <w:rPr>
              <w:b/>
              <w:bCs/>
              <w:spacing w:val="-44"/>
              <w:sz w:val="36"/>
              <w:szCs w:val="36"/>
            </w:rPr>
            <w:t>目</w:t>
          </w:r>
          <w:r>
            <w:rPr>
              <w:spacing w:val="15"/>
              <w:sz w:val="36"/>
              <w:szCs w:val="36"/>
            </w:rPr>
            <w:t xml:space="preserve">  </w:t>
          </w:r>
          <w:r>
            <w:rPr>
              <w:b/>
              <w:bCs/>
              <w:spacing w:val="-44"/>
              <w:sz w:val="36"/>
              <w:szCs w:val="36"/>
            </w:rPr>
            <w:t>录</w:t>
          </w:r>
        </w:p>
        <w:p w14:paraId="4FBEAF9F">
          <w:pPr>
            <w:pStyle w:val="2"/>
            <w:spacing w:before="148" w:line="222" w:lineRule="auto"/>
            <w:ind w:left="24"/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b/>
              <w:bCs/>
              <w:spacing w:val="3"/>
            </w:rPr>
            <w:t>第一部分</w:t>
          </w:r>
          <w:r>
            <w:rPr>
              <w:spacing w:val="3"/>
            </w:rPr>
            <w:t xml:space="preserve"> </w:t>
          </w:r>
          <w:r>
            <w:rPr>
              <w:b/>
              <w:bCs/>
              <w:spacing w:val="3"/>
            </w:rPr>
            <w:t>部门单位概况</w:t>
          </w:r>
          <w:r>
            <w:rPr>
              <w:b/>
              <w:bCs/>
              <w:spacing w:val="3"/>
            </w:rPr>
            <w:fldChar w:fldCharType="end"/>
          </w:r>
        </w:p>
        <w:p w14:paraId="4FFEA68F">
          <w:pPr>
            <w:pStyle w:val="2"/>
            <w:spacing w:before="166" w:line="223" w:lineRule="auto"/>
            <w:ind w:left="27"/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3"/>
            </w:rPr>
            <w:t>一、主要职能</w:t>
          </w:r>
          <w:r>
            <w:rPr>
              <w:spacing w:val="-3"/>
            </w:rPr>
            <w:fldChar w:fldCharType="end"/>
          </w:r>
        </w:p>
        <w:p w14:paraId="68CC261F">
          <w:pPr>
            <w:pStyle w:val="2"/>
            <w:spacing w:before="165" w:line="224" w:lineRule="auto"/>
            <w:ind w:left="25"/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spacing w:val="6"/>
            </w:rPr>
            <w:t>二、机构设置及人员情况</w:t>
          </w:r>
          <w:r>
            <w:rPr>
              <w:spacing w:val="6"/>
            </w:rPr>
            <w:fldChar w:fldCharType="end"/>
          </w:r>
        </w:p>
        <w:p w14:paraId="14222CA7">
          <w:pPr>
            <w:pStyle w:val="2"/>
            <w:spacing w:before="164" w:line="223" w:lineRule="auto"/>
            <w:ind w:left="24"/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b/>
              <w:bCs/>
              <w:spacing w:val="4"/>
            </w:rPr>
            <w:t>第二部分</w:t>
          </w:r>
          <w:r>
            <w:rPr>
              <w:spacing w:val="4"/>
            </w:rPr>
            <w:t xml:space="preserve"> </w:t>
          </w:r>
          <w:r>
            <w:rPr>
              <w:b/>
              <w:bCs/>
              <w:spacing w:val="4"/>
            </w:rPr>
            <w:t>部门决算情况说明</w:t>
          </w:r>
          <w:r>
            <w:rPr>
              <w:b/>
              <w:bCs/>
              <w:spacing w:val="4"/>
            </w:rPr>
            <w:fldChar w:fldCharType="end"/>
          </w:r>
        </w:p>
        <w:p w14:paraId="2D6D82E3">
          <w:pPr>
            <w:pStyle w:val="2"/>
            <w:spacing w:before="165" w:line="223" w:lineRule="auto"/>
            <w:ind w:left="27"/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spacing w:val="4"/>
            </w:rPr>
            <w:t>一、收入支出决算总体情况说明</w:t>
          </w:r>
          <w:r>
            <w:rPr>
              <w:spacing w:val="4"/>
            </w:rPr>
            <w:fldChar w:fldCharType="end"/>
          </w:r>
        </w:p>
        <w:p w14:paraId="3C6D9C57">
          <w:pPr>
            <w:pStyle w:val="2"/>
            <w:spacing w:before="166" w:line="223" w:lineRule="auto"/>
            <w:ind w:left="25"/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spacing w:val="6"/>
            </w:rPr>
            <w:t>二、收入决算情况说明</w:t>
          </w:r>
          <w:r>
            <w:rPr>
              <w:spacing w:val="6"/>
            </w:rPr>
            <w:fldChar w:fldCharType="end"/>
          </w:r>
        </w:p>
        <w:p w14:paraId="0479FC9D">
          <w:pPr>
            <w:pStyle w:val="2"/>
            <w:spacing w:before="166" w:line="223" w:lineRule="auto"/>
            <w:ind w:left="31"/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spacing w:val="6"/>
            </w:rPr>
            <w:t>三、支出决算情况说明</w:t>
          </w:r>
          <w:r>
            <w:rPr>
              <w:spacing w:val="6"/>
            </w:rPr>
            <w:fldChar w:fldCharType="end"/>
          </w:r>
        </w:p>
      </w:sdtContent>
    </w:sdt>
    <w:p w14:paraId="1A93771F">
      <w:pPr>
        <w:pStyle w:val="2"/>
        <w:spacing w:before="165" w:line="223" w:lineRule="auto"/>
        <w:ind w:left="45"/>
      </w:pPr>
      <w:r>
        <w:rPr>
          <w:spacing w:val="6"/>
        </w:rPr>
        <w:t>四、财政拨款收入支出决算总体情况说明</w:t>
      </w:r>
    </w:p>
    <w:p w14:paraId="46C25F84">
      <w:pPr>
        <w:pStyle w:val="2"/>
        <w:spacing w:before="166" w:line="223" w:lineRule="auto"/>
        <w:ind w:left="19"/>
      </w:pPr>
      <w:r>
        <w:rPr>
          <w:spacing w:val="8"/>
        </w:rPr>
        <w:t>五、一般公共预算财政拨款支出决算情况说明</w:t>
      </w:r>
    </w:p>
    <w:p w14:paraId="113CBEFF">
      <w:pPr>
        <w:pStyle w:val="2"/>
        <w:spacing w:before="165" w:line="223" w:lineRule="auto"/>
        <w:ind w:left="21"/>
      </w:pPr>
      <w:r>
        <w:rPr>
          <w:spacing w:val="8"/>
        </w:rPr>
        <w:t>六、一般公共预算财政拨款基本支出决算情况说明</w:t>
      </w:r>
    </w:p>
    <w:p w14:paraId="03012DCD">
      <w:pPr>
        <w:pStyle w:val="2"/>
        <w:spacing w:before="166" w:line="223" w:lineRule="auto"/>
        <w:ind w:left="15"/>
      </w:pPr>
      <w:r>
        <w:rPr>
          <w:spacing w:val="6"/>
        </w:rPr>
        <w:t>七、一般公共预算财政拨款</w:t>
      </w:r>
      <w:r>
        <w:rPr>
          <w:rFonts w:ascii="Times New Roman" w:hAnsi="Times New Roman" w:eastAsia="Times New Roman" w:cs="Times New Roman"/>
          <w:spacing w:val="6"/>
        </w:rPr>
        <w:t>“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6"/>
        </w:rPr>
        <w:t>三公</w:t>
      </w:r>
      <w:r>
        <w:rPr>
          <w:rFonts w:ascii="Times New Roman" w:hAnsi="Times New Roman" w:eastAsia="Times New Roman" w:cs="Times New Roman"/>
          <w:spacing w:val="6"/>
        </w:rPr>
        <w:t>”</w:t>
      </w:r>
      <w:r>
        <w:rPr>
          <w:rFonts w:ascii="Times New Roman" w:hAnsi="Times New Roman" w:eastAsia="Times New Roman" w:cs="Times New Roman"/>
          <w:spacing w:val="-57"/>
        </w:rPr>
        <w:t xml:space="preserve"> </w:t>
      </w:r>
      <w:r>
        <w:rPr>
          <w:spacing w:val="6"/>
        </w:rPr>
        <w:t>经费支出决算情况说明</w:t>
      </w:r>
    </w:p>
    <w:p w14:paraId="5C964FAC">
      <w:pPr>
        <w:pStyle w:val="2"/>
        <w:spacing w:before="167" w:line="221" w:lineRule="auto"/>
        <w:ind w:left="14"/>
      </w:pPr>
      <w:r>
        <w:rPr>
          <w:spacing w:val="9"/>
        </w:rPr>
        <w:t>八、政府性基金预算财政拨款收入支出决算情况说明</w:t>
      </w:r>
    </w:p>
    <w:p w14:paraId="36B3FFBE">
      <w:pPr>
        <w:pStyle w:val="2"/>
        <w:spacing w:before="168" w:line="223" w:lineRule="auto"/>
        <w:ind w:left="11"/>
      </w:pPr>
      <w:r>
        <w:rPr>
          <w:spacing w:val="9"/>
        </w:rPr>
        <w:t>九、国有资本经营预算财政拨款收入支出决算情况说明</w:t>
      </w:r>
    </w:p>
    <w:sdt>
      <w:sdtPr>
        <w:rPr>
          <w:rFonts w:ascii="仿宋" w:hAnsi="仿宋" w:eastAsia="仿宋" w:cs="仿宋"/>
          <w:sz w:val="31"/>
          <w:szCs w:val="31"/>
        </w:rPr>
        <w:id w:val="147473657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27371919">
          <w:pPr>
            <w:pStyle w:val="2"/>
            <w:spacing w:before="165" w:line="223" w:lineRule="auto"/>
            <w:ind w:left="21"/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spacing w:val="7"/>
            </w:rPr>
            <w:t>十、其他重要事项的情况说明</w:t>
          </w:r>
          <w:r>
            <w:rPr>
              <w:spacing w:val="7"/>
            </w:rPr>
            <w:fldChar w:fldCharType="end"/>
          </w:r>
        </w:p>
        <w:p w14:paraId="4CCC4526">
          <w:pPr>
            <w:pStyle w:val="2"/>
            <w:spacing w:before="166" w:line="222" w:lineRule="auto"/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spacing w:val="1"/>
            </w:rPr>
            <w:t>（</w:t>
          </w:r>
          <w:r>
            <w:rPr>
              <w:spacing w:val="-68"/>
            </w:rPr>
            <w:t xml:space="preserve"> </w:t>
          </w:r>
          <w:r>
            <w:rPr>
              <w:spacing w:val="1"/>
            </w:rPr>
            <w:t>一）机关运行经费支出情况</w:t>
          </w:r>
          <w:r>
            <w:rPr>
              <w:spacing w:val="1"/>
            </w:rPr>
            <w:fldChar w:fldCharType="end"/>
          </w:r>
        </w:p>
        <w:p w14:paraId="0BA7A0DE">
          <w:pPr>
            <w:pStyle w:val="2"/>
            <w:spacing w:before="167" w:line="224" w:lineRule="auto"/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spacing w:val="6"/>
            </w:rPr>
            <w:t>（二）政府采购情况</w:t>
          </w:r>
          <w:r>
            <w:rPr>
              <w:spacing w:val="6"/>
            </w:rPr>
            <w:fldChar w:fldCharType="end"/>
          </w:r>
        </w:p>
        <w:p w14:paraId="59D63A66">
          <w:pPr>
            <w:pStyle w:val="2"/>
            <w:spacing w:before="164" w:line="224" w:lineRule="auto"/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spacing w:val="6"/>
            </w:rPr>
            <w:t>（三）国有资产占用情况说明</w:t>
          </w:r>
          <w:r>
            <w:rPr>
              <w:spacing w:val="6"/>
            </w:rPr>
            <w:fldChar w:fldCharType="end"/>
          </w:r>
        </w:p>
        <w:p w14:paraId="738011A8">
          <w:pPr>
            <w:pStyle w:val="2"/>
            <w:spacing w:before="164" w:line="223" w:lineRule="auto"/>
            <w:ind w:left="21"/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spacing w:val="6"/>
            </w:rPr>
            <w:t>十一、预算绩效的情况说明</w:t>
          </w:r>
          <w:r>
            <w:rPr>
              <w:spacing w:val="6"/>
            </w:rPr>
            <w:fldChar w:fldCharType="end"/>
          </w:r>
        </w:p>
        <w:p w14:paraId="6D448916">
          <w:pPr>
            <w:pStyle w:val="2"/>
            <w:spacing w:before="166" w:line="224" w:lineRule="auto"/>
            <w:ind w:left="24"/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b/>
              <w:bCs/>
              <w:spacing w:val="3"/>
            </w:rPr>
            <w:t>第三部分</w:t>
          </w:r>
          <w:r>
            <w:rPr>
              <w:spacing w:val="3"/>
            </w:rPr>
            <w:t xml:space="preserve"> </w:t>
          </w:r>
          <w:r>
            <w:rPr>
              <w:b/>
              <w:bCs/>
              <w:spacing w:val="3"/>
            </w:rPr>
            <w:t>专业名词解释</w:t>
          </w:r>
          <w:r>
            <w:rPr>
              <w:b/>
              <w:bCs/>
              <w:spacing w:val="3"/>
            </w:rPr>
            <w:fldChar w:fldCharType="end"/>
          </w:r>
        </w:p>
      </w:sdtContent>
    </w:sdt>
    <w:p w14:paraId="19B52CC3">
      <w:pPr>
        <w:pStyle w:val="2"/>
        <w:spacing w:before="164" w:line="223" w:lineRule="auto"/>
        <w:ind w:left="24"/>
      </w:pPr>
      <w:r>
        <w:rPr>
          <w:b/>
          <w:bCs/>
          <w:spacing w:val="4"/>
        </w:rPr>
        <w:t>第四部分</w:t>
      </w:r>
      <w:r>
        <w:rPr>
          <w:spacing w:val="4"/>
        </w:rPr>
        <w:t xml:space="preserve"> </w:t>
      </w:r>
      <w:r>
        <w:rPr>
          <w:b/>
          <w:bCs/>
          <w:spacing w:val="4"/>
        </w:rPr>
        <w:t>部门决算报表（见附表）</w:t>
      </w:r>
    </w:p>
    <w:sdt>
      <w:sdtPr>
        <w:rPr>
          <w:rFonts w:ascii="仿宋" w:hAnsi="仿宋" w:eastAsia="仿宋" w:cs="仿宋"/>
          <w:sz w:val="31"/>
          <w:szCs w:val="31"/>
        </w:rPr>
        <w:id w:val="147465600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0434644A">
          <w:pPr>
            <w:pStyle w:val="2"/>
            <w:spacing w:before="165" w:line="223" w:lineRule="auto"/>
            <w:ind w:left="27"/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spacing w:val="-7"/>
            </w:rPr>
            <w:t>一、《收入支出决算总表》</w:t>
          </w:r>
          <w:r>
            <w:rPr>
              <w:spacing w:val="-7"/>
            </w:rPr>
            <w:fldChar w:fldCharType="end"/>
          </w:r>
        </w:p>
        <w:p w14:paraId="7BCFED31">
          <w:pPr>
            <w:pStyle w:val="2"/>
            <w:spacing w:before="166" w:line="223" w:lineRule="auto"/>
            <w:ind w:left="25"/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spacing w:val="-12"/>
            </w:rPr>
            <w:t>二、《收入决算表》</w:t>
          </w:r>
          <w:r>
            <w:rPr>
              <w:spacing w:val="-12"/>
            </w:rPr>
            <w:fldChar w:fldCharType="end"/>
          </w:r>
        </w:p>
        <w:p w14:paraId="725A0E6E">
          <w:pPr>
            <w:pStyle w:val="2"/>
            <w:spacing w:before="166" w:line="223" w:lineRule="auto"/>
            <w:ind w:left="31"/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spacing w:val="-13"/>
            </w:rPr>
            <w:t>三、《支出决算表》</w:t>
          </w:r>
          <w:r>
            <w:rPr>
              <w:spacing w:val="-13"/>
            </w:rPr>
            <w:fldChar w:fldCharType="end"/>
          </w:r>
        </w:p>
      </w:sdtContent>
    </w:sdt>
    <w:p w14:paraId="214003AD">
      <w:pPr>
        <w:spacing w:line="223" w:lineRule="auto"/>
        <w:sectPr>
          <w:pgSz w:w="12240" w:h="15840"/>
          <w:pgMar w:top="1346" w:right="1836" w:bottom="0" w:left="1805" w:header="0" w:footer="0" w:gutter="0"/>
          <w:cols w:space="720" w:num="1"/>
        </w:sectPr>
      </w:pPr>
    </w:p>
    <w:p w14:paraId="28909F6D">
      <w:pPr>
        <w:pStyle w:val="2"/>
        <w:spacing w:before="251" w:line="223" w:lineRule="auto"/>
        <w:ind w:left="33"/>
      </w:pPr>
      <w:r>
        <w:rPr>
          <w:spacing w:val="-4"/>
        </w:rPr>
        <w:t>四、《财政拨款收入支出决算总表》</w:t>
      </w:r>
    </w:p>
    <w:p w14:paraId="1F7FC7A3">
      <w:pPr>
        <w:pStyle w:val="2"/>
        <w:spacing w:before="165" w:line="223" w:lineRule="auto"/>
        <w:ind w:left="7"/>
      </w:pPr>
      <w:r>
        <w:rPr>
          <w:spacing w:val="-1"/>
        </w:rPr>
        <w:t>五、《一般公共预算财政拨款支出决算表》</w:t>
      </w:r>
    </w:p>
    <w:p w14:paraId="65DA0D2A">
      <w:pPr>
        <w:pStyle w:val="2"/>
        <w:spacing w:before="165" w:line="223" w:lineRule="auto"/>
        <w:ind w:left="9"/>
      </w:pPr>
      <w:r>
        <w:t>六、《一般公共预算财政拨款基本支出决算表》</w:t>
      </w:r>
    </w:p>
    <w:p w14:paraId="7CC0AC5E">
      <w:pPr>
        <w:pStyle w:val="2"/>
        <w:spacing w:before="165" w:line="223" w:lineRule="auto"/>
        <w:ind w:left="3"/>
      </w:pPr>
      <w:r>
        <w:t>七、《一般公共预算财政拨款</w:t>
      </w:r>
      <w:r>
        <w:rPr>
          <w:rFonts w:ascii="Times New Roman" w:hAnsi="Times New Roman" w:eastAsia="Times New Roman" w:cs="Times New Roman"/>
        </w:rPr>
        <w:t>“</w:t>
      </w:r>
      <w:r>
        <w:rPr>
          <w:rFonts w:ascii="Times New Roman" w:hAnsi="Times New Roman" w:eastAsia="Times New Roman" w:cs="Times New Roman"/>
          <w:spacing w:val="-42"/>
        </w:rPr>
        <w:t xml:space="preserve"> </w:t>
      </w:r>
      <w:r>
        <w:t>三公</w:t>
      </w:r>
      <w:r>
        <w:rPr>
          <w:rFonts w:ascii="Times New Roman" w:hAnsi="Times New Roman" w:eastAsia="Times New Roman" w:cs="Times New Roman"/>
        </w:rPr>
        <w:t>”</w:t>
      </w:r>
      <w:r>
        <w:rPr>
          <w:rFonts w:ascii="Times New Roman" w:hAnsi="Times New Roman" w:eastAsia="Times New Roman" w:cs="Times New Roman"/>
          <w:spacing w:val="-58"/>
        </w:rPr>
        <w:t xml:space="preserve"> </w:t>
      </w:r>
      <w:r>
        <w:t>经费支出决算表》</w:t>
      </w:r>
    </w:p>
    <w:p w14:paraId="5B56B67F">
      <w:pPr>
        <w:pStyle w:val="2"/>
        <w:spacing w:before="166" w:line="221" w:lineRule="auto"/>
        <w:ind w:left="2"/>
      </w:pPr>
      <w:r>
        <w:rPr>
          <w:spacing w:val="1"/>
        </w:rPr>
        <w:t>八、《政府性基金预算财政拨款收入支出决算表》</w:t>
      </w:r>
    </w:p>
    <w:p w14:paraId="1C7E473B">
      <w:pPr>
        <w:pStyle w:val="2"/>
        <w:spacing w:before="168" w:line="223" w:lineRule="auto"/>
      </w:pPr>
      <w:r>
        <w:rPr>
          <w:spacing w:val="2"/>
        </w:rPr>
        <w:t>九、《国有资本经营预算财政拨款收入支出决算</w:t>
      </w:r>
      <w:r>
        <w:rPr>
          <w:spacing w:val="1"/>
        </w:rPr>
        <w:t>表》</w:t>
      </w:r>
    </w:p>
    <w:p w14:paraId="5370066F">
      <w:pPr>
        <w:spacing w:line="223" w:lineRule="auto"/>
        <w:sectPr>
          <w:pgSz w:w="12240" w:h="15840"/>
          <w:pgMar w:top="1346" w:right="1836" w:bottom="0" w:left="1816" w:header="0" w:footer="0" w:gutter="0"/>
          <w:cols w:space="720" w:num="1"/>
        </w:sectPr>
      </w:pPr>
    </w:p>
    <w:p w14:paraId="7298D013">
      <w:pPr>
        <w:spacing w:before="143" w:line="224" w:lineRule="auto"/>
        <w:ind w:left="26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第一部分 部门单位概况</w:t>
      </w:r>
    </w:p>
    <w:p w14:paraId="26A0C9B8">
      <w:pPr>
        <w:spacing w:before="248" w:line="225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一、主要职能</w:t>
      </w:r>
    </w:p>
    <w:p w14:paraId="5FC40ED8">
      <w:pPr>
        <w:pStyle w:val="2"/>
        <w:spacing w:before="242" w:line="372" w:lineRule="auto"/>
        <w:ind w:left="5" w:right="77" w:firstLine="627"/>
      </w:pPr>
      <w:r>
        <w:t>（</w:t>
      </w:r>
      <w:r>
        <w:rPr>
          <w:spacing w:val="-73"/>
        </w:rPr>
        <w:t xml:space="preserve"> </w:t>
      </w:r>
      <w:r>
        <w:t>1）贯彻执行国家、自治区和乌鲁木齐市有关招商引资的</w:t>
      </w:r>
      <w:r>
        <w:rPr>
          <w:spacing w:val="9"/>
        </w:rPr>
        <w:t>方针、政策和法律、法规，起草有关地方性法规、规章草案和政策措施，组织编制招商引资发展规划及中、长期规划和年度</w:t>
      </w:r>
      <w:r>
        <w:rPr>
          <w:spacing w:val="6"/>
        </w:rPr>
        <w:t>计划，并会同有关部门指导、协调和组织实施。</w:t>
      </w:r>
    </w:p>
    <w:p w14:paraId="72C039EE">
      <w:pPr>
        <w:pStyle w:val="2"/>
        <w:spacing w:before="3" w:line="371" w:lineRule="auto"/>
        <w:ind w:left="7" w:right="77" w:firstLine="625"/>
      </w:pPr>
      <w:r>
        <w:rPr>
          <w:spacing w:val="3"/>
        </w:rPr>
        <w:t>（2）负责产业招商工作；组织、协调、推进重大招商引资</w:t>
      </w:r>
      <w:r>
        <w:rPr>
          <w:spacing w:val="9"/>
        </w:rPr>
        <w:t>和经济技术协作交流活动；组织、指导、协调和参与招商引资</w:t>
      </w:r>
      <w:r>
        <w:rPr>
          <w:spacing w:val="2"/>
        </w:rPr>
        <w:t>有关的会展、推介工作。</w:t>
      </w:r>
    </w:p>
    <w:p w14:paraId="6E4F1677">
      <w:pPr>
        <w:pStyle w:val="2"/>
        <w:spacing w:before="3" w:line="371" w:lineRule="auto"/>
        <w:ind w:left="3" w:right="111" w:firstLine="629"/>
      </w:pPr>
      <w:r>
        <w:rPr>
          <w:spacing w:val="-1"/>
        </w:rPr>
        <w:t>（</w:t>
      </w:r>
      <w:r>
        <w:rPr>
          <w:spacing w:val="-74"/>
        </w:rPr>
        <w:t xml:space="preserve"> </w:t>
      </w:r>
      <w:r>
        <w:rPr>
          <w:spacing w:val="-1"/>
        </w:rPr>
        <w:t>3）负责招商引资运行情况的监测、调研</w:t>
      </w:r>
      <w:r>
        <w:rPr>
          <w:spacing w:val="-2"/>
        </w:rPr>
        <w:t>、考核评价和综</w:t>
      </w:r>
      <w:r>
        <w:rPr>
          <w:spacing w:val="8"/>
        </w:rPr>
        <w:t>合分析，研究提出解决招商引资重大问题的建议。</w:t>
      </w:r>
    </w:p>
    <w:p w14:paraId="7503CC03">
      <w:pPr>
        <w:pStyle w:val="2"/>
        <w:spacing w:before="2" w:line="371" w:lineRule="auto"/>
        <w:ind w:left="3" w:firstLine="629"/>
      </w:pPr>
      <w:r>
        <w:rPr>
          <w:spacing w:val="-8"/>
        </w:rPr>
        <w:t>（</w:t>
      </w:r>
      <w:r>
        <w:rPr>
          <w:spacing w:val="-87"/>
        </w:rPr>
        <w:t xml:space="preserve"> </w:t>
      </w:r>
      <w:r>
        <w:rPr>
          <w:spacing w:val="-8"/>
        </w:rPr>
        <w:t>4）负责招商引资信息的收集、统计、分析、发布等工</w:t>
      </w:r>
      <w:r>
        <w:rPr>
          <w:spacing w:val="-9"/>
        </w:rPr>
        <w:t>作；</w:t>
      </w:r>
      <w:r>
        <w:rPr>
          <w:spacing w:val="6"/>
        </w:rPr>
        <w:t>定期公开招商引资投资导向目录，引导企业资金投向。</w:t>
      </w:r>
    </w:p>
    <w:p w14:paraId="5F8E2657">
      <w:pPr>
        <w:pStyle w:val="2"/>
        <w:spacing w:before="2" w:line="371" w:lineRule="auto"/>
        <w:ind w:left="5" w:right="114" w:firstLine="627"/>
      </w:pPr>
      <w:r>
        <w:rPr>
          <w:spacing w:val="2"/>
        </w:rPr>
        <w:t>（5）负责驻区企业联合会（商会）与市驻</w:t>
      </w:r>
      <w:r>
        <w:rPr>
          <w:spacing w:val="1"/>
        </w:rPr>
        <w:t>外地办事机构的</w:t>
      </w:r>
      <w:r>
        <w:rPr>
          <w:spacing w:val="2"/>
        </w:rPr>
        <w:t>招商引资业务协调。</w:t>
      </w:r>
    </w:p>
    <w:p w14:paraId="2154AA6E">
      <w:pPr>
        <w:pStyle w:val="2"/>
        <w:spacing w:before="3" w:line="371" w:lineRule="auto"/>
        <w:ind w:right="99" w:firstLine="632"/>
      </w:pPr>
      <w:r>
        <w:rPr>
          <w:spacing w:val="2"/>
        </w:rPr>
        <w:t>（6）负责招商引资项目实施情况的跟踪、督促、落实、协</w:t>
      </w:r>
      <w:r>
        <w:rPr>
          <w:spacing w:val="4"/>
        </w:rPr>
        <w:t>调和服务。</w:t>
      </w:r>
    </w:p>
    <w:p w14:paraId="21824BC6">
      <w:pPr>
        <w:pStyle w:val="2"/>
        <w:spacing w:before="1" w:line="222" w:lineRule="auto"/>
        <w:ind w:left="632"/>
      </w:pPr>
      <w:r>
        <w:rPr>
          <w:spacing w:val="3"/>
        </w:rPr>
        <w:t>（</w:t>
      </w:r>
      <w:r>
        <w:rPr>
          <w:spacing w:val="-68"/>
        </w:rPr>
        <w:t xml:space="preserve"> </w:t>
      </w:r>
      <w:r>
        <w:rPr>
          <w:spacing w:val="3"/>
        </w:rPr>
        <w:t>7）承办区委、区人民政府交办的其他事项。</w:t>
      </w:r>
    </w:p>
    <w:p w14:paraId="48F46DAB">
      <w:pPr>
        <w:spacing w:before="249" w:line="224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二、机构设置及人员情况</w:t>
      </w:r>
    </w:p>
    <w:p w14:paraId="4814E523">
      <w:pPr>
        <w:pStyle w:val="2"/>
        <w:spacing w:before="249" w:line="371" w:lineRule="auto"/>
        <w:ind w:left="2" w:right="68" w:firstLine="651"/>
      </w:pPr>
      <w:r>
        <w:rPr>
          <w:spacing w:val="14"/>
        </w:rPr>
        <w:t>乌鲁木齐市沙依巴克区招商服务局2021年度，实有人数7</w:t>
      </w:r>
      <w:r>
        <w:rPr>
          <w:spacing w:val="7"/>
        </w:rPr>
        <w:t>人，其中：在职人员7人，离休人员0人，退休人员0人。</w:t>
      </w:r>
    </w:p>
    <w:p w14:paraId="0FBD45C4">
      <w:pPr>
        <w:spacing w:line="371" w:lineRule="auto"/>
        <w:sectPr>
          <w:pgSz w:w="12240" w:h="15840"/>
          <w:pgMar w:top="1346" w:right="1728" w:bottom="0" w:left="1812" w:header="0" w:footer="0" w:gutter="0"/>
          <w:cols w:space="720" w:num="1"/>
        </w:sectPr>
      </w:pPr>
    </w:p>
    <w:p w14:paraId="49A1165E">
      <w:pPr>
        <w:pStyle w:val="2"/>
        <w:spacing w:before="142" w:line="372" w:lineRule="auto"/>
        <w:ind w:right="102" w:firstLine="653"/>
        <w:jc w:val="both"/>
      </w:pPr>
      <w:r>
        <w:rPr>
          <w:spacing w:val="6"/>
        </w:rPr>
        <w:t>从部门决算单位构成看，</w:t>
      </w:r>
      <w:r>
        <w:rPr>
          <w:spacing w:val="-83"/>
        </w:rPr>
        <w:t xml:space="preserve"> </w:t>
      </w:r>
      <w:r>
        <w:rPr>
          <w:spacing w:val="6"/>
        </w:rPr>
        <w:t>乌鲁木齐市沙依巴克区招商服务</w:t>
      </w:r>
      <w:r>
        <w:rPr>
          <w:spacing w:val="8"/>
        </w:rPr>
        <w:t>局部门决算包括：乌鲁木齐市沙依巴克区招商服务局决算。单</w:t>
      </w:r>
      <w:r>
        <w:rPr>
          <w:spacing w:val="6"/>
        </w:rPr>
        <w:t>位无下属预算单位，下设1个科室，分别是：</w:t>
      </w:r>
      <w:r>
        <w:rPr>
          <w:spacing w:val="-84"/>
        </w:rPr>
        <w:t xml:space="preserve"> </w:t>
      </w:r>
      <w:r>
        <w:rPr>
          <w:spacing w:val="6"/>
        </w:rPr>
        <w:t>办公室。</w:t>
      </w:r>
    </w:p>
    <w:p w14:paraId="5EF11315">
      <w:pPr>
        <w:spacing w:before="99" w:line="224" w:lineRule="auto"/>
        <w:ind w:left="23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第二部分 部门决算情况说明</w:t>
      </w:r>
    </w:p>
    <w:p w14:paraId="2DD70967">
      <w:pPr>
        <w:spacing w:before="279" w:line="224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一、收入支出决算总体情况说明</w:t>
      </w:r>
    </w:p>
    <w:p w14:paraId="6EBFF44A">
      <w:pPr>
        <w:pStyle w:val="2"/>
        <w:spacing w:before="245" w:line="372" w:lineRule="auto"/>
        <w:ind w:firstLine="658"/>
        <w:jc w:val="both"/>
      </w:pPr>
      <w:r>
        <w:rPr>
          <w:spacing w:val="7"/>
        </w:rPr>
        <w:t>2021年度本年收入96.75万元，与上年相比，增加59.89万</w:t>
      </w:r>
      <w:r>
        <w:rPr>
          <w:spacing w:val="-3"/>
        </w:rPr>
        <w:t>元，增长162.52%，主要原因是：本年单</w:t>
      </w:r>
      <w:r>
        <w:rPr>
          <w:spacing w:val="-4"/>
        </w:rPr>
        <w:t>位人员增加，人员经费、</w:t>
      </w:r>
      <w:r>
        <w:rPr>
          <w:spacing w:val="14"/>
        </w:rPr>
        <w:t>工资福利等收入增加，导致收入较上年增加。本年支出92.49</w:t>
      </w:r>
      <w:r>
        <w:rPr>
          <w:spacing w:val="8"/>
        </w:rPr>
        <w:t>万元，与上年相比，增加56.49万元，增长156.92%，</w:t>
      </w:r>
      <w:r>
        <w:rPr>
          <w:spacing w:val="7"/>
        </w:rPr>
        <w:t>主要原因</w:t>
      </w:r>
      <w:r>
        <w:rPr>
          <w:spacing w:val="8"/>
        </w:rPr>
        <w:t>是：本年单位人员增加，人员经费、工资福利等支出增加，导</w:t>
      </w:r>
      <w:r>
        <w:rPr>
          <w:spacing w:val="7"/>
        </w:rPr>
        <w:t>致支出较上年增加。</w:t>
      </w:r>
    </w:p>
    <w:p w14:paraId="36F47574">
      <w:pPr>
        <w:spacing w:line="223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二、收入决算情况说明</w:t>
      </w:r>
    </w:p>
    <w:p w14:paraId="192CF2AB">
      <w:pPr>
        <w:pStyle w:val="2"/>
        <w:spacing w:before="247" w:line="372" w:lineRule="auto"/>
        <w:ind w:left="12" w:right="93" w:firstLine="645"/>
        <w:jc w:val="both"/>
      </w:pPr>
      <w:r>
        <w:rPr>
          <w:spacing w:val="7"/>
        </w:rPr>
        <w:t>2021年度本年收入96.75万元，其中：财政拨款收入96.72</w:t>
      </w:r>
      <w:r>
        <w:rPr>
          <w:spacing w:val="3"/>
        </w:rPr>
        <w:t>万元，占99.97%；上级补助收入0.00万</w:t>
      </w:r>
      <w:r>
        <w:rPr>
          <w:spacing w:val="2"/>
        </w:rPr>
        <w:t>元，占0.00%；事业收入</w:t>
      </w:r>
      <w:r>
        <w:rPr>
          <w:spacing w:val="7"/>
        </w:rPr>
        <w:t>0.00万元，占0.00%；经营收入0.00万元，占0.00%</w:t>
      </w:r>
      <w:r>
        <w:rPr>
          <w:spacing w:val="6"/>
        </w:rPr>
        <w:t>；附属单位</w:t>
      </w:r>
      <w:r>
        <w:rPr>
          <w:spacing w:val="7"/>
        </w:rPr>
        <w:t>上缴收入0.00万元，占0.00%；其他收入0.</w:t>
      </w:r>
      <w:r>
        <w:rPr>
          <w:spacing w:val="6"/>
        </w:rPr>
        <w:t>03万元，占0.03%。</w:t>
      </w:r>
    </w:p>
    <w:p w14:paraId="12BB878D">
      <w:pPr>
        <w:spacing w:before="1" w:line="223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三、支出决算情况说明</w:t>
      </w:r>
    </w:p>
    <w:p w14:paraId="2D63E5DA">
      <w:pPr>
        <w:pStyle w:val="2"/>
        <w:spacing w:before="247" w:line="372" w:lineRule="auto"/>
        <w:ind w:left="22" w:right="11" w:firstLine="635"/>
        <w:jc w:val="both"/>
      </w:pPr>
      <w:r>
        <w:t>2021年度本年支出92.49万元，其中：基本支出92.49万</w:t>
      </w:r>
      <w:r>
        <w:rPr>
          <w:spacing w:val="-1"/>
        </w:rPr>
        <w:t>元，</w:t>
      </w:r>
      <w:r>
        <w:rPr>
          <w:spacing w:val="4"/>
        </w:rPr>
        <w:t>占100.00%；项目支出0.00万元，占0.00%；上缴上级支出</w:t>
      </w:r>
      <w:r>
        <w:rPr>
          <w:spacing w:val="-62"/>
        </w:rPr>
        <w:t xml:space="preserve"> </w:t>
      </w:r>
      <w:r>
        <w:rPr>
          <w:spacing w:val="4"/>
        </w:rPr>
        <w:t>0.</w:t>
      </w:r>
      <w:r>
        <w:rPr>
          <w:spacing w:val="3"/>
        </w:rPr>
        <w:t>00</w:t>
      </w:r>
      <w:r>
        <w:rPr>
          <w:spacing w:val="7"/>
        </w:rPr>
        <w:t>万元，占0.00%；经营支出0.00万元，占0.00%；对附属单位补</w:t>
      </w:r>
    </w:p>
    <w:p w14:paraId="7D03F3CD">
      <w:pPr>
        <w:spacing w:line="372" w:lineRule="auto"/>
        <w:sectPr>
          <w:pgSz w:w="12240" w:h="15840"/>
          <w:pgMar w:top="1346" w:right="1702" w:bottom="0" w:left="1807" w:header="0" w:footer="0" w:gutter="0"/>
          <w:cols w:space="720" w:num="1"/>
        </w:sectPr>
      </w:pPr>
    </w:p>
    <w:p w14:paraId="3330FBB6">
      <w:pPr>
        <w:pStyle w:val="2"/>
        <w:spacing w:before="144" w:line="224" w:lineRule="auto"/>
        <w:ind w:left="18"/>
      </w:pPr>
      <w:r>
        <w:rPr>
          <w:spacing w:val="5"/>
        </w:rPr>
        <w:t>助支出0.00万元，占0.00%。</w:t>
      </w:r>
    </w:p>
    <w:p w14:paraId="3CD3B964">
      <w:pPr>
        <w:spacing w:before="246" w:line="224" w:lineRule="auto"/>
        <w:ind w:left="66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四、财政拨款收入支出决算总体情况说明</w:t>
      </w:r>
    </w:p>
    <w:p w14:paraId="50242B22">
      <w:pPr>
        <w:pStyle w:val="2"/>
        <w:spacing w:before="245" w:line="372" w:lineRule="auto"/>
        <w:ind w:firstLine="656"/>
        <w:jc w:val="both"/>
      </w:pPr>
      <w:r>
        <w:rPr>
          <w:spacing w:val="-3"/>
        </w:rPr>
        <w:t>2021年度财政拨款收入96.72万元，与上年相比，增加59.87</w:t>
      </w:r>
      <w:r>
        <w:rPr>
          <w:spacing w:val="3"/>
        </w:rPr>
        <w:t>万元，增长162.47%，主要原因是：本年单位人员增加，人员经</w:t>
      </w:r>
      <w:r>
        <w:rPr>
          <w:spacing w:val="9"/>
        </w:rPr>
        <w:t>费、工资福利等收入增加，导致财政拨款收入增加。财政拨款</w:t>
      </w:r>
      <w:r>
        <w:rPr>
          <w:spacing w:val="5"/>
        </w:rPr>
        <w:t>支出92.48万元，与上年相比，增加56.49万元，增长156.96%，</w:t>
      </w:r>
      <w:r>
        <w:rPr>
          <w:spacing w:val="9"/>
        </w:rPr>
        <w:t>主要原因是：本年单位人员增加，人员经费、工资福利等支出</w:t>
      </w:r>
      <w:r>
        <w:rPr>
          <w:spacing w:val="8"/>
        </w:rPr>
        <w:t>增加，导致财政拨款支出增加。</w:t>
      </w:r>
    </w:p>
    <w:p w14:paraId="3E5469E6">
      <w:pPr>
        <w:pStyle w:val="2"/>
        <w:spacing w:before="7" w:line="371" w:lineRule="auto"/>
        <w:ind w:left="3" w:right="18" w:firstLine="658"/>
        <w:jc w:val="both"/>
      </w:pPr>
      <w:r>
        <w:rPr>
          <w:spacing w:val="8"/>
        </w:rPr>
        <w:t>与年初预算数相比情况：财政拨款收入年初预算</w:t>
      </w:r>
      <w:r>
        <w:rPr>
          <w:spacing w:val="7"/>
        </w:rPr>
        <w:t>数100.03</w:t>
      </w:r>
      <w:r>
        <w:rPr>
          <w:spacing w:val="5"/>
        </w:rPr>
        <w:t>万元，决算数96.72万元，预决算差异率-3.31%，主要原因是：</w:t>
      </w:r>
      <w:r>
        <w:rPr>
          <w:spacing w:val="9"/>
        </w:rPr>
        <w:t>本年单位公务用车破损严重，已停用，公务用车运行经费收入</w:t>
      </w:r>
      <w:r>
        <w:rPr>
          <w:spacing w:val="-2"/>
        </w:rPr>
        <w:t>较预算减少，导致预决算差异。财政拨款支出年初预算数100.03</w:t>
      </w:r>
      <w:r>
        <w:rPr>
          <w:spacing w:val="5"/>
        </w:rPr>
        <w:t>万元，决算数92.48万元，预决算差异率-7.55%，主要原因是：</w:t>
      </w:r>
      <w:r>
        <w:rPr>
          <w:spacing w:val="9"/>
        </w:rPr>
        <w:t>本年单位公务用车破损严重，已停用，公务用车运行经费支出</w:t>
      </w:r>
      <w:r>
        <w:rPr>
          <w:spacing w:val="8"/>
        </w:rPr>
        <w:t>较预算减少，导致预决算差异。</w:t>
      </w:r>
    </w:p>
    <w:p w14:paraId="1E110E47">
      <w:pPr>
        <w:spacing w:line="223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五、一般公共预算财政拨款支出决算情况说明</w:t>
      </w:r>
    </w:p>
    <w:p w14:paraId="4B26E6A9">
      <w:pPr>
        <w:pStyle w:val="2"/>
        <w:spacing w:before="248" w:line="372" w:lineRule="auto"/>
        <w:ind w:left="20" w:right="89" w:firstLine="636"/>
      </w:pPr>
      <w:r>
        <w:rPr>
          <w:spacing w:val="2"/>
        </w:rPr>
        <w:t>2021年度一般公共预算财政拨款支出92.48万元。按功能分</w:t>
      </w:r>
      <w:r>
        <w:rPr>
          <w:spacing w:val="3"/>
        </w:rPr>
        <w:t>类科目项级科目公开，其中：</w:t>
      </w:r>
    </w:p>
    <w:p w14:paraId="5D2F6CED">
      <w:pPr>
        <w:pStyle w:val="2"/>
        <w:spacing w:line="222" w:lineRule="auto"/>
        <w:ind w:left="656"/>
      </w:pPr>
      <w:r>
        <w:rPr>
          <w:spacing w:val="1"/>
        </w:rPr>
        <w:t>2011301行政运行38.22万元；</w:t>
      </w:r>
    </w:p>
    <w:p w14:paraId="71DED22C">
      <w:pPr>
        <w:pStyle w:val="2"/>
        <w:spacing w:before="252" w:line="222" w:lineRule="auto"/>
        <w:ind w:left="656"/>
      </w:pPr>
      <w:r>
        <w:rPr>
          <w:spacing w:val="1"/>
        </w:rPr>
        <w:t>2011350事业运行47.20万元；</w:t>
      </w:r>
    </w:p>
    <w:p w14:paraId="53F6E869">
      <w:pPr>
        <w:pStyle w:val="2"/>
        <w:spacing w:before="251" w:line="222" w:lineRule="auto"/>
        <w:ind w:left="656"/>
      </w:pPr>
      <w:r>
        <w:rPr>
          <w:spacing w:val="7"/>
        </w:rPr>
        <w:t>2080505机关事业单位基本养老保险缴费支出7.06</w:t>
      </w:r>
      <w:r>
        <w:rPr>
          <w:spacing w:val="6"/>
        </w:rPr>
        <w:t>万元。</w:t>
      </w:r>
    </w:p>
    <w:p w14:paraId="1860F7A7">
      <w:pPr>
        <w:spacing w:line="222" w:lineRule="auto"/>
        <w:sectPr>
          <w:pgSz w:w="12240" w:h="15840"/>
          <w:pgMar w:top="1346" w:right="1714" w:bottom="0" w:left="1809" w:header="0" w:footer="0" w:gutter="0"/>
          <w:cols w:space="720" w:num="1"/>
        </w:sectPr>
      </w:pPr>
    </w:p>
    <w:p w14:paraId="339FDAB3">
      <w:pPr>
        <w:spacing w:before="143" w:line="224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六、一般公共预算财政拨款基本支出决算情况说明</w:t>
      </w:r>
    </w:p>
    <w:p w14:paraId="3CA9DD93">
      <w:pPr>
        <w:pStyle w:val="2"/>
        <w:spacing w:before="247" w:line="372" w:lineRule="auto"/>
        <w:ind w:left="37" w:right="95" w:firstLine="615"/>
      </w:pPr>
      <w:r>
        <w:rPr>
          <w:spacing w:val="13"/>
        </w:rPr>
        <w:t>2021年度一般公共预算财政拨款基本支出92.48万元，其</w:t>
      </w:r>
      <w:r>
        <w:rPr>
          <w:spacing w:val="-31"/>
        </w:rPr>
        <w:t>中：</w:t>
      </w:r>
    </w:p>
    <w:p w14:paraId="7EE13F3E">
      <w:pPr>
        <w:pStyle w:val="2"/>
        <w:spacing w:before="4" w:line="371" w:lineRule="auto"/>
        <w:ind w:left="2" w:firstLine="640"/>
        <w:jc w:val="both"/>
      </w:pPr>
      <w:r>
        <w:rPr>
          <w:spacing w:val="6"/>
        </w:rPr>
        <w:t>人员经费85.62万元，包括：基本工资、津贴补贴、奖金、</w:t>
      </w:r>
      <w:r>
        <w:rPr>
          <w:spacing w:val="9"/>
        </w:rPr>
        <w:t>绩效工资、机关事业单位基本养老保险缴费、职工基本医疗保险缴费、公务员医疗补助缴费、其他社会保障缴费、住房公积</w:t>
      </w:r>
      <w:r>
        <w:rPr>
          <w:spacing w:val="-17"/>
        </w:rPr>
        <w:t>金。</w:t>
      </w:r>
    </w:p>
    <w:p w14:paraId="00A4056A">
      <w:pPr>
        <w:pStyle w:val="2"/>
        <w:spacing w:before="3" w:line="371" w:lineRule="auto"/>
        <w:ind w:right="99" w:firstLine="639"/>
        <w:jc w:val="both"/>
      </w:pPr>
      <w:r>
        <w:rPr>
          <w:spacing w:val="8"/>
        </w:rPr>
        <w:t>公用经费6.86万元，包括：办公费、印刷费、手续费、邮</w:t>
      </w:r>
      <w:r>
        <w:rPr>
          <w:spacing w:val="9"/>
        </w:rPr>
        <w:t>电费、差旅费、培训费、福利费、公务用车运行维护费、办公</w:t>
      </w:r>
      <w:r>
        <w:rPr>
          <w:spacing w:val="4"/>
        </w:rPr>
        <w:t>设备购置。</w:t>
      </w:r>
    </w:p>
    <w:p w14:paraId="7D0D3213">
      <w:pPr>
        <w:spacing w:line="223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七、一般公共预算财政拨款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“</w:t>
      </w:r>
      <w:r>
        <w:rPr>
          <w:rFonts w:ascii="黑体" w:hAnsi="黑体" w:eastAsia="黑体" w:cs="黑体"/>
          <w:spacing w:val="9"/>
          <w:sz w:val="31"/>
          <w:szCs w:val="31"/>
        </w:rPr>
        <w:t>三公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”</w:t>
      </w:r>
      <w:r>
        <w:rPr>
          <w:rFonts w:ascii="黑体" w:hAnsi="黑体" w:eastAsia="黑体" w:cs="黑体"/>
          <w:spacing w:val="9"/>
          <w:sz w:val="31"/>
          <w:szCs w:val="31"/>
        </w:rPr>
        <w:t>经费支出决算情况说明</w:t>
      </w:r>
    </w:p>
    <w:p w14:paraId="1E1824FF">
      <w:pPr>
        <w:pStyle w:val="2"/>
        <w:spacing w:before="243" w:line="372" w:lineRule="auto"/>
        <w:ind w:right="11" w:firstLine="653"/>
      </w:pPr>
      <w:r>
        <w:rPr>
          <w:spacing w:val="6"/>
        </w:rPr>
        <w:t>2021年度一般公共预算</w:t>
      </w:r>
      <w:r>
        <w:rPr>
          <w:rFonts w:ascii="Times New Roman" w:hAnsi="Times New Roman" w:eastAsia="Times New Roman" w:cs="Times New Roman"/>
          <w:spacing w:val="6"/>
        </w:rPr>
        <w:t>“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spacing w:val="6"/>
        </w:rPr>
        <w:t>三公</w:t>
      </w:r>
      <w:r>
        <w:rPr>
          <w:rFonts w:ascii="Times New Roman" w:hAnsi="Times New Roman" w:eastAsia="Times New Roman" w:cs="Times New Roman"/>
          <w:spacing w:val="6"/>
        </w:rPr>
        <w:t>”</w:t>
      </w:r>
      <w:r>
        <w:rPr>
          <w:rFonts w:ascii="Times New Roman" w:hAnsi="Times New Roman" w:eastAsia="Times New Roman" w:cs="Times New Roman"/>
          <w:spacing w:val="-55"/>
        </w:rPr>
        <w:t xml:space="preserve"> </w:t>
      </w:r>
      <w:r>
        <w:rPr>
          <w:spacing w:val="6"/>
        </w:rPr>
        <w:t>经费支出决算0.49万元，比</w:t>
      </w:r>
      <w:r>
        <w:rPr>
          <w:spacing w:val="5"/>
        </w:rPr>
        <w:t>上年减少1.12万元，降低69.57%，主要原因是：</w:t>
      </w:r>
      <w:r>
        <w:rPr>
          <w:spacing w:val="-63"/>
        </w:rPr>
        <w:t xml:space="preserve"> </w:t>
      </w:r>
      <w:r>
        <w:rPr>
          <w:spacing w:val="5"/>
        </w:rPr>
        <w:t>本年单位公务</w:t>
      </w:r>
      <w:r>
        <w:rPr>
          <w:spacing w:val="1"/>
        </w:rPr>
        <w:t>用车破损严重，已停用，公务用车运行维护费支出减少。其中：</w:t>
      </w:r>
      <w:r>
        <w:rPr>
          <w:spacing w:val="10"/>
        </w:rPr>
        <w:t>因公出国（境）费支出0.00万元，</w:t>
      </w:r>
      <w:r>
        <w:rPr>
          <w:spacing w:val="-66"/>
        </w:rPr>
        <w:t xml:space="preserve"> </w:t>
      </w:r>
      <w:r>
        <w:rPr>
          <w:spacing w:val="10"/>
        </w:rPr>
        <w:t>占0.00%，比上年增</w:t>
      </w:r>
      <w:r>
        <w:rPr>
          <w:spacing w:val="9"/>
        </w:rPr>
        <w:t>加0.00</w:t>
      </w:r>
      <w:r>
        <w:rPr>
          <w:spacing w:val="3"/>
        </w:rPr>
        <w:t>万元，增长0.00%，主要原因是：本年单位无因公出国（境）费</w:t>
      </w:r>
      <w:r>
        <w:rPr>
          <w:spacing w:val="6"/>
        </w:rPr>
        <w:t>支出；公务用车购置及运行维护费支出0.</w:t>
      </w:r>
      <w:r>
        <w:rPr>
          <w:spacing w:val="5"/>
        </w:rPr>
        <w:t>49万元，占100.00%，比上年减少1.12万元，降低69.57%，主要原因是：</w:t>
      </w:r>
      <w:r>
        <w:rPr>
          <w:spacing w:val="-61"/>
        </w:rPr>
        <w:t xml:space="preserve"> </w:t>
      </w:r>
      <w:r>
        <w:rPr>
          <w:spacing w:val="5"/>
        </w:rPr>
        <w:t>本年单位公</w:t>
      </w:r>
      <w:r>
        <w:rPr>
          <w:spacing w:val="9"/>
        </w:rPr>
        <w:t>务用车破损严重，已停用，公务用车运行维护费支出减少；公</w:t>
      </w:r>
      <w:r>
        <w:rPr>
          <w:spacing w:val="3"/>
        </w:rPr>
        <w:t>务接待费支出0.00万元，占0.00%，比上年增加0.00</w:t>
      </w:r>
      <w:r>
        <w:rPr>
          <w:spacing w:val="2"/>
        </w:rPr>
        <w:t>万元，增长</w:t>
      </w:r>
      <w:r>
        <w:rPr>
          <w:spacing w:val="5"/>
        </w:rPr>
        <w:t>0.00%，主要原因是：</w:t>
      </w:r>
      <w:r>
        <w:rPr>
          <w:spacing w:val="-63"/>
        </w:rPr>
        <w:t xml:space="preserve"> </w:t>
      </w:r>
      <w:r>
        <w:rPr>
          <w:spacing w:val="5"/>
        </w:rPr>
        <w:t>本年单位无此项支出。具体情况如下：</w:t>
      </w:r>
    </w:p>
    <w:p w14:paraId="542B4CB9">
      <w:pPr>
        <w:spacing w:line="372" w:lineRule="auto"/>
        <w:sectPr>
          <w:pgSz w:w="12240" w:h="15840"/>
          <w:pgMar w:top="1346" w:right="1704" w:bottom="0" w:left="1812" w:header="0" w:footer="0" w:gutter="0"/>
          <w:cols w:space="720" w:num="1"/>
        </w:sectPr>
      </w:pPr>
    </w:p>
    <w:p w14:paraId="49E56322">
      <w:pPr>
        <w:pStyle w:val="2"/>
        <w:spacing w:before="141" w:line="372" w:lineRule="auto"/>
        <w:ind w:left="3" w:right="159" w:firstLine="675"/>
        <w:jc w:val="both"/>
      </w:pPr>
      <w:r>
        <w:rPr>
          <w:spacing w:val="5"/>
        </w:rPr>
        <w:t>因公出国（境）</w:t>
      </w:r>
      <w:r>
        <w:rPr>
          <w:spacing w:val="-90"/>
        </w:rPr>
        <w:t xml:space="preserve"> </w:t>
      </w:r>
      <w:r>
        <w:rPr>
          <w:spacing w:val="5"/>
        </w:rPr>
        <w:t>费支出0.00万元，开支</w:t>
      </w:r>
      <w:r>
        <w:rPr>
          <w:spacing w:val="4"/>
        </w:rPr>
        <w:t>内容包括本年单位</w:t>
      </w:r>
      <w:r>
        <w:rPr>
          <w:spacing w:val="7"/>
        </w:rPr>
        <w:t>无因公出国（境）费支出。单位全年安排的因公出国（境）团</w:t>
      </w:r>
      <w:r>
        <w:rPr>
          <w:spacing w:val="3"/>
        </w:rPr>
        <w:t>组0个，因公出国（境）</w:t>
      </w:r>
      <w:r>
        <w:rPr>
          <w:spacing w:val="-90"/>
        </w:rPr>
        <w:t xml:space="preserve"> </w:t>
      </w:r>
      <w:r>
        <w:rPr>
          <w:spacing w:val="3"/>
        </w:rPr>
        <w:t>0人次。</w:t>
      </w:r>
    </w:p>
    <w:p w14:paraId="38C8E596">
      <w:pPr>
        <w:pStyle w:val="2"/>
        <w:spacing w:before="3" w:line="371" w:lineRule="auto"/>
        <w:ind w:left="9" w:right="157" w:firstLine="629"/>
        <w:jc w:val="both"/>
      </w:pPr>
      <w:r>
        <w:rPr>
          <w:spacing w:val="8"/>
        </w:rPr>
        <w:t>公务用车购置及运行维护费0.49万元，其中：公务用车购置费0.00万元，公务用车运行维护费0.49万元。</w:t>
      </w:r>
      <w:r>
        <w:rPr>
          <w:spacing w:val="7"/>
        </w:rPr>
        <w:t>公务用车运行</w:t>
      </w:r>
      <w:r>
        <w:rPr>
          <w:spacing w:val="9"/>
        </w:rPr>
        <w:t>维护费开支内容包括公务用车燃油费、车辆维修维护费、保险</w:t>
      </w:r>
      <w:r>
        <w:rPr>
          <w:spacing w:val="7"/>
        </w:rPr>
        <w:t>费、过路费等。公务用车购置数0辆，公务用车保有量1辆。</w:t>
      </w:r>
    </w:p>
    <w:p w14:paraId="3F245E8C">
      <w:pPr>
        <w:pStyle w:val="2"/>
        <w:spacing w:line="372" w:lineRule="auto"/>
        <w:ind w:left="7" w:right="64" w:firstLine="631"/>
      </w:pPr>
      <w:r>
        <w:t>公务接待费0.00万元，开支内容包括本年单位无此项支出。</w:t>
      </w:r>
      <w:r>
        <w:rPr>
          <w:spacing w:val="5"/>
        </w:rPr>
        <w:t>单位全年安排的国内公务接待0批次，0人次。</w:t>
      </w:r>
    </w:p>
    <w:p w14:paraId="077BDDE2">
      <w:pPr>
        <w:pStyle w:val="2"/>
        <w:spacing w:before="7" w:line="371" w:lineRule="auto"/>
        <w:ind w:firstLine="658"/>
        <w:jc w:val="both"/>
      </w:pPr>
      <w:r>
        <w:rPr>
          <w:spacing w:val="13"/>
        </w:rPr>
        <w:t>与年初预算数相比情况:一般公共预算</w:t>
      </w:r>
      <w:r>
        <w:rPr>
          <w:rFonts w:ascii="Times New Roman" w:hAnsi="Times New Roman" w:eastAsia="Times New Roman" w:cs="Times New Roman"/>
          <w:spacing w:val="13"/>
        </w:rPr>
        <w:t>“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13"/>
        </w:rPr>
        <w:t>三公</w:t>
      </w:r>
      <w:r>
        <w:rPr>
          <w:rFonts w:ascii="Times New Roman" w:hAnsi="Times New Roman" w:eastAsia="Times New Roman" w:cs="Times New Roman"/>
          <w:spacing w:val="13"/>
        </w:rPr>
        <w:t>”</w:t>
      </w:r>
      <w:r>
        <w:rPr>
          <w:rFonts w:ascii="Times New Roman" w:hAnsi="Times New Roman" w:eastAsia="Times New Roman" w:cs="Times New Roman"/>
          <w:spacing w:val="-55"/>
        </w:rPr>
        <w:t xml:space="preserve"> </w:t>
      </w:r>
      <w:r>
        <w:rPr>
          <w:spacing w:val="13"/>
        </w:rPr>
        <w:t>经费支出年</w:t>
      </w:r>
      <w:r>
        <w:rPr>
          <w:spacing w:val="7"/>
        </w:rPr>
        <w:t>初预算数2.08万元，决算数0.49万元，预决算差异率-76.44%，</w:t>
      </w:r>
      <w:r>
        <w:rPr>
          <w:spacing w:val="9"/>
        </w:rPr>
        <w:t>主要原因是：本年单位公务用车破损严重，已停用，公务用车</w:t>
      </w:r>
      <w:r>
        <w:rPr>
          <w:spacing w:val="3"/>
        </w:rPr>
        <w:t>运行维护费支出减少，导致预决算差异。其中：因公出国（境）</w:t>
      </w:r>
      <w:r>
        <w:rPr>
          <w:spacing w:val="2"/>
        </w:rPr>
        <w:t>费预算数0.00万元，决算数0.00万元，预决算差异率0.00%，主</w:t>
      </w:r>
      <w:r>
        <w:rPr>
          <w:spacing w:val="6"/>
        </w:rPr>
        <w:t>要原因是：本年单位无因公出国（境）费支出；</w:t>
      </w:r>
      <w:r>
        <w:rPr>
          <w:spacing w:val="-67"/>
        </w:rPr>
        <w:t xml:space="preserve"> </w:t>
      </w:r>
      <w:r>
        <w:rPr>
          <w:spacing w:val="6"/>
        </w:rPr>
        <w:t>公务用车购置</w:t>
      </w:r>
      <w:r>
        <w:rPr>
          <w:spacing w:val="2"/>
        </w:rPr>
        <w:t>费预算数0.00万元，决算数0.00万元，预决算差异率0.00%，主</w:t>
      </w:r>
      <w:r>
        <w:rPr>
          <w:spacing w:val="9"/>
        </w:rPr>
        <w:t>要原因是：本年单位无此项支出；公务用车运行费</w:t>
      </w:r>
      <w:r>
        <w:rPr>
          <w:spacing w:val="8"/>
        </w:rPr>
        <w:t>预算数2.08</w:t>
      </w:r>
    </w:p>
    <w:p w14:paraId="4B08625E">
      <w:pPr>
        <w:pStyle w:val="2"/>
        <w:spacing w:before="6" w:line="371" w:lineRule="auto"/>
        <w:ind w:right="84" w:firstLine="17"/>
        <w:jc w:val="both"/>
      </w:pPr>
      <w:r>
        <w:rPr>
          <w:spacing w:val="5"/>
        </w:rPr>
        <w:t>万元，决算数0.49万元，预决算差异率-7</w:t>
      </w:r>
      <w:r>
        <w:rPr>
          <w:spacing w:val="4"/>
        </w:rPr>
        <w:t>6.44%，主要原因是：</w:t>
      </w:r>
      <w:r>
        <w:rPr>
          <w:spacing w:val="9"/>
        </w:rPr>
        <w:t>本年单位公务用车破损严重，已停用，公务用车运行维护费支出减少，导致预决算差异；公务接待费预算数</w:t>
      </w:r>
      <w:r>
        <w:rPr>
          <w:spacing w:val="8"/>
        </w:rPr>
        <w:t>0.00万元，决算</w:t>
      </w:r>
      <w:r>
        <w:rPr>
          <w:spacing w:val="3"/>
        </w:rPr>
        <w:t>数0.00万元，预决算差异率0.00%，主要原因是：本年单位无此</w:t>
      </w:r>
    </w:p>
    <w:p w14:paraId="02B64524">
      <w:pPr>
        <w:spacing w:line="371" w:lineRule="auto"/>
        <w:sectPr>
          <w:pgSz w:w="12240" w:h="15840"/>
          <w:pgMar w:top="1346" w:right="1644" w:bottom="0" w:left="1812" w:header="0" w:footer="0" w:gutter="0"/>
          <w:cols w:space="720" w:num="1"/>
        </w:sectPr>
      </w:pPr>
    </w:p>
    <w:p w14:paraId="3F362C72">
      <w:pPr>
        <w:pStyle w:val="2"/>
        <w:spacing w:before="143" w:line="225" w:lineRule="auto"/>
      </w:pPr>
      <w:r>
        <w:rPr>
          <w:spacing w:val="2"/>
        </w:rPr>
        <w:t>项支出。</w:t>
      </w:r>
    </w:p>
    <w:p w14:paraId="0B859D59">
      <w:pPr>
        <w:spacing w:before="245" w:line="224" w:lineRule="auto"/>
        <w:ind w:left="63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八、政府性基金预算财政拨款收入支出决算情况说明</w:t>
      </w:r>
    </w:p>
    <w:p w14:paraId="07F3FC68">
      <w:pPr>
        <w:pStyle w:val="2"/>
        <w:spacing w:before="250" w:line="371" w:lineRule="auto"/>
        <w:ind w:left="2" w:right="4" w:firstLine="651"/>
      </w:pPr>
      <w:r>
        <w:rPr>
          <w:spacing w:val="8"/>
        </w:rPr>
        <w:t>我单位本年度无政府性基金预算财政拨款收入支出，政府</w:t>
      </w:r>
      <w:r>
        <w:rPr>
          <w:spacing w:val="6"/>
        </w:rPr>
        <w:t>性基金预算财政拨款收入支出决算表为空表。</w:t>
      </w:r>
    </w:p>
    <w:p w14:paraId="013F02CF">
      <w:pPr>
        <w:spacing w:before="1" w:line="223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九、国有资本经营预算财政拨款收入支出决算情</w:t>
      </w:r>
      <w:r>
        <w:rPr>
          <w:rFonts w:ascii="黑体" w:hAnsi="黑体" w:eastAsia="黑体" w:cs="黑体"/>
          <w:spacing w:val="8"/>
          <w:sz w:val="31"/>
          <w:szCs w:val="31"/>
        </w:rPr>
        <w:t>况说明</w:t>
      </w:r>
    </w:p>
    <w:p w14:paraId="3069F6BA">
      <w:pPr>
        <w:pStyle w:val="2"/>
        <w:spacing w:before="247" w:line="372" w:lineRule="auto"/>
        <w:ind w:left="3" w:right="4" w:firstLine="650"/>
      </w:pPr>
      <w:r>
        <w:rPr>
          <w:spacing w:val="8"/>
        </w:rPr>
        <w:t>我单位本年度无国有资本经营预算财政拨款收入支出，国有资本经营预算财政拨款收入支出决算表为空表。</w:t>
      </w:r>
    </w:p>
    <w:p w14:paraId="25921D1D">
      <w:pPr>
        <w:spacing w:before="1" w:line="223" w:lineRule="auto"/>
        <w:ind w:left="6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十、其他重要事项的情况说明</w:t>
      </w:r>
    </w:p>
    <w:p w14:paraId="04D08C07">
      <w:pPr>
        <w:spacing w:before="249" w:line="224" w:lineRule="auto"/>
        <w:ind w:left="66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（一）机关运行经费支出情况</w:t>
      </w:r>
    </w:p>
    <w:p w14:paraId="11AF6544">
      <w:pPr>
        <w:pStyle w:val="2"/>
        <w:spacing w:before="246" w:line="372" w:lineRule="auto"/>
        <w:ind w:left="3" w:right="4" w:firstLine="645"/>
        <w:jc w:val="both"/>
      </w:pPr>
      <w:r>
        <w:rPr>
          <w:spacing w:val="8"/>
        </w:rPr>
        <w:t>2021年度乌鲁木齐市沙依巴克区招商服务局单位机关运行</w:t>
      </w:r>
      <w:r>
        <w:rPr>
          <w:spacing w:val="2"/>
        </w:rPr>
        <w:t>经费支出6.86万元，比上年增加3.85万元，增长127.91%，主要</w:t>
      </w:r>
      <w:r>
        <w:rPr>
          <w:spacing w:val="6"/>
        </w:rPr>
        <w:t>原因是：本年办公费、差旅费支出较上年增加。</w:t>
      </w:r>
    </w:p>
    <w:p w14:paraId="2FD35203">
      <w:pPr>
        <w:spacing w:before="1" w:line="225" w:lineRule="auto"/>
        <w:ind w:left="66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（二）政府采购情况</w:t>
      </w:r>
    </w:p>
    <w:p w14:paraId="3D7721C5">
      <w:pPr>
        <w:pStyle w:val="2"/>
        <w:spacing w:before="244" w:line="372" w:lineRule="auto"/>
        <w:ind w:left="3" w:right="2" w:firstLine="645"/>
        <w:jc w:val="both"/>
      </w:pPr>
      <w:r>
        <w:rPr>
          <w:spacing w:val="7"/>
        </w:rPr>
        <w:t>2021年度政府采购支出总额1.16万元，其中：政府采购货</w:t>
      </w:r>
      <w:r>
        <w:rPr>
          <w:spacing w:val="8"/>
        </w:rPr>
        <w:t>物支出1.16万元、政府采购工程支出0.00万元、政府</w:t>
      </w:r>
      <w:r>
        <w:rPr>
          <w:spacing w:val="7"/>
        </w:rPr>
        <w:t>采购服务</w:t>
      </w:r>
      <w:r>
        <w:rPr>
          <w:spacing w:val="-1"/>
        </w:rPr>
        <w:t>支出0.00万元。</w:t>
      </w:r>
    </w:p>
    <w:p w14:paraId="41993547">
      <w:pPr>
        <w:pStyle w:val="2"/>
        <w:spacing w:before="3" w:line="371" w:lineRule="auto"/>
        <w:ind w:left="18" w:firstLine="615"/>
        <w:jc w:val="both"/>
      </w:pPr>
      <w:r>
        <w:rPr>
          <w:spacing w:val="8"/>
        </w:rPr>
        <w:t>授予中小企业合同金额0.00万元，占政府采购支出总额的</w:t>
      </w:r>
      <w:r>
        <w:rPr>
          <w:spacing w:val="2"/>
        </w:rPr>
        <w:t>0.00%，其中：授予小微企业合同金额0.00万元，占政府采购支出总额的0.00%。</w:t>
      </w:r>
    </w:p>
    <w:p w14:paraId="78010F4C">
      <w:pPr>
        <w:spacing w:before="1" w:line="223" w:lineRule="auto"/>
        <w:ind w:left="66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（三）国有资产占用情况说明</w:t>
      </w:r>
    </w:p>
    <w:p w14:paraId="2902AA11">
      <w:pPr>
        <w:pStyle w:val="2"/>
        <w:spacing w:before="249" w:line="222" w:lineRule="auto"/>
        <w:ind w:right="14"/>
        <w:jc w:val="right"/>
      </w:pPr>
      <w:r>
        <w:rPr>
          <w:spacing w:val="7"/>
        </w:rPr>
        <w:t>截</w:t>
      </w:r>
      <w:r>
        <w:rPr>
          <w:rFonts w:hint="eastAsia"/>
          <w:spacing w:val="7"/>
          <w:lang w:val="en-US" w:eastAsia="zh-CN"/>
        </w:rPr>
        <w:t>至</w:t>
      </w:r>
      <w:r>
        <w:rPr>
          <w:spacing w:val="7"/>
        </w:rPr>
        <w:t>2021年</w:t>
      </w:r>
      <w:bookmarkStart w:id="0" w:name="_GoBack"/>
      <w:bookmarkEnd w:id="0"/>
      <w:r>
        <w:rPr>
          <w:spacing w:val="7"/>
        </w:rPr>
        <w:t>12月31日，单位共有房屋0.00（平方米</w:t>
      </w:r>
      <w:r>
        <w:rPr>
          <w:spacing w:val="5"/>
        </w:rPr>
        <w:t>），</w:t>
      </w:r>
      <w:r>
        <w:rPr>
          <w:spacing w:val="7"/>
        </w:rPr>
        <w:t>价</w:t>
      </w:r>
    </w:p>
    <w:p w14:paraId="484E3411">
      <w:pPr>
        <w:spacing w:line="222" w:lineRule="auto"/>
        <w:sectPr>
          <w:pgSz w:w="12240" w:h="15840"/>
          <w:pgMar w:top="1346" w:right="1801" w:bottom="0" w:left="1816" w:header="0" w:footer="0" w:gutter="0"/>
          <w:cols w:space="720" w:num="1"/>
        </w:sectPr>
      </w:pPr>
    </w:p>
    <w:p w14:paraId="5D790A8F">
      <w:pPr>
        <w:pStyle w:val="2"/>
        <w:spacing w:before="140" w:line="372" w:lineRule="auto"/>
        <w:ind w:firstLine="5"/>
        <w:jc w:val="both"/>
      </w:pPr>
      <w:r>
        <w:rPr>
          <w:spacing w:val="4"/>
        </w:rPr>
        <w:t>值0.00万元。车辆1辆，价值20.62万元，其中：副部（省）</w:t>
      </w:r>
      <w:r>
        <w:rPr>
          <w:spacing w:val="-29"/>
        </w:rPr>
        <w:t xml:space="preserve"> </w:t>
      </w:r>
      <w:r>
        <w:rPr>
          <w:spacing w:val="4"/>
        </w:rPr>
        <w:t>级</w:t>
      </w:r>
      <w:r>
        <w:rPr>
          <w:spacing w:val="15"/>
        </w:rPr>
        <w:t>及以上领导用车0辆、主要领导干部用车0辆、机要通</w:t>
      </w:r>
      <w:r>
        <w:rPr>
          <w:spacing w:val="14"/>
        </w:rPr>
        <w:t>信用车0</w:t>
      </w:r>
      <w:r>
        <w:rPr>
          <w:spacing w:val="4"/>
        </w:rPr>
        <w:t>辆、应急保障用车0辆、执法执勤用车0辆</w:t>
      </w:r>
      <w:r>
        <w:rPr>
          <w:spacing w:val="3"/>
        </w:rPr>
        <w:t>、特种专业技术用车0</w:t>
      </w:r>
      <w:r>
        <w:rPr>
          <w:spacing w:val="7"/>
        </w:rPr>
        <w:t>辆、离退休干部用车0辆、其他用车1辆，其他用车主要是：</w:t>
      </w:r>
      <w:r>
        <w:rPr>
          <w:spacing w:val="-91"/>
        </w:rPr>
        <w:t xml:space="preserve"> </w:t>
      </w:r>
      <w:r>
        <w:rPr>
          <w:spacing w:val="7"/>
        </w:rPr>
        <w:t>单</w:t>
      </w:r>
      <w:r>
        <w:rPr>
          <w:spacing w:val="3"/>
        </w:rPr>
        <w:t>位公务用车；单位价值50万元以上通用设备0台（套）、单位价</w:t>
      </w:r>
      <w:r>
        <w:rPr>
          <w:spacing w:val="1"/>
        </w:rPr>
        <w:t>值100万元以上专用设备0台（套）</w:t>
      </w:r>
      <w:r>
        <w:rPr>
          <w:spacing w:val="-40"/>
        </w:rPr>
        <w:t xml:space="preserve"> </w:t>
      </w:r>
      <w:r>
        <w:rPr>
          <w:spacing w:val="1"/>
        </w:rPr>
        <w:t>。</w:t>
      </w:r>
    </w:p>
    <w:p w14:paraId="07F10678">
      <w:pPr>
        <w:spacing w:line="223" w:lineRule="auto"/>
        <w:ind w:left="6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十一、预算绩效的情况说明</w:t>
      </w:r>
    </w:p>
    <w:p w14:paraId="21ADBF79">
      <w:pPr>
        <w:pStyle w:val="2"/>
        <w:spacing w:before="251" w:line="372" w:lineRule="auto"/>
        <w:ind w:left="5" w:right="1" w:firstLine="636"/>
        <w:jc w:val="both"/>
      </w:pPr>
      <w:r>
        <w:rPr>
          <w:spacing w:val="6"/>
        </w:rPr>
        <w:t>根据预算绩效管理要求，</w:t>
      </w:r>
      <w:r>
        <w:rPr>
          <w:spacing w:val="-79"/>
        </w:rPr>
        <w:t xml:space="preserve"> </w:t>
      </w:r>
      <w:r>
        <w:rPr>
          <w:spacing w:val="6"/>
        </w:rPr>
        <w:t>我单位2021年度开展预算绩效评价项目0个，共涉及资金0万元。预算绩效管理取得的成效：</w:t>
      </w:r>
      <w:r>
        <w:rPr>
          <w:spacing w:val="-70"/>
        </w:rPr>
        <w:t xml:space="preserve"> </w:t>
      </w:r>
      <w:r>
        <w:rPr>
          <w:spacing w:val="6"/>
        </w:rPr>
        <w:t>我</w:t>
      </w:r>
      <w:r>
        <w:rPr>
          <w:spacing w:val="9"/>
        </w:rPr>
        <w:t>单位无预算绩效管理的项目。发现的问题及原因：我单位无预算绩效管理的项目。下一步改进措施：我单位无预算绩效管理</w:t>
      </w:r>
      <w:r>
        <w:rPr>
          <w:spacing w:val="3"/>
        </w:rPr>
        <w:t>的项目。</w:t>
      </w:r>
    </w:p>
    <w:p w14:paraId="34097D2D">
      <w:pPr>
        <w:spacing w:before="95" w:line="224" w:lineRule="auto"/>
        <w:ind w:left="2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第三部分 专业名词解释</w:t>
      </w:r>
    </w:p>
    <w:p w14:paraId="60E085B9">
      <w:pPr>
        <w:pStyle w:val="2"/>
        <w:spacing w:before="278" w:line="224" w:lineRule="auto"/>
        <w:ind w:left="649"/>
      </w:pPr>
      <w:r>
        <w:rPr>
          <w:spacing w:val="6"/>
        </w:rPr>
        <w:t>财政拨款收入：指同级财政当年拨付的资金。</w:t>
      </w:r>
    </w:p>
    <w:p w14:paraId="1FC68761">
      <w:pPr>
        <w:pStyle w:val="2"/>
        <w:spacing w:before="248" w:line="372" w:lineRule="auto"/>
        <w:ind w:left="22" w:right="6" w:firstLine="630"/>
      </w:pPr>
      <w:r>
        <w:rPr>
          <w:spacing w:val="9"/>
        </w:rPr>
        <w:t>上级补助收入：指事业单位从主管部门和上级单位</w:t>
      </w:r>
      <w:r>
        <w:rPr>
          <w:spacing w:val="8"/>
        </w:rPr>
        <w:t>取得的</w:t>
      </w:r>
      <w:r>
        <w:rPr>
          <w:spacing w:val="4"/>
        </w:rPr>
        <w:t>非财政补助收入。</w:t>
      </w:r>
    </w:p>
    <w:p w14:paraId="15DAEB93">
      <w:pPr>
        <w:pStyle w:val="2"/>
        <w:spacing w:before="2" w:line="371" w:lineRule="auto"/>
        <w:ind w:left="8" w:right="6" w:firstLine="646"/>
      </w:pPr>
      <w:r>
        <w:rPr>
          <w:spacing w:val="9"/>
        </w:rPr>
        <w:t>事业收入：指事业单位开展专业业务活动及其</w:t>
      </w:r>
      <w:r>
        <w:rPr>
          <w:spacing w:val="8"/>
        </w:rPr>
        <w:t>辅助活动所</w:t>
      </w:r>
      <w:r>
        <w:rPr>
          <w:spacing w:val="-1"/>
        </w:rPr>
        <w:t>取得的收入。</w:t>
      </w:r>
    </w:p>
    <w:p w14:paraId="6C16A07E">
      <w:pPr>
        <w:pStyle w:val="2"/>
        <w:spacing w:line="372" w:lineRule="auto"/>
        <w:ind w:left="15" w:right="6" w:firstLine="638"/>
      </w:pPr>
      <w:r>
        <w:rPr>
          <w:spacing w:val="9"/>
        </w:rPr>
        <w:t>经营收入：指事业单位在专业业务活动及其辅助活</w:t>
      </w:r>
      <w:r>
        <w:rPr>
          <w:spacing w:val="8"/>
        </w:rPr>
        <w:t>动之外</w:t>
      </w:r>
      <w:r>
        <w:rPr>
          <w:spacing w:val="5"/>
        </w:rPr>
        <w:t>开展非独立核算经营活动取得的收入。</w:t>
      </w:r>
    </w:p>
    <w:p w14:paraId="722A1B12">
      <w:pPr>
        <w:spacing w:line="372" w:lineRule="auto"/>
        <w:sectPr>
          <w:pgSz w:w="12240" w:h="15840"/>
          <w:pgMar w:top="1346" w:right="1799" w:bottom="0" w:left="1807" w:header="0" w:footer="0" w:gutter="0"/>
          <w:cols w:space="720" w:num="1"/>
        </w:sectPr>
      </w:pPr>
    </w:p>
    <w:p w14:paraId="5F5C4A1E">
      <w:pPr>
        <w:pStyle w:val="2"/>
        <w:spacing w:before="142" w:line="372" w:lineRule="auto"/>
        <w:ind w:left="13" w:right="7" w:firstLine="650"/>
      </w:pPr>
      <w:r>
        <w:rPr>
          <w:spacing w:val="8"/>
        </w:rPr>
        <w:t>附属单位上缴收入：指事业单位附属的独立核算单位按有</w:t>
      </w:r>
      <w:r>
        <w:rPr>
          <w:spacing w:val="1"/>
        </w:rPr>
        <w:t>关规定上缴的收入。</w:t>
      </w:r>
    </w:p>
    <w:p w14:paraId="428C1274">
      <w:pPr>
        <w:pStyle w:val="2"/>
        <w:spacing w:before="2" w:line="371" w:lineRule="auto"/>
        <w:ind w:left="23" w:firstLine="617"/>
      </w:pPr>
      <w:r>
        <w:rPr>
          <w:spacing w:val="1"/>
        </w:rPr>
        <w:t>其他收入：指除上述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spacing w:val="1"/>
        </w:rPr>
        <w:t>财政拨款收入</w:t>
      </w:r>
      <w:r>
        <w:rPr>
          <w:rFonts w:ascii="Times New Roman" w:hAnsi="Times New Roman" w:eastAsia="Times New Roman" w:cs="Times New Roman"/>
          <w:spacing w:val="1"/>
        </w:rPr>
        <w:t>”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rFonts w:ascii="Times New Roman" w:hAnsi="Times New Roman" w:eastAsia="Times New Roman" w:cs="Times New Roman"/>
          <w:spacing w:val="-53"/>
        </w:rPr>
        <w:t xml:space="preserve"> </w:t>
      </w:r>
      <w:r>
        <w:rPr>
          <w:spacing w:val="1"/>
        </w:rPr>
        <w:t>事业收入</w:t>
      </w:r>
      <w:r>
        <w:rPr>
          <w:rFonts w:ascii="Times New Roman" w:hAnsi="Times New Roman" w:eastAsia="Times New Roman" w:cs="Times New Roman"/>
          <w:spacing w:val="1"/>
        </w:rPr>
        <w:t>”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rFonts w:ascii="Times New Roman" w:hAnsi="Times New Roman" w:eastAsia="Times New Roman" w:cs="Times New Roman"/>
          <w:spacing w:val="-57"/>
        </w:rPr>
        <w:t xml:space="preserve"> </w:t>
      </w:r>
      <w:r>
        <w:rPr>
          <w:spacing w:val="1"/>
        </w:rPr>
        <w:t>经营</w:t>
      </w:r>
      <w:r>
        <w:t>收入</w:t>
      </w:r>
      <w:r>
        <w:rPr>
          <w:rFonts w:ascii="Times New Roman" w:hAnsi="Times New Roman" w:eastAsia="Times New Roman" w:cs="Times New Roman"/>
        </w:rPr>
        <w:t>”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t>、</w:t>
      </w:r>
      <w:r>
        <w:rPr>
          <w:rFonts w:ascii="Times New Roman" w:hAnsi="Times New Roman" w:eastAsia="Times New Roman" w:cs="Times New Roman"/>
        </w:rPr>
        <w:t>“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t>附属单位上缴收入</w:t>
      </w:r>
      <w:r>
        <w:rPr>
          <w:rFonts w:ascii="Times New Roman" w:hAnsi="Times New Roman" w:eastAsia="Times New Roman" w:cs="Times New Roman"/>
        </w:rPr>
        <w:t>”</w:t>
      </w:r>
      <w:r>
        <w:rPr>
          <w:rFonts w:ascii="Times New Roman" w:hAnsi="Times New Roman" w:eastAsia="Times New Roman" w:cs="Times New Roman"/>
          <w:spacing w:val="-50"/>
        </w:rPr>
        <w:t xml:space="preserve"> </w:t>
      </w:r>
      <w:r>
        <w:t>等之外取得的收入。</w:t>
      </w:r>
    </w:p>
    <w:p w14:paraId="25273188">
      <w:pPr>
        <w:pStyle w:val="2"/>
        <w:spacing w:before="1" w:line="371" w:lineRule="auto"/>
        <w:ind w:left="3" w:right="6" w:firstLine="640"/>
        <w:jc w:val="both"/>
      </w:pPr>
      <w:r>
        <w:rPr>
          <w:spacing w:val="9"/>
        </w:rPr>
        <w:t>年初结转和结余：指以前年度支出预算因客观条件变化未执行完毕、结转到本年度按有关规定继续使用的资金，既包括财政拨款结转和结余，也包括事业收入、经营收入、其他收入</w:t>
      </w:r>
      <w:r>
        <w:rPr>
          <w:spacing w:val="-1"/>
        </w:rPr>
        <w:t>的结转和结余。</w:t>
      </w:r>
    </w:p>
    <w:p w14:paraId="3C7FCB02">
      <w:pPr>
        <w:pStyle w:val="2"/>
        <w:spacing w:before="4" w:line="371" w:lineRule="auto"/>
        <w:ind w:left="3" w:right="7" w:firstLine="640"/>
        <w:jc w:val="both"/>
      </w:pPr>
      <w:r>
        <w:rPr>
          <w:spacing w:val="8"/>
        </w:rPr>
        <w:t>年末结转和结余：指本年度或以前年度预算安排、因客观</w:t>
      </w:r>
      <w:r>
        <w:rPr>
          <w:spacing w:val="9"/>
        </w:rPr>
        <w:t>条件发生变化无法按原计划实施，需要延迟到以后年度按有关规定继续使用的资金，既包括财政拨款结转和结余，也包括事</w:t>
      </w:r>
      <w:r>
        <w:rPr>
          <w:spacing w:val="6"/>
        </w:rPr>
        <w:t>业收入、经营收入、其他收入的结转和结余。</w:t>
      </w:r>
    </w:p>
    <w:p w14:paraId="0E6B934F">
      <w:pPr>
        <w:pStyle w:val="2"/>
        <w:spacing w:before="1" w:line="372" w:lineRule="auto"/>
        <w:ind w:right="7" w:firstLine="635"/>
      </w:pPr>
      <w:r>
        <w:rPr>
          <w:spacing w:val="9"/>
        </w:rPr>
        <w:t>基本支出：指为保障机构正常运转、完成日常工作任务而</w:t>
      </w:r>
      <w:r>
        <w:rPr>
          <w:spacing w:val="5"/>
        </w:rPr>
        <w:t>发生的人员支出和公用支出。</w:t>
      </w:r>
    </w:p>
    <w:p w14:paraId="529A7D6F">
      <w:pPr>
        <w:pStyle w:val="2"/>
        <w:spacing w:before="3" w:line="371" w:lineRule="auto"/>
        <w:ind w:right="7" w:firstLine="644"/>
      </w:pPr>
      <w:r>
        <w:rPr>
          <w:spacing w:val="9"/>
        </w:rPr>
        <w:t>项目支出：指在基本支出之外为完成特定行政任务和事业</w:t>
      </w:r>
      <w:r>
        <w:rPr>
          <w:spacing w:val="2"/>
        </w:rPr>
        <w:t>发展目标所发生的支出。</w:t>
      </w:r>
    </w:p>
    <w:p w14:paraId="23E2BE0B">
      <w:pPr>
        <w:pStyle w:val="2"/>
        <w:spacing w:before="2" w:line="371" w:lineRule="auto"/>
        <w:ind w:left="9" w:right="7" w:firstLine="638"/>
      </w:pPr>
      <w:r>
        <w:rPr>
          <w:spacing w:val="9"/>
        </w:rPr>
        <w:t>经营支出：指事业单位在专业业务活动及其辅助活</w:t>
      </w:r>
      <w:r>
        <w:rPr>
          <w:spacing w:val="8"/>
        </w:rPr>
        <w:t>动之外</w:t>
      </w:r>
      <w:r>
        <w:rPr>
          <w:spacing w:val="5"/>
        </w:rPr>
        <w:t>开展非独立核算经营活动发生的支出。</w:t>
      </w:r>
    </w:p>
    <w:p w14:paraId="04DA26EC">
      <w:pPr>
        <w:pStyle w:val="2"/>
        <w:spacing w:before="2" w:line="371" w:lineRule="auto"/>
        <w:ind w:left="2" w:right="7" w:firstLine="644"/>
      </w:pPr>
      <w:r>
        <w:rPr>
          <w:spacing w:val="9"/>
        </w:rPr>
        <w:t>对附属单位补助支出：指事业单位发生的用非财政预</w:t>
      </w:r>
      <w:r>
        <w:rPr>
          <w:spacing w:val="8"/>
        </w:rPr>
        <w:t>算资</w:t>
      </w:r>
      <w:r>
        <w:rPr>
          <w:spacing w:val="7"/>
        </w:rPr>
        <w:t>金对附属单位的补助支出。</w:t>
      </w:r>
    </w:p>
    <w:p w14:paraId="2102B6BA">
      <w:pPr>
        <w:pStyle w:val="2"/>
        <w:spacing w:before="1" w:line="222" w:lineRule="auto"/>
        <w:ind w:right="2"/>
        <w:jc w:val="right"/>
      </w:pPr>
      <w:r>
        <w:rPr>
          <w:rFonts w:ascii="Times New Roman" w:hAnsi="Times New Roman" w:eastAsia="Times New Roman" w:cs="Times New Roman"/>
          <w:spacing w:val="11"/>
        </w:rPr>
        <w:t>“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11"/>
        </w:rPr>
        <w:t>三公</w:t>
      </w:r>
      <w:r>
        <w:rPr>
          <w:rFonts w:ascii="Times New Roman" w:hAnsi="Times New Roman" w:eastAsia="Times New Roman" w:cs="Times New Roman"/>
          <w:spacing w:val="11"/>
        </w:rPr>
        <w:t>”</w:t>
      </w:r>
      <w:r>
        <w:rPr>
          <w:rFonts w:ascii="Times New Roman" w:hAnsi="Times New Roman" w:eastAsia="Times New Roman" w:cs="Times New Roman"/>
          <w:spacing w:val="-55"/>
        </w:rPr>
        <w:t xml:space="preserve"> </w:t>
      </w:r>
      <w:r>
        <w:rPr>
          <w:spacing w:val="11"/>
        </w:rPr>
        <w:t>经费：指用一般公共预算财政拨款</w:t>
      </w:r>
      <w:r>
        <w:rPr>
          <w:spacing w:val="10"/>
        </w:rPr>
        <w:t>安排的因公出国</w:t>
      </w:r>
    </w:p>
    <w:p w14:paraId="3BA2DEA7">
      <w:pPr>
        <w:spacing w:line="222" w:lineRule="auto"/>
        <w:sectPr>
          <w:pgSz w:w="12240" w:h="15840"/>
          <w:pgMar w:top="1346" w:right="1798" w:bottom="0" w:left="1812" w:header="0" w:footer="0" w:gutter="0"/>
          <w:cols w:space="720" w:num="1"/>
        </w:sectPr>
      </w:pPr>
    </w:p>
    <w:p w14:paraId="7EA9DA75">
      <w:pPr>
        <w:pStyle w:val="2"/>
        <w:spacing w:before="139" w:line="372" w:lineRule="auto"/>
        <w:ind w:left="5" w:right="6" w:hanging="5"/>
      </w:pPr>
      <w:r>
        <w:rPr>
          <w:spacing w:val="6"/>
        </w:rPr>
        <w:t>（境）费、公务用车购置及运行费和公务接待费。其中，</w:t>
      </w:r>
      <w:r>
        <w:rPr>
          <w:spacing w:val="-59"/>
        </w:rPr>
        <w:t xml:space="preserve"> </w:t>
      </w:r>
      <w:r>
        <w:rPr>
          <w:spacing w:val="6"/>
        </w:rPr>
        <w:t>因公</w:t>
      </w:r>
      <w:r>
        <w:rPr>
          <w:spacing w:val="9"/>
        </w:rPr>
        <w:t>出国（境）费反映单位公务出国（境）的国际旅费、国外城市间交通费、住宿费、伙食费、培训费、公杂费等支出；公务用</w:t>
      </w:r>
      <w:r>
        <w:rPr>
          <w:spacing w:val="8"/>
        </w:rPr>
        <w:t>车购置费反映公务用车购置支出（含车辆购置</w:t>
      </w:r>
      <w:r>
        <w:rPr>
          <w:spacing w:val="7"/>
        </w:rPr>
        <w:t>税、牌照费</w:t>
      </w:r>
      <w:r>
        <w:rPr>
          <w:spacing w:val="-16"/>
        </w:rPr>
        <w:t>）；</w:t>
      </w:r>
      <w:r>
        <w:rPr>
          <w:spacing w:val="7"/>
        </w:rPr>
        <w:t>公务用车运行维护费反映单位按规定保留的公务用车燃料费、</w:t>
      </w:r>
      <w:r>
        <w:rPr>
          <w:spacing w:val="9"/>
        </w:rPr>
        <w:t>维修费、过路过桥费、保险费、安全奖励费用等支出；公务接</w:t>
      </w:r>
      <w:r>
        <w:rPr>
          <w:spacing w:val="1"/>
        </w:rPr>
        <w:t>待费反映单位按规定开支的各类公务接待（含外宾接待）费用。</w:t>
      </w:r>
    </w:p>
    <w:p w14:paraId="20F06D7A">
      <w:pPr>
        <w:pStyle w:val="2"/>
        <w:spacing w:before="3" w:line="371" w:lineRule="auto"/>
        <w:ind w:left="7" w:firstLine="638"/>
        <w:jc w:val="both"/>
      </w:pPr>
      <w:r>
        <w:rPr>
          <w:spacing w:val="9"/>
        </w:rPr>
        <w:t>机关运行经费：为保障行政单位（含参照公务员法管理的事业单位）运行用于购买货物和服务的各项资金，包括办公及</w:t>
      </w:r>
      <w:r>
        <w:rPr>
          <w:spacing w:val="8"/>
        </w:rPr>
        <w:t>印刷费、邮电费、差旅费、会议费、福利费、日常维修费、专</w:t>
      </w:r>
      <w:r>
        <w:rPr>
          <w:spacing w:val="1"/>
        </w:rPr>
        <w:t>用材料及一般设备购置费、办公用房水电费、办公用房取暖费、</w:t>
      </w:r>
      <w:r>
        <w:rPr>
          <w:spacing w:val="9"/>
        </w:rPr>
        <w:t>办公用房物业管理费、公务用车运行维护费以及</w:t>
      </w:r>
      <w:r>
        <w:rPr>
          <w:spacing w:val="8"/>
        </w:rPr>
        <w:t>其他费用。</w:t>
      </w:r>
    </w:p>
    <w:p w14:paraId="3817C6AC">
      <w:pPr>
        <w:spacing w:line="308" w:lineRule="auto"/>
        <w:rPr>
          <w:rFonts w:ascii="Arial"/>
          <w:sz w:val="21"/>
        </w:rPr>
      </w:pPr>
    </w:p>
    <w:p w14:paraId="00C4A17F">
      <w:pPr>
        <w:spacing w:line="308" w:lineRule="auto"/>
        <w:rPr>
          <w:rFonts w:ascii="Arial"/>
          <w:sz w:val="21"/>
        </w:rPr>
      </w:pPr>
    </w:p>
    <w:p w14:paraId="0E51E690">
      <w:pPr>
        <w:spacing w:before="101" w:line="224" w:lineRule="auto"/>
        <w:ind w:left="18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第四部分 部门决算报表（见附表）</w:t>
      </w:r>
    </w:p>
    <w:p w14:paraId="1064B6D1">
      <w:pPr>
        <w:spacing w:line="285" w:lineRule="auto"/>
        <w:rPr>
          <w:rFonts w:ascii="Arial"/>
          <w:sz w:val="21"/>
        </w:rPr>
      </w:pPr>
    </w:p>
    <w:p w14:paraId="112CE6F3">
      <w:pPr>
        <w:spacing w:before="101" w:line="224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一、《收入支出决算总表》</w:t>
      </w:r>
    </w:p>
    <w:p w14:paraId="230D32F0">
      <w:pPr>
        <w:spacing w:before="164" w:line="224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二、《收入决算表》</w:t>
      </w:r>
    </w:p>
    <w:p w14:paraId="0867800B">
      <w:pPr>
        <w:spacing w:before="164" w:line="224" w:lineRule="auto"/>
        <w:ind w:left="6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三、《支出决算表》</w:t>
      </w:r>
    </w:p>
    <w:p w14:paraId="220C2978">
      <w:pPr>
        <w:spacing w:before="164" w:line="224" w:lineRule="auto"/>
        <w:ind w:left="66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四、《财政拨款收入支出决算总表》</w:t>
      </w:r>
    </w:p>
    <w:p w14:paraId="51AE1566">
      <w:pPr>
        <w:spacing w:before="163" w:line="224" w:lineRule="auto"/>
        <w:ind w:left="65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五、《一般公共预算财政拨款支出决算表》</w:t>
      </w:r>
    </w:p>
    <w:p w14:paraId="40F8016C">
      <w:pPr>
        <w:spacing w:before="164" w:line="224" w:lineRule="auto"/>
        <w:ind w:left="6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六、《一般公共预算财政拨款基本支出决算表》</w:t>
      </w:r>
    </w:p>
    <w:p w14:paraId="53AA8386">
      <w:pPr>
        <w:spacing w:before="163" w:line="224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七、《一般公共预算财政拨款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“</w:t>
      </w:r>
      <w:r>
        <w:rPr>
          <w:rFonts w:ascii="黑体" w:hAnsi="黑体" w:eastAsia="黑体" w:cs="黑体"/>
          <w:spacing w:val="2"/>
          <w:sz w:val="31"/>
          <w:szCs w:val="31"/>
        </w:rPr>
        <w:t>三公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”</w:t>
      </w:r>
      <w:r>
        <w:rPr>
          <w:rFonts w:ascii="黑体" w:hAnsi="黑体" w:eastAsia="黑体" w:cs="黑体"/>
          <w:spacing w:val="2"/>
          <w:sz w:val="31"/>
          <w:szCs w:val="31"/>
        </w:rPr>
        <w:t>经费支出决算表》</w:t>
      </w:r>
    </w:p>
    <w:p w14:paraId="2334E637">
      <w:pPr>
        <w:spacing w:line="224" w:lineRule="auto"/>
        <w:rPr>
          <w:rFonts w:ascii="黑体" w:hAnsi="黑体" w:eastAsia="黑体" w:cs="黑体"/>
          <w:sz w:val="31"/>
          <w:szCs w:val="31"/>
        </w:rPr>
        <w:sectPr>
          <w:pgSz w:w="12240" w:h="15840"/>
          <w:pgMar w:top="1346" w:right="1705" w:bottom="0" w:left="1805" w:header="0" w:footer="0" w:gutter="0"/>
          <w:cols w:space="720" w:num="1"/>
        </w:sectPr>
      </w:pPr>
    </w:p>
    <w:p w14:paraId="29D8BFE0">
      <w:pPr>
        <w:spacing w:before="252" w:line="224" w:lineRule="auto"/>
        <w:ind w:left="61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八、《政府性基金预算财政拨款收入支出决算表》</w:t>
      </w:r>
    </w:p>
    <w:p w14:paraId="0296B186">
      <w:pPr>
        <w:spacing w:before="163" w:line="224" w:lineRule="auto"/>
        <w:ind w:left="62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九、《国有资本经营预算财政拨款收入支出决算表》</w:t>
      </w:r>
    </w:p>
    <w:sectPr>
      <w:pgSz w:w="12240" w:h="15840"/>
      <w:pgMar w:top="1346" w:right="1836" w:bottom="0" w:left="18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28069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4460</Words>
  <Characters>4895</Characters>
  <TotalTime>0</TotalTime>
  <ScaleCrop>false</ScaleCrop>
  <LinksUpToDate>false</LinksUpToDate>
  <CharactersWithSpaces>4943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2022-12-21T12:57:00Z</dcterms:created>
  <dc:creator>Archer Fox</dc:creator>
  <cp:lastModifiedBy>宋茂伦</cp:lastModifiedBy>
  <dcterms:modified xsi:type="dcterms:W3CDTF">2026-08-04T04:58:14Z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2026-08-04T10:50:18Z</vt:filetime>
  </property>
  <property fmtid="{D5CDD505-2E9C-101B-9397-08002B2CF9AE}" pid="4" name="KSOTemplateDocerSaveRecord">
    <vt:lpwstr>eyJoZGlkIjoiMDljYzUzMWQ4OWI0YzBkYjYzMDRhZTY5ZjZkYmFmYTgiLCJ1c2VySWQiOiI0NDc2NTQ3NDYifQ==</vt:lpwstr>
  </property>
  <property fmtid="{D5CDD505-2E9C-101B-9397-08002B2CF9AE}" pid="5" name="KSOProductBuildVer">
    <vt:lpwstr>2052-12.1.0.28043</vt:lpwstr>
  </property>
  <property fmtid="{D5CDD505-2E9C-101B-9397-08002B2CF9AE}" pid="6" name="ICV">
    <vt:lpwstr>342726A22D064B6A948FF7B90AA0A17F_12</vt:lpwstr>
  </property>
</Properties>
</file>