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9391F">
      <w:pPr>
        <w:spacing w:line="267" w:lineRule="auto"/>
        <w:rPr>
          <w:rFonts w:ascii="Arial"/>
          <w:sz w:val="21"/>
        </w:rPr>
      </w:pPr>
    </w:p>
    <w:p w14:paraId="4E916A3F">
      <w:pPr>
        <w:spacing w:line="267" w:lineRule="auto"/>
        <w:rPr>
          <w:rFonts w:ascii="Arial"/>
          <w:sz w:val="21"/>
        </w:rPr>
      </w:pPr>
    </w:p>
    <w:p w14:paraId="22260819">
      <w:pPr>
        <w:spacing w:line="268" w:lineRule="auto"/>
        <w:rPr>
          <w:rFonts w:ascii="Arial"/>
          <w:sz w:val="21"/>
        </w:rPr>
      </w:pPr>
    </w:p>
    <w:p w14:paraId="46940A2D">
      <w:pPr>
        <w:spacing w:line="268" w:lineRule="auto"/>
        <w:rPr>
          <w:rFonts w:ascii="Arial"/>
          <w:sz w:val="21"/>
        </w:rPr>
      </w:pPr>
    </w:p>
    <w:p w14:paraId="09BEF433">
      <w:pPr>
        <w:spacing w:line="268" w:lineRule="auto"/>
        <w:rPr>
          <w:rFonts w:ascii="Arial"/>
          <w:sz w:val="21"/>
        </w:rPr>
      </w:pPr>
    </w:p>
    <w:p w14:paraId="407195D8">
      <w:pPr>
        <w:spacing w:line="268" w:lineRule="auto"/>
        <w:rPr>
          <w:rFonts w:ascii="Arial"/>
          <w:sz w:val="21"/>
        </w:rPr>
      </w:pPr>
    </w:p>
    <w:p w14:paraId="1344C89A">
      <w:pPr>
        <w:spacing w:before="185" w:line="255" w:lineRule="auto"/>
        <w:ind w:left="1592" w:right="989" w:hanging="602"/>
        <w:rPr>
          <w:rFonts w:ascii="微软雅黑" w:hAnsi="微软雅黑" w:eastAsia="微软雅黑" w:cs="微软雅黑"/>
          <w:sz w:val="43"/>
          <w:szCs w:val="43"/>
        </w:rPr>
      </w:pPr>
      <w:r>
        <w:rPr>
          <w:rFonts w:ascii="微软雅黑" w:hAnsi="微软雅黑" w:eastAsia="微软雅黑" w:cs="微软雅黑"/>
          <w:spacing w:val="9"/>
          <w:sz w:val="43"/>
          <w:szCs w:val="43"/>
        </w:rPr>
        <w:t>乌鲁木齐市雅玛里克山污水处理厂</w:t>
      </w:r>
      <w:r>
        <w:rPr>
          <w:rFonts w:ascii="微软雅黑" w:hAnsi="微软雅黑" w:eastAsia="微软雅黑" w:cs="微软雅黑"/>
          <w:spacing w:val="6"/>
          <w:sz w:val="43"/>
          <w:szCs w:val="43"/>
        </w:rPr>
        <w:t>2021年度部门决算公开说明</w:t>
      </w:r>
    </w:p>
    <w:p w14:paraId="239F6797">
      <w:pPr>
        <w:spacing w:line="255" w:lineRule="auto"/>
        <w:rPr>
          <w:rFonts w:ascii="微软雅黑" w:hAnsi="微软雅黑" w:eastAsia="微软雅黑" w:cs="微软雅黑"/>
          <w:sz w:val="43"/>
          <w:szCs w:val="43"/>
        </w:rPr>
        <w:sectPr>
          <w:pgSz w:w="12240" w:h="15840"/>
          <w:pgMar w:top="1346" w:right="1836" w:bottom="0" w:left="1836" w:header="0" w:footer="0" w:gutter="0"/>
          <w:cols w:space="720" w:num="1"/>
        </w:sectPr>
      </w:pPr>
    </w:p>
    <w:sdt>
      <w:sdtPr>
        <w:rPr>
          <w:rFonts w:ascii="仿宋" w:hAnsi="仿宋" w:eastAsia="仿宋" w:cs="仿宋"/>
          <w:sz w:val="36"/>
          <w:szCs w:val="36"/>
        </w:rPr>
        <w:id w:val="147472014"/>
        <w:docPartObj>
          <w:docPartGallery w:val="Table of Contents"/>
          <w:docPartUnique/>
        </w:docPartObj>
      </w:sdtPr>
      <w:sdtEndPr>
        <w:rPr>
          <w:rFonts w:ascii="仿宋" w:hAnsi="仿宋" w:eastAsia="仿宋" w:cs="仿宋"/>
          <w:sz w:val="31"/>
          <w:szCs w:val="31"/>
        </w:rPr>
      </w:sdtEndPr>
      <w:sdtContent>
        <w:p w14:paraId="4547E6D5">
          <w:pPr>
            <w:pStyle w:val="2"/>
            <w:spacing w:before="216" w:line="219" w:lineRule="auto"/>
            <w:ind w:left="3854"/>
            <w:rPr>
              <w:sz w:val="36"/>
              <w:szCs w:val="36"/>
            </w:rPr>
          </w:pPr>
          <w:r>
            <w:rPr>
              <w:b/>
              <w:bCs/>
              <w:spacing w:val="-44"/>
              <w:sz w:val="36"/>
              <w:szCs w:val="36"/>
            </w:rPr>
            <w:t>目</w:t>
          </w:r>
          <w:r>
            <w:rPr>
              <w:spacing w:val="15"/>
              <w:sz w:val="36"/>
              <w:szCs w:val="36"/>
            </w:rPr>
            <w:t xml:space="preserve">  </w:t>
          </w:r>
          <w:r>
            <w:rPr>
              <w:b/>
              <w:bCs/>
              <w:spacing w:val="-44"/>
              <w:sz w:val="36"/>
              <w:szCs w:val="36"/>
            </w:rPr>
            <w:t>录</w:t>
          </w:r>
        </w:p>
        <w:p w14:paraId="3DF6436E">
          <w:pPr>
            <w:pStyle w:val="2"/>
            <w:spacing w:before="148" w:line="222" w:lineRule="auto"/>
            <w:ind w:left="24"/>
          </w:pPr>
          <w:r>
            <w:fldChar w:fldCharType="begin"/>
          </w:r>
          <w:r>
            <w:instrText xml:space="preserve"> HYPERLINK \l "bookmark1" </w:instrText>
          </w:r>
          <w:r>
            <w:fldChar w:fldCharType="separate"/>
          </w:r>
          <w:r>
            <w:rPr>
              <w:b/>
              <w:bCs/>
              <w:spacing w:val="3"/>
            </w:rPr>
            <w:t>第一部分</w:t>
          </w:r>
          <w:r>
            <w:rPr>
              <w:spacing w:val="3"/>
            </w:rPr>
            <w:t xml:space="preserve"> </w:t>
          </w:r>
          <w:r>
            <w:rPr>
              <w:b/>
              <w:bCs/>
              <w:spacing w:val="3"/>
            </w:rPr>
            <w:t>部门单位概况</w:t>
          </w:r>
          <w:r>
            <w:rPr>
              <w:b/>
              <w:bCs/>
              <w:spacing w:val="3"/>
            </w:rPr>
            <w:fldChar w:fldCharType="end"/>
          </w:r>
        </w:p>
        <w:p w14:paraId="29775F66">
          <w:pPr>
            <w:pStyle w:val="2"/>
            <w:spacing w:before="166" w:line="223" w:lineRule="auto"/>
            <w:ind w:left="27"/>
          </w:pPr>
          <w:r>
            <w:fldChar w:fldCharType="begin"/>
          </w:r>
          <w:r>
            <w:instrText xml:space="preserve"> HYPERLINK \l "bookmark2" </w:instrText>
          </w:r>
          <w:r>
            <w:fldChar w:fldCharType="separate"/>
          </w:r>
          <w:r>
            <w:rPr>
              <w:spacing w:val="-3"/>
            </w:rPr>
            <w:t>一、主要职能</w:t>
          </w:r>
          <w:r>
            <w:rPr>
              <w:spacing w:val="-3"/>
            </w:rPr>
            <w:fldChar w:fldCharType="end"/>
          </w:r>
        </w:p>
        <w:p w14:paraId="08ABF44E">
          <w:pPr>
            <w:pStyle w:val="2"/>
            <w:spacing w:before="165" w:line="224" w:lineRule="auto"/>
            <w:ind w:left="25"/>
          </w:pPr>
          <w:r>
            <w:fldChar w:fldCharType="begin"/>
          </w:r>
          <w:r>
            <w:instrText xml:space="preserve"> HYPERLINK \l "bookmark3" </w:instrText>
          </w:r>
          <w:r>
            <w:fldChar w:fldCharType="separate"/>
          </w:r>
          <w:r>
            <w:rPr>
              <w:spacing w:val="6"/>
            </w:rPr>
            <w:t>二、机构设置及人员情况</w:t>
          </w:r>
          <w:r>
            <w:rPr>
              <w:spacing w:val="6"/>
            </w:rPr>
            <w:fldChar w:fldCharType="end"/>
          </w:r>
        </w:p>
        <w:p w14:paraId="76E3B612">
          <w:pPr>
            <w:pStyle w:val="2"/>
            <w:spacing w:before="164" w:line="223" w:lineRule="auto"/>
            <w:ind w:left="24"/>
          </w:pPr>
          <w:r>
            <w:fldChar w:fldCharType="begin"/>
          </w:r>
          <w:r>
            <w:instrText xml:space="preserve"> HYPERLINK \l "bookmark4" </w:instrText>
          </w:r>
          <w:r>
            <w:fldChar w:fldCharType="separate"/>
          </w:r>
          <w:r>
            <w:rPr>
              <w:b/>
              <w:bCs/>
              <w:spacing w:val="4"/>
            </w:rPr>
            <w:t>第二部分</w:t>
          </w:r>
          <w:r>
            <w:rPr>
              <w:spacing w:val="4"/>
            </w:rPr>
            <w:t xml:space="preserve"> </w:t>
          </w:r>
          <w:r>
            <w:rPr>
              <w:b/>
              <w:bCs/>
              <w:spacing w:val="4"/>
            </w:rPr>
            <w:t>部门决算情况说明</w:t>
          </w:r>
          <w:r>
            <w:rPr>
              <w:b/>
              <w:bCs/>
              <w:spacing w:val="4"/>
            </w:rPr>
            <w:fldChar w:fldCharType="end"/>
          </w:r>
        </w:p>
        <w:p w14:paraId="361B9B1C">
          <w:pPr>
            <w:pStyle w:val="2"/>
            <w:spacing w:before="165" w:line="223" w:lineRule="auto"/>
            <w:ind w:left="27"/>
          </w:pPr>
          <w:r>
            <w:fldChar w:fldCharType="begin"/>
          </w:r>
          <w:r>
            <w:instrText xml:space="preserve"> HYPERLINK \l "bookmark5" </w:instrText>
          </w:r>
          <w:r>
            <w:fldChar w:fldCharType="separate"/>
          </w:r>
          <w:r>
            <w:rPr>
              <w:spacing w:val="4"/>
            </w:rPr>
            <w:t>一、收入支出决算总体情况说明</w:t>
          </w:r>
          <w:r>
            <w:rPr>
              <w:spacing w:val="4"/>
            </w:rPr>
            <w:fldChar w:fldCharType="end"/>
          </w:r>
        </w:p>
        <w:p w14:paraId="50F64A8D">
          <w:pPr>
            <w:pStyle w:val="2"/>
            <w:spacing w:before="166" w:line="223" w:lineRule="auto"/>
            <w:ind w:left="25"/>
          </w:pPr>
          <w:r>
            <w:fldChar w:fldCharType="begin"/>
          </w:r>
          <w:r>
            <w:instrText xml:space="preserve"> HYPERLINK \l "bookmark6" </w:instrText>
          </w:r>
          <w:r>
            <w:fldChar w:fldCharType="separate"/>
          </w:r>
          <w:r>
            <w:rPr>
              <w:spacing w:val="6"/>
            </w:rPr>
            <w:t>二、收入决算情况说明</w:t>
          </w:r>
          <w:r>
            <w:rPr>
              <w:spacing w:val="6"/>
            </w:rPr>
            <w:fldChar w:fldCharType="end"/>
          </w:r>
        </w:p>
        <w:p w14:paraId="680E2EE0">
          <w:pPr>
            <w:pStyle w:val="2"/>
            <w:spacing w:before="166" w:line="223" w:lineRule="auto"/>
            <w:ind w:left="31"/>
          </w:pPr>
          <w:r>
            <w:fldChar w:fldCharType="begin"/>
          </w:r>
          <w:r>
            <w:instrText xml:space="preserve"> HYPERLINK \l "bookmark7" </w:instrText>
          </w:r>
          <w:r>
            <w:fldChar w:fldCharType="separate"/>
          </w:r>
          <w:r>
            <w:rPr>
              <w:spacing w:val="6"/>
            </w:rPr>
            <w:t>三、支出决算情况说明</w:t>
          </w:r>
          <w:r>
            <w:rPr>
              <w:spacing w:val="6"/>
            </w:rPr>
            <w:fldChar w:fldCharType="end"/>
          </w:r>
        </w:p>
      </w:sdtContent>
    </w:sdt>
    <w:p w14:paraId="6D1097F1">
      <w:pPr>
        <w:pStyle w:val="2"/>
        <w:spacing w:before="165" w:line="223" w:lineRule="auto"/>
        <w:ind w:left="45"/>
      </w:pPr>
      <w:r>
        <w:rPr>
          <w:spacing w:val="6"/>
        </w:rPr>
        <w:t>四、财政拨款收入支出决算总体情况说明</w:t>
      </w:r>
    </w:p>
    <w:p w14:paraId="51880A25">
      <w:pPr>
        <w:pStyle w:val="2"/>
        <w:spacing w:before="166" w:line="223" w:lineRule="auto"/>
        <w:ind w:left="19"/>
      </w:pPr>
      <w:r>
        <w:rPr>
          <w:spacing w:val="8"/>
        </w:rPr>
        <w:t>五、一般公共预算财政拨款支出决算情况说明</w:t>
      </w:r>
    </w:p>
    <w:p w14:paraId="75F69E10">
      <w:pPr>
        <w:pStyle w:val="2"/>
        <w:spacing w:before="165" w:line="223" w:lineRule="auto"/>
        <w:ind w:left="21"/>
      </w:pPr>
      <w:r>
        <w:rPr>
          <w:spacing w:val="8"/>
        </w:rPr>
        <w:t>六、一般公共预算财政拨款基本支出决算情况说明</w:t>
      </w:r>
    </w:p>
    <w:p w14:paraId="564668E9">
      <w:pPr>
        <w:pStyle w:val="2"/>
        <w:spacing w:before="166" w:line="223" w:lineRule="auto"/>
        <w:ind w:left="15"/>
      </w:pPr>
      <w:r>
        <w:rPr>
          <w:spacing w:val="6"/>
        </w:rPr>
        <w:t>七、一般公共预算财政拨款</w:t>
      </w:r>
      <w:r>
        <w:rPr>
          <w:rFonts w:ascii="Times New Roman" w:hAnsi="Times New Roman" w:eastAsia="Times New Roman" w:cs="Times New Roman"/>
          <w:spacing w:val="6"/>
        </w:rPr>
        <w:t>“</w:t>
      </w:r>
      <w:r>
        <w:rPr>
          <w:rFonts w:ascii="Times New Roman" w:hAnsi="Times New Roman" w:eastAsia="Times New Roman" w:cs="Times New Roman"/>
          <w:spacing w:val="-27"/>
        </w:rPr>
        <w:t xml:space="preserve"> </w:t>
      </w:r>
      <w:r>
        <w:rPr>
          <w:spacing w:val="6"/>
        </w:rPr>
        <w:t>三公</w:t>
      </w:r>
      <w:r>
        <w:rPr>
          <w:rFonts w:ascii="Times New Roman" w:hAnsi="Times New Roman" w:eastAsia="Times New Roman" w:cs="Times New Roman"/>
          <w:spacing w:val="6"/>
        </w:rPr>
        <w:t>”</w:t>
      </w:r>
      <w:r>
        <w:rPr>
          <w:rFonts w:ascii="Times New Roman" w:hAnsi="Times New Roman" w:eastAsia="Times New Roman" w:cs="Times New Roman"/>
          <w:spacing w:val="-57"/>
        </w:rPr>
        <w:t xml:space="preserve"> </w:t>
      </w:r>
      <w:r>
        <w:rPr>
          <w:spacing w:val="6"/>
        </w:rPr>
        <w:t>经费支出决算情况说明</w:t>
      </w:r>
    </w:p>
    <w:p w14:paraId="13013082">
      <w:pPr>
        <w:pStyle w:val="2"/>
        <w:spacing w:before="167" w:line="221" w:lineRule="auto"/>
        <w:ind w:left="14"/>
      </w:pPr>
      <w:r>
        <w:rPr>
          <w:spacing w:val="9"/>
        </w:rPr>
        <w:t>八、政府性基金预算财政拨款收入支出决算情况说明</w:t>
      </w:r>
    </w:p>
    <w:p w14:paraId="01518749">
      <w:pPr>
        <w:pStyle w:val="2"/>
        <w:spacing w:before="168" w:line="223" w:lineRule="auto"/>
        <w:ind w:left="11"/>
      </w:pPr>
      <w:r>
        <w:rPr>
          <w:spacing w:val="9"/>
        </w:rPr>
        <w:t>九、国有资本经营预算财政拨款收入支出决算情况说明</w:t>
      </w:r>
    </w:p>
    <w:sdt>
      <w:sdtPr>
        <w:rPr>
          <w:rFonts w:ascii="仿宋" w:hAnsi="仿宋" w:eastAsia="仿宋" w:cs="仿宋"/>
          <w:sz w:val="31"/>
          <w:szCs w:val="31"/>
        </w:rPr>
        <w:id w:val="147466422"/>
        <w:docPartObj>
          <w:docPartGallery w:val="Table of Contents"/>
          <w:docPartUnique/>
        </w:docPartObj>
      </w:sdtPr>
      <w:sdtEndPr>
        <w:rPr>
          <w:rFonts w:ascii="仿宋" w:hAnsi="仿宋" w:eastAsia="仿宋" w:cs="仿宋"/>
          <w:sz w:val="31"/>
          <w:szCs w:val="31"/>
        </w:rPr>
      </w:sdtEndPr>
      <w:sdtContent>
        <w:p w14:paraId="026BCF35">
          <w:pPr>
            <w:pStyle w:val="2"/>
            <w:spacing w:before="165" w:line="223" w:lineRule="auto"/>
            <w:ind w:left="21"/>
          </w:pPr>
          <w:r>
            <w:fldChar w:fldCharType="begin"/>
          </w:r>
          <w:r>
            <w:instrText xml:space="preserve"> HYPERLINK \l "bookmark8" </w:instrText>
          </w:r>
          <w:r>
            <w:fldChar w:fldCharType="separate"/>
          </w:r>
          <w:r>
            <w:rPr>
              <w:spacing w:val="7"/>
            </w:rPr>
            <w:t>十、其他重要事项的情况说明</w:t>
          </w:r>
          <w:r>
            <w:rPr>
              <w:spacing w:val="7"/>
            </w:rPr>
            <w:fldChar w:fldCharType="end"/>
          </w:r>
        </w:p>
        <w:p w14:paraId="101462A7">
          <w:pPr>
            <w:pStyle w:val="2"/>
            <w:spacing w:before="166" w:line="222" w:lineRule="auto"/>
          </w:pPr>
          <w:r>
            <w:fldChar w:fldCharType="begin"/>
          </w:r>
          <w:r>
            <w:instrText xml:space="preserve"> HYPERLINK \l "bookmark9" </w:instrText>
          </w:r>
          <w:r>
            <w:fldChar w:fldCharType="separate"/>
          </w:r>
          <w:r>
            <w:rPr>
              <w:spacing w:val="1"/>
            </w:rPr>
            <w:t>（</w:t>
          </w:r>
          <w:r>
            <w:rPr>
              <w:spacing w:val="-68"/>
            </w:rPr>
            <w:t xml:space="preserve"> </w:t>
          </w:r>
          <w:r>
            <w:rPr>
              <w:spacing w:val="1"/>
            </w:rPr>
            <w:t>一）机关运行经费支出情况</w:t>
          </w:r>
          <w:r>
            <w:rPr>
              <w:spacing w:val="1"/>
            </w:rPr>
            <w:fldChar w:fldCharType="end"/>
          </w:r>
        </w:p>
        <w:p w14:paraId="003F78C4">
          <w:pPr>
            <w:pStyle w:val="2"/>
            <w:spacing w:before="167" w:line="224" w:lineRule="auto"/>
          </w:pPr>
          <w:r>
            <w:fldChar w:fldCharType="begin"/>
          </w:r>
          <w:r>
            <w:instrText xml:space="preserve"> HYPERLINK \l "bookmark10" </w:instrText>
          </w:r>
          <w:r>
            <w:fldChar w:fldCharType="separate"/>
          </w:r>
          <w:r>
            <w:rPr>
              <w:spacing w:val="6"/>
            </w:rPr>
            <w:t>（二）政府采购情况</w:t>
          </w:r>
          <w:r>
            <w:rPr>
              <w:spacing w:val="6"/>
            </w:rPr>
            <w:fldChar w:fldCharType="end"/>
          </w:r>
        </w:p>
        <w:p w14:paraId="28D98FE3">
          <w:pPr>
            <w:pStyle w:val="2"/>
            <w:spacing w:before="164" w:line="224" w:lineRule="auto"/>
          </w:pPr>
          <w:r>
            <w:fldChar w:fldCharType="begin"/>
          </w:r>
          <w:r>
            <w:instrText xml:space="preserve"> HYPERLINK \l "bookmark11" </w:instrText>
          </w:r>
          <w:r>
            <w:fldChar w:fldCharType="separate"/>
          </w:r>
          <w:r>
            <w:rPr>
              <w:spacing w:val="6"/>
            </w:rPr>
            <w:t>（三）国有资产占用情况说明</w:t>
          </w:r>
          <w:r>
            <w:rPr>
              <w:spacing w:val="6"/>
            </w:rPr>
            <w:fldChar w:fldCharType="end"/>
          </w:r>
        </w:p>
        <w:p w14:paraId="2AE7D8B3">
          <w:pPr>
            <w:pStyle w:val="2"/>
            <w:spacing w:before="164" w:line="223" w:lineRule="auto"/>
            <w:ind w:left="21"/>
          </w:pPr>
          <w:r>
            <w:fldChar w:fldCharType="begin"/>
          </w:r>
          <w:r>
            <w:instrText xml:space="preserve"> HYPERLINK \l "bookmark12" </w:instrText>
          </w:r>
          <w:r>
            <w:fldChar w:fldCharType="separate"/>
          </w:r>
          <w:r>
            <w:rPr>
              <w:spacing w:val="6"/>
            </w:rPr>
            <w:t>十一、预算绩效的情况说明</w:t>
          </w:r>
          <w:r>
            <w:rPr>
              <w:spacing w:val="6"/>
            </w:rPr>
            <w:fldChar w:fldCharType="end"/>
          </w:r>
        </w:p>
        <w:p w14:paraId="638408FA">
          <w:pPr>
            <w:pStyle w:val="2"/>
            <w:spacing w:before="166" w:line="224" w:lineRule="auto"/>
            <w:ind w:left="24"/>
          </w:pPr>
          <w:r>
            <w:fldChar w:fldCharType="begin"/>
          </w:r>
          <w:r>
            <w:instrText xml:space="preserve"> HYPERLINK \l "bookmark13" </w:instrText>
          </w:r>
          <w:r>
            <w:fldChar w:fldCharType="separate"/>
          </w:r>
          <w:r>
            <w:rPr>
              <w:b/>
              <w:bCs/>
              <w:spacing w:val="3"/>
            </w:rPr>
            <w:t>第三部分</w:t>
          </w:r>
          <w:r>
            <w:rPr>
              <w:spacing w:val="3"/>
            </w:rPr>
            <w:t xml:space="preserve"> </w:t>
          </w:r>
          <w:r>
            <w:rPr>
              <w:b/>
              <w:bCs/>
              <w:spacing w:val="3"/>
            </w:rPr>
            <w:t>专业名词解释</w:t>
          </w:r>
          <w:r>
            <w:rPr>
              <w:b/>
              <w:bCs/>
              <w:spacing w:val="3"/>
            </w:rPr>
            <w:fldChar w:fldCharType="end"/>
          </w:r>
        </w:p>
      </w:sdtContent>
    </w:sdt>
    <w:p w14:paraId="2C9E0297">
      <w:pPr>
        <w:pStyle w:val="2"/>
        <w:spacing w:before="164" w:line="223" w:lineRule="auto"/>
        <w:ind w:left="24"/>
      </w:pPr>
      <w:r>
        <w:rPr>
          <w:b/>
          <w:bCs/>
          <w:spacing w:val="4"/>
        </w:rPr>
        <w:t>第四部分</w:t>
      </w:r>
      <w:r>
        <w:rPr>
          <w:spacing w:val="4"/>
        </w:rPr>
        <w:t xml:space="preserve"> </w:t>
      </w:r>
      <w:r>
        <w:rPr>
          <w:b/>
          <w:bCs/>
          <w:spacing w:val="4"/>
        </w:rPr>
        <w:t>部门决算报表（见附表）</w:t>
      </w:r>
    </w:p>
    <w:sdt>
      <w:sdtPr>
        <w:rPr>
          <w:rFonts w:ascii="仿宋" w:hAnsi="仿宋" w:eastAsia="仿宋" w:cs="仿宋"/>
          <w:sz w:val="31"/>
          <w:szCs w:val="31"/>
        </w:rPr>
        <w:id w:val="147482645"/>
        <w:docPartObj>
          <w:docPartGallery w:val="Table of Contents"/>
          <w:docPartUnique/>
        </w:docPartObj>
      </w:sdtPr>
      <w:sdtEndPr>
        <w:rPr>
          <w:rFonts w:ascii="仿宋" w:hAnsi="仿宋" w:eastAsia="仿宋" w:cs="仿宋"/>
          <w:sz w:val="31"/>
          <w:szCs w:val="31"/>
        </w:rPr>
      </w:sdtEndPr>
      <w:sdtContent>
        <w:p w14:paraId="37E096E6">
          <w:pPr>
            <w:pStyle w:val="2"/>
            <w:spacing w:before="165" w:line="223" w:lineRule="auto"/>
            <w:ind w:left="27"/>
          </w:pPr>
          <w:r>
            <w:fldChar w:fldCharType="begin"/>
          </w:r>
          <w:r>
            <w:instrText xml:space="preserve"> HYPERLINK \l "bookmark14" </w:instrText>
          </w:r>
          <w:r>
            <w:fldChar w:fldCharType="separate"/>
          </w:r>
          <w:r>
            <w:rPr>
              <w:spacing w:val="-7"/>
            </w:rPr>
            <w:t>一、《收入支出决算总表》</w:t>
          </w:r>
          <w:r>
            <w:rPr>
              <w:spacing w:val="-7"/>
            </w:rPr>
            <w:fldChar w:fldCharType="end"/>
          </w:r>
        </w:p>
        <w:p w14:paraId="66A824FA">
          <w:pPr>
            <w:pStyle w:val="2"/>
            <w:spacing w:before="166" w:line="223" w:lineRule="auto"/>
            <w:ind w:left="25"/>
          </w:pPr>
          <w:r>
            <w:fldChar w:fldCharType="begin"/>
          </w:r>
          <w:r>
            <w:instrText xml:space="preserve"> HYPERLINK \l "bookmark15" </w:instrText>
          </w:r>
          <w:r>
            <w:fldChar w:fldCharType="separate"/>
          </w:r>
          <w:r>
            <w:rPr>
              <w:spacing w:val="-12"/>
            </w:rPr>
            <w:t>二、《收入决算表》</w:t>
          </w:r>
          <w:r>
            <w:rPr>
              <w:spacing w:val="-12"/>
            </w:rPr>
            <w:fldChar w:fldCharType="end"/>
          </w:r>
        </w:p>
        <w:p w14:paraId="63440DF2">
          <w:pPr>
            <w:pStyle w:val="2"/>
            <w:spacing w:before="166" w:line="223" w:lineRule="auto"/>
            <w:ind w:left="31"/>
          </w:pPr>
          <w:r>
            <w:fldChar w:fldCharType="begin"/>
          </w:r>
          <w:r>
            <w:instrText xml:space="preserve"> HYPERLINK \l "bookmark16" </w:instrText>
          </w:r>
          <w:r>
            <w:fldChar w:fldCharType="separate"/>
          </w:r>
          <w:r>
            <w:rPr>
              <w:spacing w:val="-13"/>
            </w:rPr>
            <w:t>三、《支出决算表》</w:t>
          </w:r>
          <w:r>
            <w:rPr>
              <w:spacing w:val="-13"/>
            </w:rPr>
            <w:fldChar w:fldCharType="end"/>
          </w:r>
        </w:p>
      </w:sdtContent>
    </w:sdt>
    <w:p w14:paraId="5D582086">
      <w:pPr>
        <w:spacing w:line="223" w:lineRule="auto"/>
        <w:sectPr>
          <w:pgSz w:w="12240" w:h="15840"/>
          <w:pgMar w:top="1346" w:right="1836" w:bottom="0" w:left="1805" w:header="0" w:footer="0" w:gutter="0"/>
          <w:cols w:space="720" w:num="1"/>
        </w:sectPr>
      </w:pPr>
    </w:p>
    <w:p w14:paraId="55BDD624">
      <w:pPr>
        <w:pStyle w:val="2"/>
        <w:spacing w:before="251" w:line="223" w:lineRule="auto"/>
        <w:ind w:left="33"/>
      </w:pPr>
      <w:r>
        <w:rPr>
          <w:spacing w:val="-4"/>
        </w:rPr>
        <w:t>四、《财政拨款收入支出决算总表》</w:t>
      </w:r>
    </w:p>
    <w:p w14:paraId="1C35321B">
      <w:pPr>
        <w:pStyle w:val="2"/>
        <w:spacing w:before="165" w:line="223" w:lineRule="auto"/>
        <w:ind w:left="7"/>
      </w:pPr>
      <w:r>
        <w:rPr>
          <w:spacing w:val="-1"/>
        </w:rPr>
        <w:t>五、《一般公共预算财政拨款支出决算表》</w:t>
      </w:r>
    </w:p>
    <w:p w14:paraId="5F509D0A">
      <w:pPr>
        <w:pStyle w:val="2"/>
        <w:spacing w:before="165" w:line="223" w:lineRule="auto"/>
        <w:ind w:left="9"/>
      </w:pPr>
      <w:r>
        <w:t>六、《一般公共预算财政拨款基本支出决算表》</w:t>
      </w:r>
    </w:p>
    <w:p w14:paraId="5A2EB60E">
      <w:pPr>
        <w:pStyle w:val="2"/>
        <w:spacing w:before="165" w:line="223" w:lineRule="auto"/>
        <w:ind w:left="3"/>
      </w:pPr>
      <w:r>
        <w:t>七、《一般公共预算财政拨款</w:t>
      </w:r>
      <w:r>
        <w:rPr>
          <w:rFonts w:ascii="Times New Roman" w:hAnsi="Times New Roman" w:eastAsia="Times New Roman" w:cs="Times New Roman"/>
        </w:rPr>
        <w:t>“</w:t>
      </w:r>
      <w:r>
        <w:rPr>
          <w:rFonts w:ascii="Times New Roman" w:hAnsi="Times New Roman" w:eastAsia="Times New Roman" w:cs="Times New Roman"/>
          <w:spacing w:val="-42"/>
        </w:rPr>
        <w:t xml:space="preserve"> </w:t>
      </w:r>
      <w:r>
        <w:t>三公</w:t>
      </w:r>
      <w:r>
        <w:rPr>
          <w:rFonts w:ascii="Times New Roman" w:hAnsi="Times New Roman" w:eastAsia="Times New Roman" w:cs="Times New Roman"/>
        </w:rPr>
        <w:t>”</w:t>
      </w:r>
      <w:r>
        <w:rPr>
          <w:rFonts w:ascii="Times New Roman" w:hAnsi="Times New Roman" w:eastAsia="Times New Roman" w:cs="Times New Roman"/>
          <w:spacing w:val="-58"/>
        </w:rPr>
        <w:t xml:space="preserve"> </w:t>
      </w:r>
      <w:r>
        <w:t>经费支出决算表》</w:t>
      </w:r>
    </w:p>
    <w:p w14:paraId="06352055">
      <w:pPr>
        <w:pStyle w:val="2"/>
        <w:spacing w:before="166" w:line="221" w:lineRule="auto"/>
        <w:ind w:left="2"/>
      </w:pPr>
      <w:r>
        <w:rPr>
          <w:spacing w:val="1"/>
        </w:rPr>
        <w:t>八、《政府性基金预算财政拨款收入支出决算表》</w:t>
      </w:r>
    </w:p>
    <w:p w14:paraId="2BDD8A81">
      <w:pPr>
        <w:pStyle w:val="2"/>
        <w:spacing w:before="168" w:line="223" w:lineRule="auto"/>
      </w:pPr>
      <w:r>
        <w:rPr>
          <w:spacing w:val="2"/>
        </w:rPr>
        <w:t>九、《国有资本经营预算财政拨款收入支出决算</w:t>
      </w:r>
      <w:r>
        <w:rPr>
          <w:spacing w:val="1"/>
        </w:rPr>
        <w:t>表》</w:t>
      </w:r>
    </w:p>
    <w:p w14:paraId="6B73B90D">
      <w:pPr>
        <w:spacing w:line="223" w:lineRule="auto"/>
        <w:sectPr>
          <w:pgSz w:w="12240" w:h="15840"/>
          <w:pgMar w:top="1346" w:right="1836" w:bottom="0" w:left="1816" w:header="0" w:footer="0" w:gutter="0"/>
          <w:cols w:space="720" w:num="1"/>
        </w:sectPr>
      </w:pPr>
    </w:p>
    <w:p w14:paraId="1B68B793">
      <w:pPr>
        <w:spacing w:before="143" w:line="224" w:lineRule="auto"/>
        <w:ind w:left="2647"/>
        <w:rPr>
          <w:rFonts w:ascii="黑体" w:hAnsi="黑体" w:eastAsia="黑体" w:cs="黑体"/>
          <w:sz w:val="31"/>
          <w:szCs w:val="31"/>
        </w:rPr>
      </w:pPr>
      <w:r>
        <w:rPr>
          <w:rFonts w:ascii="黑体" w:hAnsi="黑体" w:eastAsia="黑体" w:cs="黑体"/>
          <w:spacing w:val="8"/>
          <w:sz w:val="31"/>
          <w:szCs w:val="31"/>
        </w:rPr>
        <w:t>第一部分 部门单位概况</w:t>
      </w:r>
    </w:p>
    <w:p w14:paraId="52E70369">
      <w:pPr>
        <w:spacing w:before="248" w:line="225" w:lineRule="auto"/>
        <w:ind w:left="653"/>
        <w:rPr>
          <w:rFonts w:ascii="黑体" w:hAnsi="黑体" w:eastAsia="黑体" w:cs="黑体"/>
          <w:sz w:val="31"/>
          <w:szCs w:val="31"/>
        </w:rPr>
      </w:pPr>
      <w:r>
        <w:rPr>
          <w:rFonts w:ascii="黑体" w:hAnsi="黑体" w:eastAsia="黑体" w:cs="黑体"/>
          <w:spacing w:val="3"/>
          <w:sz w:val="31"/>
          <w:szCs w:val="31"/>
        </w:rPr>
        <w:t>一、主要职能</w:t>
      </w:r>
    </w:p>
    <w:p w14:paraId="6900E130">
      <w:pPr>
        <w:pStyle w:val="2"/>
        <w:spacing w:before="244" w:line="372" w:lineRule="auto"/>
        <w:ind w:left="2" w:firstLine="659"/>
        <w:jc w:val="both"/>
      </w:pPr>
      <w:r>
        <w:rPr>
          <w:spacing w:val="8"/>
        </w:rPr>
        <w:t>乌鲁木齐市雅玛里克山污水处理厂成立于2000年10</w:t>
      </w:r>
      <w:r>
        <w:rPr>
          <w:spacing w:val="7"/>
        </w:rPr>
        <w:t>月，是</w:t>
      </w:r>
      <w:r>
        <w:rPr>
          <w:spacing w:val="9"/>
        </w:rPr>
        <w:t>为了改善乌鲁木齐市城市生态环境，缓解水资源紧张</w:t>
      </w:r>
      <w:r>
        <w:rPr>
          <w:spacing w:val="8"/>
        </w:rPr>
        <w:t>状况，本</w:t>
      </w:r>
      <w:r>
        <w:rPr>
          <w:spacing w:val="9"/>
        </w:rPr>
        <w:t>着综合整治、保护资源、化害为利的原则，确保雅玛里克山绿</w:t>
      </w:r>
      <w:r>
        <w:t>化用水的工程。</w:t>
      </w:r>
    </w:p>
    <w:p w14:paraId="5FB508F5">
      <w:pPr>
        <w:pStyle w:val="2"/>
        <w:spacing w:before="7" w:line="371" w:lineRule="auto"/>
        <w:ind w:left="4" w:right="1" w:firstLine="700"/>
        <w:jc w:val="both"/>
      </w:pPr>
      <w:r>
        <w:rPr>
          <w:spacing w:val="4"/>
        </w:rPr>
        <w:t>目前城市生活污水排放已是我国城市水源的主</w:t>
      </w:r>
      <w:r>
        <w:rPr>
          <w:spacing w:val="3"/>
        </w:rPr>
        <w:t>要污染源，</w:t>
      </w:r>
      <w:r>
        <w:rPr>
          <w:spacing w:val="9"/>
        </w:rPr>
        <w:t>城市生活污水处理是当前和今后城市节水和城市水环境保护工作的重中之重，这就要求我们要把处理生活污水设施的建设作</w:t>
      </w:r>
      <w:r>
        <w:rPr>
          <w:spacing w:val="8"/>
        </w:rPr>
        <w:t>为城市基础设施的重要内容来抓，而且是急不可待的事情。我</w:t>
      </w:r>
      <w:r>
        <w:rPr>
          <w:spacing w:val="9"/>
        </w:rPr>
        <w:t>厂主要是将城市主管网的生活污水经过多级提升至我厂进行处</w:t>
      </w:r>
      <w:r>
        <w:rPr>
          <w:spacing w:val="3"/>
        </w:rPr>
        <w:t>理，将处理后的再生水（一级A标准）用于雅玛里克山进行荒山</w:t>
      </w:r>
      <w:r>
        <w:rPr>
          <w:spacing w:val="-12"/>
        </w:rPr>
        <w:t>绿化。</w:t>
      </w:r>
    </w:p>
    <w:p w14:paraId="332FE54D">
      <w:pPr>
        <w:pStyle w:val="2"/>
        <w:spacing w:before="6" w:line="371" w:lineRule="auto"/>
        <w:ind w:right="4" w:firstLine="648"/>
        <w:jc w:val="both"/>
      </w:pPr>
      <w:r>
        <w:rPr>
          <w:spacing w:val="9"/>
        </w:rPr>
        <w:t>进行处理后浇灌荒山绿化带，生态效益可观。有益于生态功能的恢复，美化自然生态环境，在植物生存繁茂的同时调节</w:t>
      </w:r>
      <w:r>
        <w:rPr>
          <w:spacing w:val="4"/>
        </w:rPr>
        <w:t>了气侯，</w:t>
      </w:r>
      <w:r>
        <w:rPr>
          <w:spacing w:val="-74"/>
        </w:rPr>
        <w:t xml:space="preserve"> </w:t>
      </w:r>
      <w:r>
        <w:rPr>
          <w:spacing w:val="4"/>
        </w:rPr>
        <w:t>阻隔吸纳了噪音，保持了水土，</w:t>
      </w:r>
      <w:r>
        <w:rPr>
          <w:spacing w:val="-87"/>
        </w:rPr>
        <w:t xml:space="preserve"> </w:t>
      </w:r>
      <w:r>
        <w:rPr>
          <w:spacing w:val="4"/>
        </w:rPr>
        <w:t>提供野生动物生活环</w:t>
      </w:r>
      <w:r>
        <w:rPr>
          <w:spacing w:val="9"/>
        </w:rPr>
        <w:t>境，发展了旅游业，给人以美学价值和精神享受。尤其是对乌鲁木齐的可持续发展具有深远的社会效益、经济效益和环境效</w:t>
      </w:r>
      <w:r>
        <w:rPr>
          <w:spacing w:val="-15"/>
        </w:rPr>
        <w:t>益。</w:t>
      </w:r>
    </w:p>
    <w:p w14:paraId="65943DF8">
      <w:pPr>
        <w:spacing w:before="1" w:line="223" w:lineRule="auto"/>
        <w:ind w:left="653"/>
        <w:rPr>
          <w:rFonts w:ascii="黑体" w:hAnsi="黑体" w:eastAsia="黑体" w:cs="黑体"/>
          <w:sz w:val="31"/>
          <w:szCs w:val="31"/>
        </w:rPr>
      </w:pPr>
      <w:r>
        <w:rPr>
          <w:rFonts w:ascii="黑体" w:hAnsi="黑体" w:eastAsia="黑体" w:cs="黑体"/>
          <w:spacing w:val="8"/>
          <w:sz w:val="31"/>
          <w:szCs w:val="31"/>
        </w:rPr>
        <w:t>二、机构设置及人员情况</w:t>
      </w:r>
    </w:p>
    <w:p w14:paraId="2D1D0AC1">
      <w:pPr>
        <w:pStyle w:val="2"/>
        <w:spacing w:before="248" w:line="222" w:lineRule="auto"/>
        <w:ind w:right="1"/>
        <w:jc w:val="right"/>
      </w:pPr>
      <w:r>
        <w:rPr>
          <w:spacing w:val="8"/>
        </w:rPr>
        <w:t>乌鲁木齐市雅玛里克山污水处理厂2021年度，实有</w:t>
      </w:r>
      <w:r>
        <w:rPr>
          <w:spacing w:val="7"/>
        </w:rPr>
        <w:t>人数47</w:t>
      </w:r>
    </w:p>
    <w:p w14:paraId="642C14C7">
      <w:pPr>
        <w:spacing w:line="222" w:lineRule="auto"/>
        <w:sectPr>
          <w:pgSz w:w="12240" w:h="15840"/>
          <w:pgMar w:top="1346" w:right="1800" w:bottom="0" w:left="1805" w:header="0" w:footer="0" w:gutter="0"/>
          <w:cols w:space="720" w:num="1"/>
        </w:sectPr>
      </w:pPr>
    </w:p>
    <w:p w14:paraId="17A6B086">
      <w:pPr>
        <w:pStyle w:val="2"/>
        <w:spacing w:before="143" w:line="221" w:lineRule="auto"/>
        <w:ind w:left="7"/>
      </w:pPr>
      <w:r>
        <w:rPr>
          <w:spacing w:val="7"/>
        </w:rPr>
        <w:t>人，其中：在职人员35人，离休人员0人，退休人员1</w:t>
      </w:r>
      <w:r>
        <w:rPr>
          <w:spacing w:val="6"/>
        </w:rPr>
        <w:t>2人。</w:t>
      </w:r>
    </w:p>
    <w:p w14:paraId="63CAB10C">
      <w:pPr>
        <w:pStyle w:val="2"/>
        <w:spacing w:before="252" w:line="372" w:lineRule="auto"/>
        <w:ind w:right="88" w:firstLine="653"/>
        <w:jc w:val="both"/>
      </w:pPr>
      <w:r>
        <w:rPr>
          <w:spacing w:val="6"/>
        </w:rPr>
        <w:t>从部门决算单位构成看，</w:t>
      </w:r>
      <w:r>
        <w:rPr>
          <w:spacing w:val="-83"/>
        </w:rPr>
        <w:t xml:space="preserve"> </w:t>
      </w:r>
      <w:r>
        <w:rPr>
          <w:spacing w:val="6"/>
        </w:rPr>
        <w:t>乌鲁木齐市雅玛里克山污水处理</w:t>
      </w:r>
      <w:r>
        <w:rPr>
          <w:spacing w:val="8"/>
        </w:rPr>
        <w:t>厂部门决算包括：乌鲁木齐市雅玛里克山污水处理厂决算。单</w:t>
      </w:r>
      <w:r>
        <w:rPr>
          <w:spacing w:val="6"/>
        </w:rPr>
        <w:t>位无下属预算单位，下设1个科室，分别是：</w:t>
      </w:r>
      <w:r>
        <w:rPr>
          <w:spacing w:val="-84"/>
        </w:rPr>
        <w:t xml:space="preserve"> </w:t>
      </w:r>
      <w:r>
        <w:rPr>
          <w:spacing w:val="6"/>
        </w:rPr>
        <w:t>办公室。</w:t>
      </w:r>
    </w:p>
    <w:p w14:paraId="09FDA12B">
      <w:pPr>
        <w:spacing w:before="99" w:line="224" w:lineRule="auto"/>
        <w:ind w:left="2324"/>
        <w:rPr>
          <w:rFonts w:ascii="黑体" w:hAnsi="黑体" w:eastAsia="黑体" w:cs="黑体"/>
          <w:sz w:val="31"/>
          <w:szCs w:val="31"/>
        </w:rPr>
      </w:pPr>
      <w:r>
        <w:rPr>
          <w:rFonts w:ascii="黑体" w:hAnsi="黑体" w:eastAsia="黑体" w:cs="黑体"/>
          <w:spacing w:val="8"/>
          <w:sz w:val="31"/>
          <w:szCs w:val="31"/>
        </w:rPr>
        <w:t>第二部分 部门决算情况说明</w:t>
      </w:r>
    </w:p>
    <w:p w14:paraId="2102F817">
      <w:pPr>
        <w:spacing w:before="279" w:line="224" w:lineRule="auto"/>
        <w:ind w:left="650"/>
        <w:rPr>
          <w:rFonts w:ascii="黑体" w:hAnsi="黑体" w:eastAsia="黑体" w:cs="黑体"/>
          <w:sz w:val="31"/>
          <w:szCs w:val="31"/>
        </w:rPr>
      </w:pPr>
      <w:r>
        <w:rPr>
          <w:rFonts w:ascii="黑体" w:hAnsi="黑体" w:eastAsia="黑体" w:cs="黑体"/>
          <w:spacing w:val="6"/>
          <w:sz w:val="31"/>
          <w:szCs w:val="31"/>
        </w:rPr>
        <w:t>一、收入支出决算总体情况说明</w:t>
      </w:r>
    </w:p>
    <w:p w14:paraId="24CD90FC">
      <w:pPr>
        <w:pStyle w:val="2"/>
        <w:spacing w:before="245" w:line="372" w:lineRule="auto"/>
        <w:ind w:left="8" w:firstLine="649"/>
        <w:jc w:val="both"/>
      </w:pPr>
      <w:r>
        <w:rPr>
          <w:spacing w:val="-2"/>
        </w:rPr>
        <w:t>2021年度本年收入412.61万元，</w:t>
      </w:r>
      <w:r>
        <w:rPr>
          <w:spacing w:val="-3"/>
        </w:rPr>
        <w:t>与上年相比，减少1,292.04</w:t>
      </w:r>
      <w:r>
        <w:rPr>
          <w:spacing w:val="1"/>
        </w:rPr>
        <w:t>万元，降低75.80%，主要原因是：本年单位桑德水</w:t>
      </w:r>
      <w:r>
        <w:t>费项目减少，</w:t>
      </w:r>
      <w:r>
        <w:rPr>
          <w:spacing w:val="25"/>
        </w:rPr>
        <w:t>导致收入减少。本年支出413.03万元，</w:t>
      </w:r>
      <w:r>
        <w:rPr>
          <w:spacing w:val="-56"/>
        </w:rPr>
        <w:t xml:space="preserve"> </w:t>
      </w:r>
      <w:r>
        <w:rPr>
          <w:spacing w:val="25"/>
        </w:rPr>
        <w:t>与</w:t>
      </w:r>
      <w:r>
        <w:rPr>
          <w:spacing w:val="24"/>
        </w:rPr>
        <w:t>上年相比，</w:t>
      </w:r>
      <w:r>
        <w:rPr>
          <w:spacing w:val="-80"/>
        </w:rPr>
        <w:t xml:space="preserve"> </w:t>
      </w:r>
      <w:r>
        <w:rPr>
          <w:spacing w:val="24"/>
        </w:rPr>
        <w:t>减少</w:t>
      </w:r>
      <w:r>
        <w:rPr>
          <w:spacing w:val="7"/>
        </w:rPr>
        <w:t>1,279.45万元，降低75.60%，主要原因是：本年单位桑德水费项目减少，导致支出减少。</w:t>
      </w:r>
    </w:p>
    <w:p w14:paraId="096F9581">
      <w:pPr>
        <w:spacing w:before="1" w:line="223" w:lineRule="auto"/>
        <w:ind w:left="650"/>
        <w:rPr>
          <w:rFonts w:ascii="黑体" w:hAnsi="黑体" w:eastAsia="黑体" w:cs="黑体"/>
          <w:sz w:val="31"/>
          <w:szCs w:val="31"/>
        </w:rPr>
      </w:pPr>
      <w:r>
        <w:rPr>
          <w:rFonts w:ascii="黑体" w:hAnsi="黑体" w:eastAsia="黑体" w:cs="黑体"/>
          <w:spacing w:val="7"/>
          <w:sz w:val="31"/>
          <w:szCs w:val="31"/>
        </w:rPr>
        <w:t>二、收入决算情况说明</w:t>
      </w:r>
    </w:p>
    <w:p w14:paraId="694DC9E6">
      <w:pPr>
        <w:pStyle w:val="2"/>
        <w:spacing w:before="246" w:line="372" w:lineRule="auto"/>
        <w:ind w:left="12" w:right="81" w:firstLine="645"/>
        <w:jc w:val="both"/>
      </w:pPr>
      <w:r>
        <w:rPr>
          <w:spacing w:val="-3"/>
        </w:rPr>
        <w:t>2021年度本年收入412.61万元，其中：财政拨款收入412.46</w:t>
      </w:r>
      <w:r>
        <w:rPr>
          <w:spacing w:val="3"/>
        </w:rPr>
        <w:t>万元，占99.96%；上级补助收入0.00万</w:t>
      </w:r>
      <w:r>
        <w:rPr>
          <w:spacing w:val="2"/>
        </w:rPr>
        <w:t>元，占0.00%；事业收入</w:t>
      </w:r>
      <w:r>
        <w:rPr>
          <w:spacing w:val="7"/>
        </w:rPr>
        <w:t>0.00万元，占0.00%；经营收入0.00万元，占0.00%</w:t>
      </w:r>
      <w:r>
        <w:rPr>
          <w:spacing w:val="6"/>
        </w:rPr>
        <w:t>；附属单位</w:t>
      </w:r>
      <w:r>
        <w:rPr>
          <w:spacing w:val="7"/>
        </w:rPr>
        <w:t>上缴收入0.00万元，占0.00%；其他收入0.</w:t>
      </w:r>
      <w:r>
        <w:rPr>
          <w:spacing w:val="6"/>
        </w:rPr>
        <w:t>15万元，占0.04%。</w:t>
      </w:r>
    </w:p>
    <w:p w14:paraId="028AD709">
      <w:pPr>
        <w:spacing w:before="1" w:line="223" w:lineRule="auto"/>
        <w:ind w:left="652"/>
        <w:rPr>
          <w:rFonts w:ascii="黑体" w:hAnsi="黑体" w:eastAsia="黑体" w:cs="黑体"/>
          <w:sz w:val="31"/>
          <w:szCs w:val="31"/>
        </w:rPr>
      </w:pPr>
      <w:r>
        <w:rPr>
          <w:rFonts w:ascii="黑体" w:hAnsi="黑体" w:eastAsia="黑体" w:cs="黑体"/>
          <w:spacing w:val="7"/>
          <w:sz w:val="31"/>
          <w:szCs w:val="31"/>
        </w:rPr>
        <w:t>三、支出决算情况说明</w:t>
      </w:r>
    </w:p>
    <w:p w14:paraId="4113A466">
      <w:pPr>
        <w:pStyle w:val="2"/>
        <w:spacing w:before="247" w:line="372" w:lineRule="auto"/>
        <w:ind w:left="16" w:right="81" w:firstLine="641"/>
        <w:jc w:val="both"/>
      </w:pPr>
      <w:r>
        <w:rPr>
          <w:spacing w:val="7"/>
        </w:rPr>
        <w:t>2021年度本年支出413.03万元，其中：基本支出</w:t>
      </w:r>
      <w:r>
        <w:rPr>
          <w:spacing w:val="6"/>
        </w:rPr>
        <w:t>413.03万</w:t>
      </w:r>
      <w:r>
        <w:rPr>
          <w:spacing w:val="7"/>
        </w:rPr>
        <w:t>元，占100.00%；项目支出0.00万元，占0.00%；上缴上级</w:t>
      </w:r>
      <w:r>
        <w:rPr>
          <w:spacing w:val="6"/>
        </w:rPr>
        <w:t>支出</w:t>
      </w:r>
      <w:r>
        <w:rPr>
          <w:spacing w:val="7"/>
        </w:rPr>
        <w:t>0.00万元，占0.00%；经营支出0.00万元，占0</w:t>
      </w:r>
      <w:r>
        <w:rPr>
          <w:spacing w:val="6"/>
        </w:rPr>
        <w:t>.00%；对附属单</w:t>
      </w:r>
    </w:p>
    <w:p w14:paraId="1D09633C">
      <w:pPr>
        <w:spacing w:line="372" w:lineRule="auto"/>
        <w:sectPr>
          <w:pgSz w:w="12240" w:h="15840"/>
          <w:pgMar w:top="1346" w:right="1716" w:bottom="0" w:left="1807" w:header="0" w:footer="0" w:gutter="0"/>
          <w:cols w:space="720" w:num="1"/>
        </w:sectPr>
      </w:pPr>
    </w:p>
    <w:p w14:paraId="41DE01CF">
      <w:pPr>
        <w:pStyle w:val="2"/>
        <w:spacing w:before="143" w:line="223" w:lineRule="auto"/>
      </w:pPr>
      <w:r>
        <w:rPr>
          <w:spacing w:val="6"/>
        </w:rPr>
        <w:t>位补助支出0.00万元，占0.00%。</w:t>
      </w:r>
    </w:p>
    <w:p w14:paraId="778C00D3">
      <w:pPr>
        <w:spacing w:before="249" w:line="224" w:lineRule="auto"/>
        <w:ind w:left="664"/>
        <w:rPr>
          <w:rFonts w:ascii="黑体" w:hAnsi="黑体" w:eastAsia="黑体" w:cs="黑体"/>
          <w:sz w:val="31"/>
          <w:szCs w:val="31"/>
        </w:rPr>
      </w:pPr>
      <w:r>
        <w:rPr>
          <w:rFonts w:ascii="黑体" w:hAnsi="黑体" w:eastAsia="黑体" w:cs="黑体"/>
          <w:spacing w:val="7"/>
          <w:sz w:val="31"/>
          <w:szCs w:val="31"/>
        </w:rPr>
        <w:t>四、财政拨款收入支出决算总体情况说明</w:t>
      </w:r>
    </w:p>
    <w:p w14:paraId="7F1C83F0">
      <w:pPr>
        <w:pStyle w:val="2"/>
        <w:spacing w:before="245" w:line="372" w:lineRule="auto"/>
        <w:ind w:left="5" w:firstLine="653"/>
      </w:pPr>
      <w:r>
        <w:rPr>
          <w:spacing w:val="16"/>
        </w:rPr>
        <w:t>2021年度财政拨款收入412.46万元，</w:t>
      </w:r>
      <w:r>
        <w:rPr>
          <w:spacing w:val="-82"/>
        </w:rPr>
        <w:t xml:space="preserve"> </w:t>
      </w:r>
      <w:r>
        <w:rPr>
          <w:spacing w:val="16"/>
        </w:rPr>
        <w:t>与上年</w:t>
      </w:r>
      <w:r>
        <w:rPr>
          <w:spacing w:val="15"/>
        </w:rPr>
        <w:t>相比，减少</w:t>
      </w:r>
      <w:r>
        <w:rPr>
          <w:spacing w:val="7"/>
        </w:rPr>
        <w:t>1,292.06万元，降低75.80%，主要原因是：本年单位桑德水费</w:t>
      </w:r>
      <w:r>
        <w:rPr>
          <w:spacing w:val="1"/>
        </w:rPr>
        <w:t>项目减少，导致财政拨款收入减少。财政拨款支出412.93万</w:t>
      </w:r>
      <w:r>
        <w:t>元，</w:t>
      </w:r>
      <w:r>
        <w:rPr>
          <w:spacing w:val="7"/>
        </w:rPr>
        <w:t>与上年相比，减少1,279.55万元，降低75.60%</w:t>
      </w:r>
      <w:r>
        <w:rPr>
          <w:spacing w:val="6"/>
        </w:rPr>
        <w:t>，主要原因是：</w:t>
      </w:r>
      <w:r>
        <w:rPr>
          <w:spacing w:val="9"/>
        </w:rPr>
        <w:t>本年单位桑德水费项目减少，导致财政拨款支出</w:t>
      </w:r>
      <w:r>
        <w:rPr>
          <w:spacing w:val="8"/>
        </w:rPr>
        <w:t>减少。</w:t>
      </w:r>
    </w:p>
    <w:p w14:paraId="6089868A">
      <w:pPr>
        <w:pStyle w:val="2"/>
        <w:spacing w:before="6" w:line="371" w:lineRule="auto"/>
        <w:ind w:left="2" w:right="13" w:firstLine="660"/>
        <w:jc w:val="both"/>
      </w:pPr>
      <w:r>
        <w:rPr>
          <w:spacing w:val="8"/>
        </w:rPr>
        <w:t>与年初预算数相比情况：财政拨款收入年初预算</w:t>
      </w:r>
      <w:r>
        <w:rPr>
          <w:spacing w:val="7"/>
        </w:rPr>
        <w:t>数572.21</w:t>
      </w:r>
      <w:r>
        <w:rPr>
          <w:spacing w:val="-4"/>
        </w:rPr>
        <w:t>万元，决算数412.46万元，预决算差异率-27.92%，主要原因是：</w:t>
      </w:r>
      <w:r>
        <w:rPr>
          <w:spacing w:val="9"/>
        </w:rPr>
        <w:t>单位严控经费支出，预算调减，导致预决算差异。财政拨款支</w:t>
      </w:r>
      <w:r>
        <w:rPr>
          <w:spacing w:val="8"/>
        </w:rPr>
        <w:t>出年初预算数572.21万元，决算数412.93万元</w:t>
      </w:r>
      <w:r>
        <w:rPr>
          <w:spacing w:val="7"/>
        </w:rPr>
        <w:t>，预决算差异率</w:t>
      </w:r>
      <w:r>
        <w:rPr>
          <w:spacing w:val="3"/>
        </w:rPr>
        <w:t>-27.84%，主要原因是：单位严控经费支出，预算调减，导致预</w:t>
      </w:r>
      <w:r>
        <w:rPr>
          <w:spacing w:val="5"/>
        </w:rPr>
        <w:t>决算差异。</w:t>
      </w:r>
    </w:p>
    <w:p w14:paraId="66D7FB93">
      <w:pPr>
        <w:spacing w:before="1" w:line="223" w:lineRule="auto"/>
        <w:ind w:left="654"/>
        <w:rPr>
          <w:rFonts w:ascii="黑体" w:hAnsi="黑体" w:eastAsia="黑体" w:cs="黑体"/>
          <w:sz w:val="31"/>
          <w:szCs w:val="31"/>
        </w:rPr>
      </w:pPr>
      <w:r>
        <w:rPr>
          <w:rFonts w:ascii="黑体" w:hAnsi="黑体" w:eastAsia="黑体" w:cs="黑体"/>
          <w:spacing w:val="8"/>
          <w:sz w:val="31"/>
          <w:szCs w:val="31"/>
        </w:rPr>
        <w:t>五、一般公共预算财政拨款支出决算情况说明</w:t>
      </w:r>
    </w:p>
    <w:p w14:paraId="79547DAE">
      <w:pPr>
        <w:pStyle w:val="2"/>
        <w:spacing w:before="247" w:line="372" w:lineRule="auto"/>
        <w:ind w:left="7" w:right="124" w:firstLine="650"/>
      </w:pPr>
      <w:r>
        <w:rPr>
          <w:spacing w:val="6"/>
        </w:rPr>
        <w:t>2021年度一般公共预算财政拨款支出412.93万元。按功能</w:t>
      </w:r>
      <w:r>
        <w:rPr>
          <w:spacing w:val="3"/>
        </w:rPr>
        <w:t>分类科目项级科目公开，其中：</w:t>
      </w:r>
    </w:p>
    <w:p w14:paraId="506F123D">
      <w:pPr>
        <w:pStyle w:val="2"/>
        <w:spacing w:before="1" w:line="222" w:lineRule="auto"/>
        <w:ind w:left="658"/>
      </w:pPr>
      <w:r>
        <w:rPr>
          <w:spacing w:val="5"/>
        </w:rPr>
        <w:t>2080505机关事业单位基本养老保险缴费支出39.75万元；</w:t>
      </w:r>
    </w:p>
    <w:p w14:paraId="3927F5C4">
      <w:pPr>
        <w:pStyle w:val="2"/>
        <w:spacing w:before="251" w:line="222" w:lineRule="auto"/>
        <w:ind w:left="658"/>
      </w:pPr>
      <w:r>
        <w:rPr>
          <w:spacing w:val="4"/>
        </w:rPr>
        <w:t>2080506机关事业单位职业年金缴费支出4.02万元；</w:t>
      </w:r>
    </w:p>
    <w:p w14:paraId="118FD5B4">
      <w:pPr>
        <w:pStyle w:val="2"/>
        <w:spacing w:before="251" w:line="223" w:lineRule="auto"/>
        <w:ind w:left="658"/>
      </w:pPr>
      <w:r>
        <w:rPr>
          <w:spacing w:val="6"/>
        </w:rPr>
        <w:t>2120399其他城乡社区公共设施支出369.16万元。</w:t>
      </w:r>
    </w:p>
    <w:p w14:paraId="5672534C">
      <w:pPr>
        <w:spacing w:before="249" w:line="224" w:lineRule="auto"/>
        <w:ind w:left="655"/>
        <w:rPr>
          <w:rFonts w:ascii="黑体" w:hAnsi="黑体" w:eastAsia="黑体" w:cs="黑体"/>
          <w:sz w:val="31"/>
          <w:szCs w:val="31"/>
        </w:rPr>
      </w:pPr>
      <w:r>
        <w:rPr>
          <w:rFonts w:ascii="黑体" w:hAnsi="黑体" w:eastAsia="黑体" w:cs="黑体"/>
          <w:spacing w:val="8"/>
          <w:sz w:val="31"/>
          <w:szCs w:val="31"/>
        </w:rPr>
        <w:t>六、一般公共预算财政拨款基本支出决算情况说明</w:t>
      </w:r>
    </w:p>
    <w:p w14:paraId="545F5B03">
      <w:pPr>
        <w:pStyle w:val="2"/>
        <w:spacing w:before="248" w:line="223" w:lineRule="auto"/>
        <w:ind w:left="658"/>
      </w:pPr>
      <w:r>
        <w:rPr>
          <w:spacing w:val="7"/>
        </w:rPr>
        <w:t>2021年度一般公共预算财政拨款基本支出412.93万元，其</w:t>
      </w:r>
    </w:p>
    <w:p w14:paraId="4CA41306">
      <w:pPr>
        <w:spacing w:line="223" w:lineRule="auto"/>
        <w:sectPr>
          <w:pgSz w:w="12240" w:h="15840"/>
          <w:pgMar w:top="1346" w:right="1716" w:bottom="0" w:left="1807" w:header="0" w:footer="0" w:gutter="0"/>
          <w:cols w:space="720" w:num="1"/>
        </w:sectPr>
      </w:pPr>
    </w:p>
    <w:p w14:paraId="1D9C48D3">
      <w:pPr>
        <w:pStyle w:val="2"/>
        <w:spacing w:before="143" w:line="224" w:lineRule="auto"/>
        <w:ind w:left="38"/>
      </w:pPr>
      <w:r>
        <w:rPr>
          <w:spacing w:val="-31"/>
        </w:rPr>
        <w:t>中：</w:t>
      </w:r>
    </w:p>
    <w:p w14:paraId="200725A8">
      <w:pPr>
        <w:pStyle w:val="2"/>
        <w:spacing w:before="245" w:line="372" w:lineRule="auto"/>
        <w:ind w:left="11" w:firstLine="633"/>
      </w:pPr>
      <w:r>
        <w:t>人员经费407.38万元，包括：基本工资、津贴补贴、奖金、</w:t>
      </w:r>
      <w:r>
        <w:rPr>
          <w:spacing w:val="6"/>
        </w:rPr>
        <w:t>绩效工资、机关事业单位基本养老保险缴费、职业年金缴费、</w:t>
      </w:r>
      <w:r>
        <w:rPr>
          <w:spacing w:val="9"/>
        </w:rPr>
        <w:t>职工基本医疗保险缴费、公务员医疗补助缴费、其他社</w:t>
      </w:r>
      <w:r>
        <w:rPr>
          <w:spacing w:val="8"/>
        </w:rPr>
        <w:t>会保障</w:t>
      </w:r>
      <w:r>
        <w:rPr>
          <w:spacing w:val="5"/>
        </w:rPr>
        <w:t>缴费、住房公积金、退休费、奖励金。</w:t>
      </w:r>
    </w:p>
    <w:p w14:paraId="47F5FEBF">
      <w:pPr>
        <w:pStyle w:val="2"/>
        <w:spacing w:before="3" w:line="371" w:lineRule="auto"/>
        <w:ind w:left="1" w:right="99" w:firstLine="639"/>
      </w:pPr>
      <w:r>
        <w:rPr>
          <w:spacing w:val="8"/>
        </w:rPr>
        <w:t>公用经费5.55万元，包括：办公费、邮电费、公务用车运</w:t>
      </w:r>
      <w:r>
        <w:rPr>
          <w:spacing w:val="7"/>
        </w:rPr>
        <w:t>行维护费、办公设备购置。</w:t>
      </w:r>
    </w:p>
    <w:p w14:paraId="1D9BE519">
      <w:pPr>
        <w:spacing w:line="223" w:lineRule="auto"/>
        <w:ind w:left="640"/>
        <w:rPr>
          <w:rFonts w:ascii="黑体" w:hAnsi="黑体" w:eastAsia="黑体" w:cs="黑体"/>
          <w:sz w:val="31"/>
          <w:szCs w:val="31"/>
        </w:rPr>
      </w:pPr>
      <w:r>
        <w:rPr>
          <w:rFonts w:ascii="黑体" w:hAnsi="黑体" w:eastAsia="黑体" w:cs="黑体"/>
          <w:spacing w:val="9"/>
          <w:sz w:val="31"/>
          <w:szCs w:val="31"/>
        </w:rPr>
        <w:t>七、一般公共预算财政拨款</w:t>
      </w:r>
      <w:r>
        <w:rPr>
          <w:rFonts w:ascii="Times New Roman" w:hAnsi="Times New Roman" w:eastAsia="Times New Roman" w:cs="Times New Roman"/>
          <w:spacing w:val="9"/>
          <w:sz w:val="31"/>
          <w:szCs w:val="31"/>
        </w:rPr>
        <w:t>“</w:t>
      </w:r>
      <w:r>
        <w:rPr>
          <w:rFonts w:ascii="黑体" w:hAnsi="黑体" w:eastAsia="黑体" w:cs="黑体"/>
          <w:spacing w:val="9"/>
          <w:sz w:val="31"/>
          <w:szCs w:val="31"/>
        </w:rPr>
        <w:t>三公</w:t>
      </w:r>
      <w:r>
        <w:rPr>
          <w:rFonts w:ascii="Times New Roman" w:hAnsi="Times New Roman" w:eastAsia="Times New Roman" w:cs="Times New Roman"/>
          <w:spacing w:val="9"/>
          <w:sz w:val="31"/>
          <w:szCs w:val="31"/>
        </w:rPr>
        <w:t>”</w:t>
      </w:r>
      <w:r>
        <w:rPr>
          <w:rFonts w:ascii="黑体" w:hAnsi="黑体" w:eastAsia="黑体" w:cs="黑体"/>
          <w:spacing w:val="9"/>
          <w:sz w:val="31"/>
          <w:szCs w:val="31"/>
        </w:rPr>
        <w:t>经费支出决算情况说明</w:t>
      </w:r>
    </w:p>
    <w:p w14:paraId="42B60E5D">
      <w:pPr>
        <w:pStyle w:val="2"/>
        <w:spacing w:before="243" w:line="372" w:lineRule="auto"/>
        <w:ind w:right="11" w:firstLine="654"/>
      </w:pPr>
      <w:r>
        <w:rPr>
          <w:spacing w:val="6"/>
        </w:rPr>
        <w:t>2021年度一般公共预算</w:t>
      </w:r>
      <w:r>
        <w:rPr>
          <w:rFonts w:ascii="Times New Roman" w:hAnsi="Times New Roman" w:eastAsia="Times New Roman" w:cs="Times New Roman"/>
          <w:spacing w:val="6"/>
        </w:rPr>
        <w:t>“</w:t>
      </w:r>
      <w:r>
        <w:rPr>
          <w:rFonts w:ascii="Times New Roman" w:hAnsi="Times New Roman" w:eastAsia="Times New Roman" w:cs="Times New Roman"/>
          <w:spacing w:val="-21"/>
        </w:rPr>
        <w:t xml:space="preserve"> </w:t>
      </w:r>
      <w:r>
        <w:rPr>
          <w:spacing w:val="6"/>
        </w:rPr>
        <w:t>三公</w:t>
      </w:r>
      <w:r>
        <w:rPr>
          <w:rFonts w:ascii="Times New Roman" w:hAnsi="Times New Roman" w:eastAsia="Times New Roman" w:cs="Times New Roman"/>
          <w:spacing w:val="6"/>
        </w:rPr>
        <w:t>”</w:t>
      </w:r>
      <w:r>
        <w:rPr>
          <w:rFonts w:ascii="Times New Roman" w:hAnsi="Times New Roman" w:eastAsia="Times New Roman" w:cs="Times New Roman"/>
          <w:spacing w:val="-55"/>
        </w:rPr>
        <w:t xml:space="preserve"> </w:t>
      </w:r>
      <w:r>
        <w:rPr>
          <w:spacing w:val="6"/>
        </w:rPr>
        <w:t>经费支出决算0.21万元，比</w:t>
      </w:r>
      <w:r>
        <w:rPr>
          <w:spacing w:val="5"/>
        </w:rPr>
        <w:t>上年减少2.53万元，降低92.34%，主要原因是</w:t>
      </w:r>
      <w:r>
        <w:rPr>
          <w:spacing w:val="4"/>
        </w:rPr>
        <w:t>：</w:t>
      </w:r>
      <w:r>
        <w:rPr>
          <w:spacing w:val="-65"/>
        </w:rPr>
        <w:t xml:space="preserve"> </w:t>
      </w:r>
      <w:r>
        <w:rPr>
          <w:spacing w:val="4"/>
        </w:rPr>
        <w:t>厉行节约，公</w:t>
      </w:r>
      <w:r>
        <w:rPr>
          <w:spacing w:val="6"/>
        </w:rPr>
        <w:t>务用车使用次数减少，公务用车运行维护费支出减少。其中：</w:t>
      </w:r>
      <w:r>
        <w:rPr>
          <w:spacing w:val="10"/>
        </w:rPr>
        <w:t>因公出国（境）费支出0.00万元，</w:t>
      </w:r>
      <w:r>
        <w:rPr>
          <w:spacing w:val="-66"/>
        </w:rPr>
        <w:t xml:space="preserve"> </w:t>
      </w:r>
      <w:r>
        <w:rPr>
          <w:spacing w:val="10"/>
        </w:rPr>
        <w:t>占0.00%，比上年增加</w:t>
      </w:r>
      <w:r>
        <w:rPr>
          <w:spacing w:val="9"/>
        </w:rPr>
        <w:t>0.00</w:t>
      </w:r>
      <w:r>
        <w:rPr>
          <w:spacing w:val="3"/>
        </w:rPr>
        <w:t>万元，增长0.00%，主要原因是：本年单位无因公出国（境）费</w:t>
      </w:r>
      <w:r>
        <w:rPr>
          <w:spacing w:val="6"/>
        </w:rPr>
        <w:t>支出；公务用车购置及运行维护费支出0.2</w:t>
      </w:r>
      <w:r>
        <w:rPr>
          <w:spacing w:val="5"/>
        </w:rPr>
        <w:t>1万元，占100.00%，比上年减少2.53万元，降低92.34%，主要原因是：</w:t>
      </w:r>
      <w:r>
        <w:rPr>
          <w:spacing w:val="-71"/>
        </w:rPr>
        <w:t xml:space="preserve"> </w:t>
      </w:r>
      <w:r>
        <w:rPr>
          <w:spacing w:val="5"/>
        </w:rPr>
        <w:t>厉行节约，</w:t>
      </w:r>
      <w:r>
        <w:rPr>
          <w:spacing w:val="9"/>
        </w:rPr>
        <w:t>公务用车使用次数减少，公务用车运行维护费支出减少；公务</w:t>
      </w:r>
      <w:r>
        <w:rPr>
          <w:spacing w:val="7"/>
        </w:rPr>
        <w:t>接待费支出0.00万元，</w:t>
      </w:r>
      <w:r>
        <w:rPr>
          <w:spacing w:val="-56"/>
        </w:rPr>
        <w:t xml:space="preserve"> </w:t>
      </w:r>
      <w:r>
        <w:rPr>
          <w:spacing w:val="7"/>
        </w:rPr>
        <w:t>占0.00%，</w:t>
      </w:r>
      <w:r>
        <w:rPr>
          <w:spacing w:val="-73"/>
        </w:rPr>
        <w:t xml:space="preserve"> </w:t>
      </w:r>
      <w:r>
        <w:rPr>
          <w:spacing w:val="7"/>
        </w:rPr>
        <w:t>比上年增加0.00万元，增长</w:t>
      </w:r>
      <w:r>
        <w:rPr>
          <w:spacing w:val="5"/>
        </w:rPr>
        <w:t>0.00%，主要原因是：</w:t>
      </w:r>
      <w:r>
        <w:rPr>
          <w:spacing w:val="-62"/>
        </w:rPr>
        <w:t xml:space="preserve"> </w:t>
      </w:r>
      <w:r>
        <w:rPr>
          <w:spacing w:val="5"/>
        </w:rPr>
        <w:t>本年单位无此项支出。具体情况如下：</w:t>
      </w:r>
    </w:p>
    <w:p w14:paraId="28E6AC36">
      <w:pPr>
        <w:pStyle w:val="2"/>
        <w:spacing w:before="2" w:line="372" w:lineRule="auto"/>
        <w:ind w:left="5" w:right="99" w:firstLine="675"/>
      </w:pPr>
      <w:r>
        <w:rPr>
          <w:spacing w:val="5"/>
        </w:rPr>
        <w:t>因公出国（境）</w:t>
      </w:r>
      <w:r>
        <w:rPr>
          <w:spacing w:val="-90"/>
        </w:rPr>
        <w:t xml:space="preserve"> </w:t>
      </w:r>
      <w:r>
        <w:rPr>
          <w:spacing w:val="5"/>
        </w:rPr>
        <w:t>费支出0.00万元，开支</w:t>
      </w:r>
      <w:r>
        <w:rPr>
          <w:spacing w:val="4"/>
        </w:rPr>
        <w:t>内容包括本年单位</w:t>
      </w:r>
      <w:r>
        <w:rPr>
          <w:spacing w:val="7"/>
        </w:rPr>
        <w:t>无因公出国（境）费支出。单位全年安排的因公出国（境）团</w:t>
      </w:r>
      <w:r>
        <w:rPr>
          <w:spacing w:val="3"/>
        </w:rPr>
        <w:t>组0个，因公出国（境）</w:t>
      </w:r>
      <w:r>
        <w:rPr>
          <w:spacing w:val="-90"/>
        </w:rPr>
        <w:t xml:space="preserve"> </w:t>
      </w:r>
      <w:r>
        <w:rPr>
          <w:spacing w:val="3"/>
        </w:rPr>
        <w:t>0人次。</w:t>
      </w:r>
    </w:p>
    <w:p w14:paraId="2C56F173">
      <w:pPr>
        <w:spacing w:line="372" w:lineRule="auto"/>
        <w:sectPr>
          <w:pgSz w:w="12240" w:h="15840"/>
          <w:pgMar w:top="1346" w:right="1705" w:bottom="0" w:left="1811" w:header="0" w:footer="0" w:gutter="0"/>
          <w:cols w:space="720" w:num="1"/>
        </w:sectPr>
      </w:pPr>
    </w:p>
    <w:p w14:paraId="6FE3697C">
      <w:pPr>
        <w:pStyle w:val="2"/>
        <w:spacing w:before="146" w:line="371" w:lineRule="auto"/>
        <w:ind w:left="13" w:right="86" w:firstLine="629"/>
        <w:jc w:val="both"/>
      </w:pPr>
      <w:r>
        <w:rPr>
          <w:spacing w:val="8"/>
        </w:rPr>
        <w:t>公务用车购置及运行维护费0.21万元，其中：公务用车购置费0.00万元，公务用车运行维护费0.21万元。</w:t>
      </w:r>
      <w:r>
        <w:rPr>
          <w:spacing w:val="7"/>
        </w:rPr>
        <w:t>公务用车运行</w:t>
      </w:r>
      <w:r>
        <w:rPr>
          <w:spacing w:val="9"/>
        </w:rPr>
        <w:t>维护费开支内容包括公务用车燃油费、车辆维修维护费、保险</w:t>
      </w:r>
      <w:r>
        <w:rPr>
          <w:spacing w:val="7"/>
        </w:rPr>
        <w:t>费、过路费等。公务用车购置数0辆，公务用车保有量1辆。</w:t>
      </w:r>
    </w:p>
    <w:p w14:paraId="3ECD550F">
      <w:pPr>
        <w:pStyle w:val="2"/>
        <w:spacing w:line="372" w:lineRule="auto"/>
        <w:ind w:right="87" w:firstLine="643"/>
        <w:jc w:val="both"/>
      </w:pPr>
      <w:r>
        <w:rPr>
          <w:spacing w:val="8"/>
        </w:rPr>
        <w:t>公务接待费0.00万元，开支内容包括厉行节约，公务用车</w:t>
      </w:r>
      <w:r>
        <w:rPr>
          <w:spacing w:val="9"/>
        </w:rPr>
        <w:t>使用次数减少，公务用车运行维护费支出减少。单位全年安排</w:t>
      </w:r>
      <w:r>
        <w:rPr>
          <w:spacing w:val="3"/>
        </w:rPr>
        <w:t>的国内公务接待0批次，</w:t>
      </w:r>
      <w:r>
        <w:rPr>
          <w:spacing w:val="-83"/>
        </w:rPr>
        <w:t xml:space="preserve"> </w:t>
      </w:r>
      <w:r>
        <w:rPr>
          <w:spacing w:val="3"/>
        </w:rPr>
        <w:t>0人次。</w:t>
      </w:r>
    </w:p>
    <w:p w14:paraId="52BA36D9">
      <w:pPr>
        <w:pStyle w:val="2"/>
        <w:spacing w:before="6" w:line="371" w:lineRule="auto"/>
        <w:ind w:left="3" w:firstLine="658"/>
        <w:jc w:val="both"/>
      </w:pPr>
      <w:r>
        <w:rPr>
          <w:spacing w:val="13"/>
        </w:rPr>
        <w:t>与年初预算数相比情况:一般公共预算</w:t>
      </w:r>
      <w:r>
        <w:rPr>
          <w:rFonts w:ascii="Times New Roman" w:hAnsi="Times New Roman" w:eastAsia="Times New Roman" w:cs="Times New Roman"/>
          <w:spacing w:val="13"/>
        </w:rPr>
        <w:t>“</w:t>
      </w:r>
      <w:r>
        <w:rPr>
          <w:rFonts w:ascii="Times New Roman" w:hAnsi="Times New Roman" w:eastAsia="Times New Roman" w:cs="Times New Roman"/>
          <w:spacing w:val="-31"/>
        </w:rPr>
        <w:t xml:space="preserve"> </w:t>
      </w:r>
      <w:r>
        <w:rPr>
          <w:spacing w:val="13"/>
        </w:rPr>
        <w:t>三公</w:t>
      </w:r>
      <w:r>
        <w:rPr>
          <w:rFonts w:ascii="Times New Roman" w:hAnsi="Times New Roman" w:eastAsia="Times New Roman" w:cs="Times New Roman"/>
          <w:spacing w:val="13"/>
        </w:rPr>
        <w:t>”</w:t>
      </w:r>
      <w:r>
        <w:rPr>
          <w:rFonts w:ascii="Times New Roman" w:hAnsi="Times New Roman" w:eastAsia="Times New Roman" w:cs="Times New Roman"/>
          <w:spacing w:val="-55"/>
        </w:rPr>
        <w:t xml:space="preserve"> </w:t>
      </w:r>
      <w:r>
        <w:rPr>
          <w:spacing w:val="13"/>
        </w:rPr>
        <w:t>经费支出年</w:t>
      </w:r>
      <w:r>
        <w:rPr>
          <w:spacing w:val="5"/>
        </w:rPr>
        <w:t>初预算数3.18万元，决算数0.21万元，预决算差异率-93.40%，</w:t>
      </w:r>
      <w:r>
        <w:rPr>
          <w:spacing w:val="9"/>
        </w:rPr>
        <w:t>主要原因是：厉行节约，公务用车使用次数减少，公务用车运行维护费支出减少，导致预决算差异。其中：因公出国（境）</w:t>
      </w:r>
      <w:r>
        <w:rPr>
          <w:spacing w:val="2"/>
        </w:rPr>
        <w:t>费预算数0.00万元，决算数0.00万元，预决算差异率0.00%，主</w:t>
      </w:r>
      <w:r>
        <w:rPr>
          <w:spacing w:val="6"/>
        </w:rPr>
        <w:t>要原因是：本年单位无因公出国（境）费支出；</w:t>
      </w:r>
      <w:r>
        <w:rPr>
          <w:spacing w:val="-67"/>
        </w:rPr>
        <w:t xml:space="preserve"> </w:t>
      </w:r>
      <w:r>
        <w:rPr>
          <w:spacing w:val="6"/>
        </w:rPr>
        <w:t>公务用车购置</w:t>
      </w:r>
      <w:r>
        <w:rPr>
          <w:spacing w:val="2"/>
        </w:rPr>
        <w:t>费预算数0.00万元，决算数0.00万元，预决算差异率0.00%，主</w:t>
      </w:r>
      <w:r>
        <w:rPr>
          <w:spacing w:val="9"/>
        </w:rPr>
        <w:t>要原因是：本年单位无此项支出；公务用车运行费</w:t>
      </w:r>
      <w:r>
        <w:rPr>
          <w:spacing w:val="8"/>
        </w:rPr>
        <w:t>预算数3.18</w:t>
      </w:r>
    </w:p>
    <w:p w14:paraId="448B8281">
      <w:pPr>
        <w:pStyle w:val="2"/>
        <w:spacing w:before="7" w:line="371" w:lineRule="auto"/>
        <w:ind w:left="1" w:right="13" w:firstLine="20"/>
        <w:jc w:val="both"/>
      </w:pPr>
      <w:r>
        <w:rPr>
          <w:spacing w:val="5"/>
        </w:rPr>
        <w:t>万元，决算数0.21万元，预决算差异率-9</w:t>
      </w:r>
      <w:r>
        <w:rPr>
          <w:spacing w:val="4"/>
        </w:rPr>
        <w:t>3.40%，主要原因是：</w:t>
      </w:r>
      <w:r>
        <w:rPr>
          <w:spacing w:val="9"/>
        </w:rPr>
        <w:t>厉行节约，公务用车使用次数减少，公务用车运行维护费支出减少，导致预决算差异；公务接待费预算数0.00</w:t>
      </w:r>
      <w:r>
        <w:rPr>
          <w:spacing w:val="8"/>
        </w:rPr>
        <w:t>万元，决算数</w:t>
      </w:r>
      <w:r>
        <w:rPr>
          <w:spacing w:val="3"/>
        </w:rPr>
        <w:t>0.00万元，预决算差异率0.00%，主要原因是：本年单位无此项</w:t>
      </w:r>
      <w:r>
        <w:rPr>
          <w:spacing w:val="2"/>
        </w:rPr>
        <w:t>支出。</w:t>
      </w:r>
    </w:p>
    <w:p w14:paraId="2EA81456">
      <w:pPr>
        <w:spacing w:line="223" w:lineRule="auto"/>
        <w:ind w:left="644"/>
        <w:rPr>
          <w:rFonts w:ascii="黑体" w:hAnsi="黑体" w:eastAsia="黑体" w:cs="黑体"/>
          <w:sz w:val="31"/>
          <w:szCs w:val="31"/>
        </w:rPr>
      </w:pPr>
      <w:r>
        <w:rPr>
          <w:rFonts w:ascii="黑体" w:hAnsi="黑体" w:eastAsia="黑体" w:cs="黑体"/>
          <w:spacing w:val="9"/>
          <w:sz w:val="31"/>
          <w:szCs w:val="31"/>
        </w:rPr>
        <w:t>八、政府性基金预算财政拨款收入支出决算情况说明</w:t>
      </w:r>
    </w:p>
    <w:p w14:paraId="7CBB8810">
      <w:pPr>
        <w:spacing w:line="223" w:lineRule="auto"/>
        <w:rPr>
          <w:rFonts w:ascii="黑体" w:hAnsi="黑体" w:eastAsia="黑体" w:cs="黑体"/>
          <w:sz w:val="31"/>
          <w:szCs w:val="31"/>
        </w:rPr>
        <w:sectPr>
          <w:pgSz w:w="12240" w:h="15840"/>
          <w:pgMar w:top="1346" w:right="1716" w:bottom="0" w:left="1809" w:header="0" w:footer="0" w:gutter="0"/>
          <w:cols w:space="720" w:num="1"/>
        </w:sectPr>
      </w:pPr>
    </w:p>
    <w:p w14:paraId="06184765">
      <w:pPr>
        <w:pStyle w:val="2"/>
        <w:spacing w:before="145" w:line="371" w:lineRule="auto"/>
        <w:ind w:left="10" w:right="6" w:firstLine="651"/>
      </w:pPr>
      <w:r>
        <w:rPr>
          <w:spacing w:val="8"/>
        </w:rPr>
        <w:t>我单位本年度无政府性基金预算财政拨款收入支出，政府</w:t>
      </w:r>
      <w:r>
        <w:rPr>
          <w:spacing w:val="6"/>
        </w:rPr>
        <w:t>性基金预算财政拨款收入支出决算表为空表。</w:t>
      </w:r>
    </w:p>
    <w:p w14:paraId="2260A95D">
      <w:pPr>
        <w:spacing w:before="1" w:line="223" w:lineRule="auto"/>
        <w:ind w:left="652"/>
        <w:rPr>
          <w:rFonts w:ascii="黑体" w:hAnsi="黑体" w:eastAsia="黑体" w:cs="黑体"/>
          <w:sz w:val="31"/>
          <w:szCs w:val="31"/>
        </w:rPr>
      </w:pPr>
      <w:r>
        <w:rPr>
          <w:rFonts w:ascii="黑体" w:hAnsi="黑体" w:eastAsia="黑体" w:cs="黑体"/>
          <w:spacing w:val="9"/>
          <w:sz w:val="31"/>
          <w:szCs w:val="31"/>
        </w:rPr>
        <w:t>九、国有资本经营预算财政拨款收入支出决算情</w:t>
      </w:r>
      <w:r>
        <w:rPr>
          <w:rFonts w:ascii="黑体" w:hAnsi="黑体" w:eastAsia="黑体" w:cs="黑体"/>
          <w:spacing w:val="8"/>
          <w:sz w:val="31"/>
          <w:szCs w:val="31"/>
        </w:rPr>
        <w:t>况说明</w:t>
      </w:r>
    </w:p>
    <w:p w14:paraId="31EEE8D3">
      <w:pPr>
        <w:pStyle w:val="2"/>
        <w:spacing w:before="247" w:line="372" w:lineRule="auto"/>
        <w:ind w:left="11" w:right="6" w:firstLine="650"/>
      </w:pPr>
      <w:r>
        <w:rPr>
          <w:spacing w:val="8"/>
        </w:rPr>
        <w:t>我单位本年度无国有资本经营预算财政拨款收入支出，国有资本经营预算财政拨款收入支出决算表为空表。</w:t>
      </w:r>
    </w:p>
    <w:p w14:paraId="1BE58589">
      <w:pPr>
        <w:spacing w:line="223" w:lineRule="auto"/>
        <w:ind w:left="648"/>
        <w:rPr>
          <w:rFonts w:ascii="黑体" w:hAnsi="黑体" w:eastAsia="黑体" w:cs="黑体"/>
          <w:sz w:val="31"/>
          <w:szCs w:val="31"/>
        </w:rPr>
      </w:pPr>
      <w:r>
        <w:rPr>
          <w:rFonts w:ascii="黑体" w:hAnsi="黑体" w:eastAsia="黑体" w:cs="黑体"/>
          <w:spacing w:val="8"/>
          <w:sz w:val="31"/>
          <w:szCs w:val="31"/>
        </w:rPr>
        <w:t>十、其他重要事项的情况说明</w:t>
      </w:r>
    </w:p>
    <w:p w14:paraId="08046C2D">
      <w:pPr>
        <w:spacing w:before="249" w:line="224" w:lineRule="auto"/>
        <w:ind w:left="670"/>
        <w:rPr>
          <w:rFonts w:ascii="黑体" w:hAnsi="黑体" w:eastAsia="黑体" w:cs="黑体"/>
          <w:sz w:val="31"/>
          <w:szCs w:val="31"/>
        </w:rPr>
      </w:pPr>
      <w:r>
        <w:rPr>
          <w:rFonts w:ascii="黑体" w:hAnsi="黑体" w:eastAsia="黑体" w:cs="黑体"/>
          <w:spacing w:val="5"/>
          <w:sz w:val="31"/>
          <w:szCs w:val="31"/>
        </w:rPr>
        <w:t>（一）机关运行经费支出情况</w:t>
      </w:r>
    </w:p>
    <w:p w14:paraId="2E23D038">
      <w:pPr>
        <w:pStyle w:val="2"/>
        <w:spacing w:before="249" w:line="371" w:lineRule="auto"/>
        <w:ind w:left="3" w:right="5" w:firstLine="653"/>
      </w:pPr>
      <w:r>
        <w:rPr>
          <w:spacing w:val="8"/>
        </w:rPr>
        <w:t>2021年度乌鲁木齐市雅玛里克山污水处理厂单位公用经费</w:t>
      </w:r>
      <w:r>
        <w:rPr>
          <w:spacing w:val="7"/>
        </w:rPr>
        <w:t>5.55万元，比上年减少9.60万元，降低63.37%</w:t>
      </w:r>
      <w:r>
        <w:rPr>
          <w:spacing w:val="6"/>
        </w:rPr>
        <w:t>，主要原因是：</w:t>
      </w:r>
      <w:r>
        <w:rPr>
          <w:spacing w:val="9"/>
        </w:rPr>
        <w:t>本年单位办公费、公务用车运行维护费、邮电费</w:t>
      </w:r>
      <w:r>
        <w:rPr>
          <w:spacing w:val="8"/>
        </w:rPr>
        <w:t>支出减少。</w:t>
      </w:r>
    </w:p>
    <w:p w14:paraId="1BB1B6BE">
      <w:pPr>
        <w:spacing w:before="1" w:line="226" w:lineRule="auto"/>
        <w:ind w:left="670"/>
        <w:rPr>
          <w:rFonts w:ascii="黑体" w:hAnsi="黑体" w:eastAsia="黑体" w:cs="黑体"/>
          <w:sz w:val="31"/>
          <w:szCs w:val="31"/>
        </w:rPr>
      </w:pPr>
      <w:r>
        <w:rPr>
          <w:rFonts w:ascii="黑体" w:hAnsi="黑体" w:eastAsia="黑体" w:cs="黑体"/>
          <w:spacing w:val="5"/>
          <w:sz w:val="31"/>
          <w:szCs w:val="31"/>
        </w:rPr>
        <w:t>（二）政府采购情况</w:t>
      </w:r>
    </w:p>
    <w:p w14:paraId="6FBC5178">
      <w:pPr>
        <w:pStyle w:val="2"/>
        <w:spacing w:before="244" w:line="372" w:lineRule="auto"/>
        <w:ind w:left="11" w:right="4" w:firstLine="645"/>
        <w:jc w:val="both"/>
      </w:pPr>
      <w:r>
        <w:rPr>
          <w:spacing w:val="7"/>
        </w:rPr>
        <w:t>2021年度政府采购支出总额0.00万元，其中：政府采购货</w:t>
      </w:r>
      <w:r>
        <w:rPr>
          <w:spacing w:val="8"/>
        </w:rPr>
        <w:t>物支出0.00万元、政府采购工程支出0.00万元、政府</w:t>
      </w:r>
      <w:r>
        <w:rPr>
          <w:spacing w:val="7"/>
        </w:rPr>
        <w:t>采购服务</w:t>
      </w:r>
      <w:r>
        <w:rPr>
          <w:spacing w:val="-1"/>
        </w:rPr>
        <w:t>支出0.00万元。</w:t>
      </w:r>
    </w:p>
    <w:p w14:paraId="19DBB310">
      <w:pPr>
        <w:pStyle w:val="2"/>
        <w:spacing w:before="3" w:line="371" w:lineRule="auto"/>
        <w:ind w:left="26" w:right="1" w:firstLine="615"/>
        <w:jc w:val="both"/>
      </w:pPr>
      <w:r>
        <w:rPr>
          <w:spacing w:val="8"/>
        </w:rPr>
        <w:t>授予中小企业合同金额0.00万元，占政府采购支出总额的</w:t>
      </w:r>
      <w:r>
        <w:rPr>
          <w:spacing w:val="2"/>
        </w:rPr>
        <w:t>0.00%，其中：授予小微企业合同金额0.00万元，占政府采购支出总额的0.00%。</w:t>
      </w:r>
      <w:bookmarkStart w:id="0" w:name="_GoBack"/>
      <w:bookmarkEnd w:id="0"/>
    </w:p>
    <w:p w14:paraId="23A2A57A">
      <w:pPr>
        <w:spacing w:before="1" w:line="223" w:lineRule="auto"/>
        <w:ind w:left="670"/>
        <w:rPr>
          <w:rFonts w:ascii="黑体" w:hAnsi="黑体" w:eastAsia="黑体" w:cs="黑体"/>
          <w:sz w:val="31"/>
          <w:szCs w:val="31"/>
        </w:rPr>
      </w:pPr>
      <w:r>
        <w:rPr>
          <w:rFonts w:ascii="黑体" w:hAnsi="黑体" w:eastAsia="黑体" w:cs="黑体"/>
          <w:spacing w:val="4"/>
          <w:sz w:val="31"/>
          <w:szCs w:val="31"/>
        </w:rPr>
        <w:t>（三）国有资产占用情况说明</w:t>
      </w:r>
    </w:p>
    <w:p w14:paraId="1B550254">
      <w:pPr>
        <w:pStyle w:val="2"/>
        <w:spacing w:before="250" w:line="371" w:lineRule="auto"/>
        <w:ind w:firstLine="649"/>
        <w:jc w:val="both"/>
      </w:pPr>
      <w:r>
        <w:rPr>
          <w:rFonts w:hint="eastAsia"/>
          <w:spacing w:val="7"/>
        </w:rPr>
        <w:t>截至</w:t>
      </w:r>
      <w:r>
        <w:rPr>
          <w:spacing w:val="7"/>
        </w:rPr>
        <w:t>2021年12月31日，单位共有房屋0.00（平方米</w:t>
      </w:r>
      <w:r>
        <w:rPr>
          <w:spacing w:val="5"/>
        </w:rPr>
        <w:t>），</w:t>
      </w:r>
      <w:r>
        <w:rPr>
          <w:spacing w:val="7"/>
        </w:rPr>
        <w:t>价</w:t>
      </w:r>
      <w:r>
        <w:rPr>
          <w:spacing w:val="4"/>
        </w:rPr>
        <w:t>值0.00万元。车辆1辆，价值12.40万元，其中：副部（省）</w:t>
      </w:r>
      <w:r>
        <w:rPr>
          <w:spacing w:val="-25"/>
        </w:rPr>
        <w:t xml:space="preserve"> </w:t>
      </w:r>
      <w:r>
        <w:rPr>
          <w:spacing w:val="4"/>
        </w:rPr>
        <w:t>级</w:t>
      </w:r>
      <w:r>
        <w:rPr>
          <w:spacing w:val="15"/>
        </w:rPr>
        <w:t>及以上领导用车0辆、主要领导干部用车0辆、机要</w:t>
      </w:r>
      <w:r>
        <w:rPr>
          <w:spacing w:val="14"/>
        </w:rPr>
        <w:t>通信用车0</w:t>
      </w:r>
    </w:p>
    <w:p w14:paraId="64FB639E">
      <w:pPr>
        <w:spacing w:line="371" w:lineRule="auto"/>
        <w:sectPr>
          <w:pgSz w:w="12240" w:h="15840"/>
          <w:pgMar w:top="1346" w:right="1799" w:bottom="0" w:left="1809" w:header="0" w:footer="0" w:gutter="0"/>
          <w:cols w:space="720" w:num="1"/>
        </w:sectPr>
      </w:pPr>
    </w:p>
    <w:p w14:paraId="0765E233">
      <w:pPr>
        <w:pStyle w:val="2"/>
        <w:spacing w:before="141" w:line="372" w:lineRule="auto"/>
        <w:ind w:firstLine="5"/>
        <w:jc w:val="both"/>
      </w:pPr>
      <w:r>
        <w:rPr>
          <w:spacing w:val="3"/>
        </w:rPr>
        <w:t>辆、应急保障用车0辆、执法执勤用车1辆、特种专业技术用车0</w:t>
      </w:r>
      <w:r>
        <w:rPr>
          <w:spacing w:val="7"/>
        </w:rPr>
        <w:t>辆、离退休干部用车0辆、其他用车0辆，其他用车主要是：</w:t>
      </w:r>
      <w:r>
        <w:rPr>
          <w:spacing w:val="-91"/>
        </w:rPr>
        <w:t xml:space="preserve"> </w:t>
      </w:r>
      <w:r>
        <w:rPr>
          <w:spacing w:val="7"/>
        </w:rPr>
        <w:t>单</w:t>
      </w:r>
      <w:r>
        <w:rPr>
          <w:spacing w:val="3"/>
        </w:rPr>
        <w:t>位无其他车辆；单位价值50万元以上通用设备0台（套）、单位</w:t>
      </w:r>
      <w:r>
        <w:rPr>
          <w:spacing w:val="5"/>
        </w:rPr>
        <w:t>价值100万元以上专用设备0台（套）。</w:t>
      </w:r>
    </w:p>
    <w:p w14:paraId="01703BD0">
      <w:pPr>
        <w:spacing w:line="223" w:lineRule="auto"/>
        <w:ind w:left="649"/>
        <w:rPr>
          <w:rFonts w:ascii="黑体" w:hAnsi="黑体" w:eastAsia="黑体" w:cs="黑体"/>
          <w:sz w:val="31"/>
          <w:szCs w:val="31"/>
        </w:rPr>
      </w:pPr>
      <w:r>
        <w:rPr>
          <w:rFonts w:ascii="黑体" w:hAnsi="黑体" w:eastAsia="黑体" w:cs="黑体"/>
          <w:spacing w:val="7"/>
          <w:sz w:val="31"/>
          <w:szCs w:val="31"/>
        </w:rPr>
        <w:t>十一、预算绩效的情况说明</w:t>
      </w:r>
    </w:p>
    <w:p w14:paraId="3AEAF424">
      <w:pPr>
        <w:pStyle w:val="2"/>
        <w:spacing w:before="251" w:line="372" w:lineRule="auto"/>
        <w:ind w:left="5" w:right="1" w:firstLine="636"/>
        <w:jc w:val="both"/>
      </w:pPr>
      <w:r>
        <w:rPr>
          <w:spacing w:val="6"/>
        </w:rPr>
        <w:t>根据预算绩效管理要求，</w:t>
      </w:r>
      <w:r>
        <w:rPr>
          <w:spacing w:val="-79"/>
        </w:rPr>
        <w:t xml:space="preserve"> </w:t>
      </w:r>
      <w:r>
        <w:rPr>
          <w:spacing w:val="6"/>
        </w:rPr>
        <w:t>我单位2021年度开展预算绩效评价项目0个，共涉及资金0万元。预算绩效管理取得的成效：</w:t>
      </w:r>
      <w:r>
        <w:rPr>
          <w:spacing w:val="-70"/>
        </w:rPr>
        <w:t xml:space="preserve"> </w:t>
      </w:r>
      <w:r>
        <w:rPr>
          <w:spacing w:val="6"/>
        </w:rPr>
        <w:t>我</w:t>
      </w:r>
      <w:r>
        <w:rPr>
          <w:spacing w:val="9"/>
        </w:rPr>
        <w:t>单位无预算绩效管理的项目。发现的问题及原因：我单位无预算绩效管理的项目。下一步改进措施：我单位无预算绩效管理</w:t>
      </w:r>
      <w:r>
        <w:rPr>
          <w:spacing w:val="3"/>
        </w:rPr>
        <w:t>的项目。</w:t>
      </w:r>
    </w:p>
    <w:p w14:paraId="030E0856">
      <w:pPr>
        <w:spacing w:before="95" w:line="224" w:lineRule="auto"/>
        <w:ind w:left="2645"/>
        <w:rPr>
          <w:rFonts w:ascii="黑体" w:hAnsi="黑体" w:eastAsia="黑体" w:cs="黑体"/>
          <w:sz w:val="31"/>
          <w:szCs w:val="31"/>
        </w:rPr>
      </w:pPr>
      <w:r>
        <w:rPr>
          <w:rFonts w:ascii="黑体" w:hAnsi="黑体" w:eastAsia="黑体" w:cs="黑体"/>
          <w:spacing w:val="8"/>
          <w:sz w:val="31"/>
          <w:szCs w:val="31"/>
        </w:rPr>
        <w:t>第三部分 专业名词解释</w:t>
      </w:r>
    </w:p>
    <w:p w14:paraId="5FADD98B">
      <w:pPr>
        <w:pStyle w:val="2"/>
        <w:spacing w:before="278" w:line="224" w:lineRule="auto"/>
        <w:ind w:left="649"/>
      </w:pPr>
      <w:r>
        <w:rPr>
          <w:spacing w:val="6"/>
        </w:rPr>
        <w:t>财政拨款收入：指同级财政当年拨付的资金。</w:t>
      </w:r>
    </w:p>
    <w:p w14:paraId="7E696D8B">
      <w:pPr>
        <w:pStyle w:val="2"/>
        <w:spacing w:before="247" w:line="372" w:lineRule="auto"/>
        <w:ind w:left="22" w:right="6" w:firstLine="630"/>
      </w:pPr>
      <w:r>
        <w:rPr>
          <w:spacing w:val="9"/>
        </w:rPr>
        <w:t>上级补助收入：指事业单位从主管部门和上级单位</w:t>
      </w:r>
      <w:r>
        <w:rPr>
          <w:spacing w:val="8"/>
        </w:rPr>
        <w:t>取得的</w:t>
      </w:r>
      <w:r>
        <w:rPr>
          <w:spacing w:val="4"/>
        </w:rPr>
        <w:t>非财政补助收入。</w:t>
      </w:r>
    </w:p>
    <w:p w14:paraId="35199B76">
      <w:pPr>
        <w:pStyle w:val="2"/>
        <w:spacing w:before="3" w:line="371" w:lineRule="auto"/>
        <w:ind w:left="8" w:right="6" w:firstLine="646"/>
      </w:pPr>
      <w:r>
        <w:rPr>
          <w:spacing w:val="9"/>
        </w:rPr>
        <w:t>事业收入：指事业单位开展专业业务活动及其</w:t>
      </w:r>
      <w:r>
        <w:rPr>
          <w:spacing w:val="8"/>
        </w:rPr>
        <w:t>辅助活动所</w:t>
      </w:r>
      <w:r>
        <w:rPr>
          <w:spacing w:val="-1"/>
        </w:rPr>
        <w:t>取得的收入。</w:t>
      </w:r>
    </w:p>
    <w:p w14:paraId="7FEC1A53">
      <w:pPr>
        <w:pStyle w:val="2"/>
        <w:spacing w:before="2" w:line="371" w:lineRule="auto"/>
        <w:ind w:left="15" w:right="6" w:firstLine="638"/>
      </w:pPr>
      <w:r>
        <w:rPr>
          <w:spacing w:val="9"/>
        </w:rPr>
        <w:t>经营收入：指事业单位在专业业务活动及其辅助活</w:t>
      </w:r>
      <w:r>
        <w:rPr>
          <w:spacing w:val="8"/>
        </w:rPr>
        <w:t>动之外</w:t>
      </w:r>
      <w:r>
        <w:rPr>
          <w:spacing w:val="5"/>
        </w:rPr>
        <w:t>开展非独立核算经营活动取得的收入。</w:t>
      </w:r>
    </w:p>
    <w:p w14:paraId="55FDF136">
      <w:pPr>
        <w:pStyle w:val="2"/>
        <w:spacing w:before="3" w:line="372" w:lineRule="auto"/>
        <w:ind w:left="18" w:right="6" w:firstLine="650"/>
      </w:pPr>
      <w:r>
        <w:rPr>
          <w:spacing w:val="8"/>
        </w:rPr>
        <w:t>附属单位上缴收入：指事业单位附属的独立核算单位按有</w:t>
      </w:r>
      <w:r>
        <w:rPr>
          <w:spacing w:val="1"/>
        </w:rPr>
        <w:t>关规定上缴的收入。</w:t>
      </w:r>
    </w:p>
    <w:p w14:paraId="0E03BEED">
      <w:pPr>
        <w:spacing w:line="372" w:lineRule="auto"/>
        <w:sectPr>
          <w:pgSz w:w="12240" w:h="15840"/>
          <w:pgMar w:top="1346" w:right="1799" w:bottom="0" w:left="1807" w:header="0" w:footer="0" w:gutter="0"/>
          <w:cols w:space="720" w:num="1"/>
        </w:sectPr>
      </w:pPr>
    </w:p>
    <w:p w14:paraId="4D282398">
      <w:pPr>
        <w:pStyle w:val="2"/>
        <w:spacing w:before="142" w:line="372" w:lineRule="auto"/>
        <w:ind w:left="31" w:firstLine="617"/>
      </w:pPr>
      <w:r>
        <w:rPr>
          <w:spacing w:val="1"/>
        </w:rPr>
        <w:t>其他收入：指除上述</w:t>
      </w:r>
      <w:r>
        <w:rPr>
          <w:rFonts w:ascii="Times New Roman" w:hAnsi="Times New Roman" w:eastAsia="Times New Roman" w:cs="Times New Roman"/>
          <w:spacing w:val="1"/>
        </w:rPr>
        <w:t>“</w:t>
      </w:r>
      <w:r>
        <w:rPr>
          <w:spacing w:val="1"/>
        </w:rPr>
        <w:t>财政拨款收入</w:t>
      </w:r>
      <w:r>
        <w:rPr>
          <w:rFonts w:ascii="Times New Roman" w:hAnsi="Times New Roman" w:eastAsia="Times New Roman" w:cs="Times New Roman"/>
          <w:spacing w:val="1"/>
        </w:rPr>
        <w:t>”</w:t>
      </w:r>
      <w:r>
        <w:rPr>
          <w:rFonts w:ascii="Times New Roman" w:hAnsi="Times New Roman" w:eastAsia="Times New Roman" w:cs="Times New Roman"/>
          <w:spacing w:val="-22"/>
        </w:rPr>
        <w:t xml:space="preserve"> </w:t>
      </w:r>
      <w:r>
        <w:rPr>
          <w:spacing w:val="1"/>
        </w:rPr>
        <w:t>、</w:t>
      </w:r>
      <w:r>
        <w:rPr>
          <w:rFonts w:ascii="Times New Roman" w:hAnsi="Times New Roman" w:eastAsia="Times New Roman" w:cs="Times New Roman"/>
          <w:spacing w:val="1"/>
        </w:rPr>
        <w:t>“</w:t>
      </w:r>
      <w:r>
        <w:rPr>
          <w:rFonts w:ascii="Times New Roman" w:hAnsi="Times New Roman" w:eastAsia="Times New Roman" w:cs="Times New Roman"/>
          <w:spacing w:val="-53"/>
        </w:rPr>
        <w:t xml:space="preserve"> </w:t>
      </w:r>
      <w:r>
        <w:rPr>
          <w:spacing w:val="1"/>
        </w:rPr>
        <w:t>事业收入</w:t>
      </w:r>
      <w:r>
        <w:rPr>
          <w:rFonts w:ascii="Times New Roman" w:hAnsi="Times New Roman" w:eastAsia="Times New Roman" w:cs="Times New Roman"/>
          <w:spacing w:val="1"/>
        </w:rPr>
        <w:t>”</w:t>
      </w:r>
      <w:r>
        <w:rPr>
          <w:rFonts w:ascii="Times New Roman" w:hAnsi="Times New Roman" w:eastAsia="Times New Roman" w:cs="Times New Roman"/>
          <w:spacing w:val="-37"/>
        </w:rPr>
        <w:t xml:space="preserve"> </w:t>
      </w:r>
      <w:r>
        <w:rPr>
          <w:spacing w:val="1"/>
        </w:rPr>
        <w:t>、</w:t>
      </w:r>
      <w:r>
        <w:rPr>
          <w:rFonts w:ascii="Times New Roman" w:hAnsi="Times New Roman" w:eastAsia="Times New Roman" w:cs="Times New Roman"/>
          <w:spacing w:val="1"/>
        </w:rPr>
        <w:t>“</w:t>
      </w:r>
      <w:r>
        <w:rPr>
          <w:rFonts w:ascii="Times New Roman" w:hAnsi="Times New Roman" w:eastAsia="Times New Roman" w:cs="Times New Roman"/>
          <w:spacing w:val="-57"/>
        </w:rPr>
        <w:t xml:space="preserve"> </w:t>
      </w:r>
      <w:r>
        <w:rPr>
          <w:spacing w:val="1"/>
        </w:rPr>
        <w:t>经营</w:t>
      </w:r>
      <w:r>
        <w:t>收入</w:t>
      </w:r>
      <w:r>
        <w:rPr>
          <w:rFonts w:ascii="Times New Roman" w:hAnsi="Times New Roman" w:eastAsia="Times New Roman" w:cs="Times New Roman"/>
        </w:rPr>
        <w:t>”</w:t>
      </w:r>
      <w:r>
        <w:rPr>
          <w:rFonts w:ascii="Times New Roman" w:hAnsi="Times New Roman" w:eastAsia="Times New Roman" w:cs="Times New Roman"/>
          <w:spacing w:val="-27"/>
        </w:rPr>
        <w:t xml:space="preserve"> </w:t>
      </w:r>
      <w:r>
        <w:t>、</w:t>
      </w:r>
      <w:r>
        <w:rPr>
          <w:rFonts w:ascii="Times New Roman" w:hAnsi="Times New Roman" w:eastAsia="Times New Roman" w:cs="Times New Roman"/>
        </w:rPr>
        <w:t>“</w:t>
      </w:r>
      <w:r>
        <w:rPr>
          <w:rFonts w:ascii="Times New Roman" w:hAnsi="Times New Roman" w:eastAsia="Times New Roman" w:cs="Times New Roman"/>
          <w:spacing w:val="-39"/>
        </w:rPr>
        <w:t xml:space="preserve"> </w:t>
      </w:r>
      <w:r>
        <w:t>附属单位上缴收入</w:t>
      </w:r>
      <w:r>
        <w:rPr>
          <w:rFonts w:ascii="Times New Roman" w:hAnsi="Times New Roman" w:eastAsia="Times New Roman" w:cs="Times New Roman"/>
        </w:rPr>
        <w:t>”</w:t>
      </w:r>
      <w:r>
        <w:rPr>
          <w:rFonts w:ascii="Times New Roman" w:hAnsi="Times New Roman" w:eastAsia="Times New Roman" w:cs="Times New Roman"/>
          <w:spacing w:val="-50"/>
        </w:rPr>
        <w:t xml:space="preserve"> </w:t>
      </w:r>
      <w:r>
        <w:t>等之外取得的收入。</w:t>
      </w:r>
    </w:p>
    <w:p w14:paraId="70F95C92">
      <w:pPr>
        <w:pStyle w:val="2"/>
        <w:spacing w:before="1" w:line="371" w:lineRule="auto"/>
        <w:ind w:left="11" w:right="7" w:firstLine="640"/>
        <w:jc w:val="both"/>
      </w:pPr>
      <w:r>
        <w:rPr>
          <w:spacing w:val="9"/>
        </w:rPr>
        <w:t>年初结转和结余：指以前年度支出预算因客观条件变化未执行完毕、结转到本年度按有关规定继续使用的资金，既包括财政拨款结转和结余，也包括事业收入、经营收入、其他收入</w:t>
      </w:r>
      <w:r>
        <w:rPr>
          <w:spacing w:val="-1"/>
        </w:rPr>
        <w:t>的结转和结余。</w:t>
      </w:r>
    </w:p>
    <w:p w14:paraId="4A6A0862">
      <w:pPr>
        <w:pStyle w:val="2"/>
        <w:spacing w:before="4" w:line="371" w:lineRule="auto"/>
        <w:ind w:left="11" w:right="7" w:firstLine="640"/>
        <w:jc w:val="both"/>
      </w:pPr>
      <w:r>
        <w:rPr>
          <w:spacing w:val="8"/>
        </w:rPr>
        <w:t>年末结转和结余：指本年度或以前年度预算安排、因客观</w:t>
      </w:r>
      <w:r>
        <w:rPr>
          <w:spacing w:val="9"/>
        </w:rPr>
        <w:t>条件发生变化无法按原计划实施，需要延迟到以后年度按有关规定继续使用的资金，既包括财政拨款结转和结余，也包括事</w:t>
      </w:r>
      <w:r>
        <w:rPr>
          <w:spacing w:val="6"/>
        </w:rPr>
        <w:t>业收入、经营收入、其他收入的结转和结余。</w:t>
      </w:r>
    </w:p>
    <w:p w14:paraId="64AA11F2">
      <w:pPr>
        <w:pStyle w:val="2"/>
        <w:spacing w:before="2" w:line="372" w:lineRule="auto"/>
        <w:ind w:left="7" w:right="7" w:firstLine="635"/>
      </w:pPr>
      <w:r>
        <w:rPr>
          <w:spacing w:val="9"/>
        </w:rPr>
        <w:t>基本支出：指为保障机构正常运转、完成日常工作任务而</w:t>
      </w:r>
      <w:r>
        <w:rPr>
          <w:spacing w:val="5"/>
        </w:rPr>
        <w:t>发生的人员支出和公用支出。</w:t>
      </w:r>
    </w:p>
    <w:p w14:paraId="48B5C403">
      <w:pPr>
        <w:pStyle w:val="2"/>
        <w:spacing w:before="2" w:line="371" w:lineRule="auto"/>
        <w:ind w:left="7" w:right="7" w:firstLine="644"/>
      </w:pPr>
      <w:r>
        <w:rPr>
          <w:spacing w:val="9"/>
        </w:rPr>
        <w:t>项目支出：指在基本支出之外为完成特定行政任务和事业</w:t>
      </w:r>
      <w:r>
        <w:rPr>
          <w:spacing w:val="2"/>
        </w:rPr>
        <w:t>发展目标所发生的支出。</w:t>
      </w:r>
    </w:p>
    <w:p w14:paraId="0F3E6C33">
      <w:pPr>
        <w:pStyle w:val="2"/>
        <w:spacing w:before="2" w:line="371" w:lineRule="auto"/>
        <w:ind w:left="17" w:right="7" w:firstLine="638"/>
      </w:pPr>
      <w:r>
        <w:rPr>
          <w:spacing w:val="9"/>
        </w:rPr>
        <w:t>经营支出：指事业单位在专业业务活动及其辅助活</w:t>
      </w:r>
      <w:r>
        <w:rPr>
          <w:spacing w:val="8"/>
        </w:rPr>
        <w:t>动之外</w:t>
      </w:r>
      <w:r>
        <w:rPr>
          <w:spacing w:val="5"/>
        </w:rPr>
        <w:t>开展非独立核算经营活动发生的支出。</w:t>
      </w:r>
    </w:p>
    <w:p w14:paraId="2E7FE0C2">
      <w:pPr>
        <w:pStyle w:val="2"/>
        <w:spacing w:before="2" w:line="371" w:lineRule="auto"/>
        <w:ind w:left="10" w:right="7" w:firstLine="644"/>
      </w:pPr>
      <w:r>
        <w:rPr>
          <w:spacing w:val="9"/>
        </w:rPr>
        <w:t>对附属单位补助支出：指事业单位发生的用非财政预</w:t>
      </w:r>
      <w:r>
        <w:rPr>
          <w:spacing w:val="8"/>
        </w:rPr>
        <w:t>算资</w:t>
      </w:r>
      <w:r>
        <w:rPr>
          <w:spacing w:val="7"/>
        </w:rPr>
        <w:t>金对附属单位的补助支出。</w:t>
      </w:r>
    </w:p>
    <w:p w14:paraId="5A4EDB54">
      <w:pPr>
        <w:pStyle w:val="2"/>
        <w:spacing w:before="3" w:line="371" w:lineRule="auto"/>
        <w:ind w:right="2" w:firstLine="577"/>
        <w:jc w:val="both"/>
      </w:pPr>
      <w:r>
        <w:rPr>
          <w:rFonts w:ascii="Times New Roman" w:hAnsi="Times New Roman" w:eastAsia="Times New Roman" w:cs="Times New Roman"/>
          <w:spacing w:val="11"/>
        </w:rPr>
        <w:t>“</w:t>
      </w:r>
      <w:r>
        <w:rPr>
          <w:rFonts w:ascii="Times New Roman" w:hAnsi="Times New Roman" w:eastAsia="Times New Roman" w:cs="Times New Roman"/>
          <w:spacing w:val="-39"/>
        </w:rPr>
        <w:t xml:space="preserve"> </w:t>
      </w:r>
      <w:r>
        <w:rPr>
          <w:spacing w:val="11"/>
        </w:rPr>
        <w:t>三公</w:t>
      </w:r>
      <w:r>
        <w:rPr>
          <w:rFonts w:ascii="Times New Roman" w:hAnsi="Times New Roman" w:eastAsia="Times New Roman" w:cs="Times New Roman"/>
          <w:spacing w:val="11"/>
        </w:rPr>
        <w:t>”</w:t>
      </w:r>
      <w:r>
        <w:rPr>
          <w:rFonts w:ascii="Times New Roman" w:hAnsi="Times New Roman" w:eastAsia="Times New Roman" w:cs="Times New Roman"/>
          <w:spacing w:val="-55"/>
        </w:rPr>
        <w:t xml:space="preserve"> </w:t>
      </w:r>
      <w:r>
        <w:rPr>
          <w:spacing w:val="11"/>
        </w:rPr>
        <w:t>经费：指用一般公共预算财政拨款</w:t>
      </w:r>
      <w:r>
        <w:rPr>
          <w:spacing w:val="10"/>
        </w:rPr>
        <w:t>安排的因公出国</w:t>
      </w:r>
      <w:r>
        <w:rPr>
          <w:spacing w:val="6"/>
        </w:rPr>
        <w:t>（境）费、公务用车购置及运行费和公务接待费。其中，</w:t>
      </w:r>
      <w:r>
        <w:rPr>
          <w:spacing w:val="-59"/>
        </w:rPr>
        <w:t xml:space="preserve"> </w:t>
      </w:r>
      <w:r>
        <w:rPr>
          <w:spacing w:val="6"/>
        </w:rPr>
        <w:t>因公</w:t>
      </w:r>
      <w:r>
        <w:rPr>
          <w:spacing w:val="9"/>
        </w:rPr>
        <w:t>出国（境）费反映单位公务出国（境）的国际旅费、国外城市</w:t>
      </w:r>
    </w:p>
    <w:p w14:paraId="0C76A0C8">
      <w:pPr>
        <w:spacing w:line="371" w:lineRule="auto"/>
        <w:sectPr>
          <w:pgSz w:w="12240" w:h="15840"/>
          <w:pgMar w:top="1346" w:right="1798" w:bottom="0" w:left="1805" w:header="0" w:footer="0" w:gutter="0"/>
          <w:cols w:space="720" w:num="1"/>
        </w:sectPr>
      </w:pPr>
    </w:p>
    <w:p w14:paraId="25AA8D9F">
      <w:pPr>
        <w:pStyle w:val="2"/>
        <w:spacing w:before="140" w:line="372" w:lineRule="auto"/>
        <w:ind w:right="8" w:firstLine="36"/>
      </w:pPr>
      <w:r>
        <w:rPr>
          <w:spacing w:val="8"/>
        </w:rPr>
        <w:t>间交通费、住宿费、伙食费、培训费、公杂费等支出；公务用车购置费反映公务用车购置支出（含车辆购置</w:t>
      </w:r>
      <w:r>
        <w:rPr>
          <w:spacing w:val="7"/>
        </w:rPr>
        <w:t>税、牌照费</w:t>
      </w:r>
      <w:r>
        <w:rPr>
          <w:spacing w:val="-16"/>
        </w:rPr>
        <w:t>）；</w:t>
      </w:r>
      <w:r>
        <w:rPr>
          <w:spacing w:val="7"/>
        </w:rPr>
        <w:t>公务用车运行维护费反映单位按规定保留的公务用车燃料费、</w:t>
      </w:r>
      <w:r>
        <w:rPr>
          <w:spacing w:val="9"/>
        </w:rPr>
        <w:t>维修费、过路过桥费、保险费、安全奖励费用等支出；公务接</w:t>
      </w:r>
      <w:r>
        <w:rPr>
          <w:spacing w:val="1"/>
        </w:rPr>
        <w:t>待费反映单位按规定开支的各类公务接待（含外宾接待）费用。</w:t>
      </w:r>
    </w:p>
    <w:p w14:paraId="471D5AB4">
      <w:pPr>
        <w:pStyle w:val="2"/>
        <w:spacing w:before="4" w:line="371" w:lineRule="auto"/>
        <w:ind w:left="2" w:firstLine="638"/>
        <w:jc w:val="both"/>
      </w:pPr>
      <w:r>
        <w:rPr>
          <w:spacing w:val="9"/>
        </w:rPr>
        <w:t>机关运行经费：为保障行政单位（含参照公务员法管理的事业单位）运行用于购买货物和服务的各项资金，包括办公及</w:t>
      </w:r>
      <w:r>
        <w:rPr>
          <w:spacing w:val="8"/>
        </w:rPr>
        <w:t>印刷费、邮电费、差旅费、会议费、福利费、日常维修费、专</w:t>
      </w:r>
      <w:r>
        <w:rPr>
          <w:spacing w:val="1"/>
        </w:rPr>
        <w:t>用材料及一般设备购置费、办公用房水电费、办公用房取暖费、</w:t>
      </w:r>
      <w:r>
        <w:rPr>
          <w:spacing w:val="9"/>
        </w:rPr>
        <w:t>办公用房物业管理费、公务用车运行维护费以及</w:t>
      </w:r>
      <w:r>
        <w:rPr>
          <w:spacing w:val="8"/>
        </w:rPr>
        <w:t>其他费用。</w:t>
      </w:r>
    </w:p>
    <w:p w14:paraId="53E3ADDD">
      <w:pPr>
        <w:spacing w:before="101" w:line="224" w:lineRule="auto"/>
        <w:ind w:left="1843"/>
        <w:rPr>
          <w:rFonts w:ascii="黑体" w:hAnsi="黑体" w:eastAsia="黑体" w:cs="黑体"/>
          <w:sz w:val="31"/>
          <w:szCs w:val="31"/>
        </w:rPr>
      </w:pPr>
      <w:r>
        <w:rPr>
          <w:rFonts w:ascii="黑体" w:hAnsi="黑体" w:eastAsia="黑体" w:cs="黑体"/>
          <w:spacing w:val="8"/>
          <w:sz w:val="31"/>
          <w:szCs w:val="31"/>
        </w:rPr>
        <w:t>第四部分 部门决算报表（见附表）</w:t>
      </w:r>
    </w:p>
    <w:p w14:paraId="3B86599A">
      <w:pPr>
        <w:spacing w:line="286" w:lineRule="auto"/>
        <w:rPr>
          <w:rFonts w:ascii="Arial"/>
          <w:sz w:val="21"/>
        </w:rPr>
      </w:pPr>
    </w:p>
    <w:p w14:paraId="12079F7B">
      <w:pPr>
        <w:spacing w:before="100" w:line="224" w:lineRule="auto"/>
        <w:ind w:left="648"/>
        <w:rPr>
          <w:rFonts w:ascii="黑体" w:hAnsi="黑体" w:eastAsia="黑体" w:cs="黑体"/>
          <w:sz w:val="31"/>
          <w:szCs w:val="31"/>
        </w:rPr>
      </w:pPr>
      <w:r>
        <w:rPr>
          <w:rFonts w:ascii="黑体" w:hAnsi="黑体" w:eastAsia="黑体" w:cs="黑体"/>
          <w:spacing w:val="-6"/>
          <w:sz w:val="31"/>
          <w:szCs w:val="31"/>
        </w:rPr>
        <w:t>一、《收入支出决算总表》</w:t>
      </w:r>
    </w:p>
    <w:p w14:paraId="2F2702C0">
      <w:pPr>
        <w:spacing w:before="164" w:line="224" w:lineRule="auto"/>
        <w:ind w:left="648"/>
        <w:rPr>
          <w:rFonts w:ascii="黑体" w:hAnsi="黑体" w:eastAsia="黑体" w:cs="黑体"/>
          <w:sz w:val="31"/>
          <w:szCs w:val="31"/>
        </w:rPr>
      </w:pPr>
      <w:r>
        <w:rPr>
          <w:rFonts w:ascii="黑体" w:hAnsi="黑体" w:eastAsia="黑体" w:cs="黑体"/>
          <w:spacing w:val="-11"/>
          <w:sz w:val="31"/>
          <w:szCs w:val="31"/>
        </w:rPr>
        <w:t>二、《收入决算表》</w:t>
      </w:r>
    </w:p>
    <w:p w14:paraId="7873BA88">
      <w:pPr>
        <w:spacing w:before="164" w:line="224" w:lineRule="auto"/>
        <w:ind w:left="649"/>
        <w:rPr>
          <w:rFonts w:ascii="黑体" w:hAnsi="黑体" w:eastAsia="黑体" w:cs="黑体"/>
          <w:sz w:val="31"/>
          <w:szCs w:val="31"/>
        </w:rPr>
      </w:pPr>
      <w:r>
        <w:rPr>
          <w:rFonts w:ascii="黑体" w:hAnsi="黑体" w:eastAsia="黑体" w:cs="黑体"/>
          <w:spacing w:val="-11"/>
          <w:sz w:val="31"/>
          <w:szCs w:val="31"/>
        </w:rPr>
        <w:t>三、《支出决算表》</w:t>
      </w:r>
    </w:p>
    <w:p w14:paraId="17871F7E">
      <w:pPr>
        <w:spacing w:before="163" w:line="224" w:lineRule="auto"/>
        <w:ind w:left="662"/>
        <w:rPr>
          <w:rFonts w:ascii="黑体" w:hAnsi="黑体" w:eastAsia="黑体" w:cs="黑体"/>
          <w:sz w:val="31"/>
          <w:szCs w:val="31"/>
        </w:rPr>
      </w:pPr>
      <w:r>
        <w:rPr>
          <w:rFonts w:ascii="黑体" w:hAnsi="黑体" w:eastAsia="黑体" w:cs="黑体"/>
          <w:spacing w:val="-3"/>
          <w:sz w:val="31"/>
          <w:szCs w:val="31"/>
        </w:rPr>
        <w:t>四、《财政拨款收入支出决算总表》</w:t>
      </w:r>
    </w:p>
    <w:p w14:paraId="7CBB0FD9">
      <w:pPr>
        <w:spacing w:before="163" w:line="224" w:lineRule="auto"/>
        <w:ind w:left="651"/>
        <w:rPr>
          <w:rFonts w:ascii="黑体" w:hAnsi="黑体" w:eastAsia="黑体" w:cs="黑体"/>
          <w:sz w:val="31"/>
          <w:szCs w:val="31"/>
        </w:rPr>
      </w:pPr>
      <w:r>
        <w:rPr>
          <w:rFonts w:ascii="黑体" w:hAnsi="黑体" w:eastAsia="黑体" w:cs="黑体"/>
          <w:spacing w:val="-1"/>
          <w:sz w:val="31"/>
          <w:szCs w:val="31"/>
        </w:rPr>
        <w:t>五、《一般公共预算财政拨款支出决算表》</w:t>
      </w:r>
    </w:p>
    <w:p w14:paraId="4E5A014C">
      <w:pPr>
        <w:spacing w:before="164" w:line="224" w:lineRule="auto"/>
        <w:ind w:left="653"/>
        <w:rPr>
          <w:rFonts w:ascii="黑体" w:hAnsi="黑体" w:eastAsia="黑体" w:cs="黑体"/>
          <w:sz w:val="31"/>
          <w:szCs w:val="31"/>
        </w:rPr>
      </w:pPr>
      <w:r>
        <w:rPr>
          <w:rFonts w:ascii="黑体" w:hAnsi="黑体" w:eastAsia="黑体" w:cs="黑体"/>
          <w:sz w:val="31"/>
          <w:szCs w:val="31"/>
        </w:rPr>
        <w:t>六、《一般公共预算财政拨款基本支出决算表》</w:t>
      </w:r>
    </w:p>
    <w:p w14:paraId="305CECD2">
      <w:pPr>
        <w:spacing w:before="164" w:line="224" w:lineRule="auto"/>
        <w:ind w:left="641"/>
        <w:rPr>
          <w:rFonts w:ascii="黑体" w:hAnsi="黑体" w:eastAsia="黑体" w:cs="黑体"/>
          <w:sz w:val="31"/>
          <w:szCs w:val="31"/>
        </w:rPr>
      </w:pPr>
      <w:r>
        <w:rPr>
          <w:rFonts w:ascii="黑体" w:hAnsi="黑体" w:eastAsia="黑体" w:cs="黑体"/>
          <w:spacing w:val="2"/>
          <w:sz w:val="31"/>
          <w:szCs w:val="31"/>
        </w:rPr>
        <w:t>七、《一般公共预算财政拨款</w:t>
      </w:r>
      <w:r>
        <w:rPr>
          <w:rFonts w:ascii="Times New Roman" w:hAnsi="Times New Roman" w:eastAsia="Times New Roman" w:cs="Times New Roman"/>
          <w:spacing w:val="2"/>
          <w:sz w:val="31"/>
          <w:szCs w:val="31"/>
        </w:rPr>
        <w:t>“</w:t>
      </w:r>
      <w:r>
        <w:rPr>
          <w:rFonts w:ascii="黑体" w:hAnsi="黑体" w:eastAsia="黑体" w:cs="黑体"/>
          <w:spacing w:val="2"/>
          <w:sz w:val="31"/>
          <w:szCs w:val="31"/>
        </w:rPr>
        <w:t>三公</w:t>
      </w:r>
      <w:r>
        <w:rPr>
          <w:rFonts w:ascii="Times New Roman" w:hAnsi="Times New Roman" w:eastAsia="Times New Roman" w:cs="Times New Roman"/>
          <w:spacing w:val="2"/>
          <w:sz w:val="31"/>
          <w:szCs w:val="31"/>
        </w:rPr>
        <w:t>”</w:t>
      </w:r>
      <w:r>
        <w:rPr>
          <w:rFonts w:ascii="黑体" w:hAnsi="黑体" w:eastAsia="黑体" w:cs="黑体"/>
          <w:spacing w:val="2"/>
          <w:sz w:val="31"/>
          <w:szCs w:val="31"/>
        </w:rPr>
        <w:t>经费支出决算表》</w:t>
      </w:r>
    </w:p>
    <w:p w14:paraId="58D59EED">
      <w:pPr>
        <w:spacing w:before="165" w:line="224" w:lineRule="auto"/>
        <w:ind w:left="643"/>
        <w:rPr>
          <w:rFonts w:ascii="黑体" w:hAnsi="黑体" w:eastAsia="黑体" w:cs="黑体"/>
          <w:sz w:val="31"/>
          <w:szCs w:val="31"/>
        </w:rPr>
      </w:pPr>
      <w:r>
        <w:rPr>
          <w:rFonts w:ascii="黑体" w:hAnsi="黑体" w:eastAsia="黑体" w:cs="黑体"/>
          <w:spacing w:val="1"/>
          <w:sz w:val="31"/>
          <w:szCs w:val="31"/>
        </w:rPr>
        <w:t>八、《政府性基金预算财政拨款收入支出决算表》</w:t>
      </w:r>
    </w:p>
    <w:p w14:paraId="024D62F1">
      <w:pPr>
        <w:spacing w:before="164" w:line="224" w:lineRule="auto"/>
        <w:ind w:left="650"/>
        <w:rPr>
          <w:rFonts w:ascii="黑体" w:hAnsi="黑体" w:eastAsia="黑体" w:cs="黑体"/>
          <w:sz w:val="31"/>
          <w:szCs w:val="31"/>
        </w:rPr>
      </w:pPr>
      <w:r>
        <w:rPr>
          <w:rFonts w:ascii="黑体" w:hAnsi="黑体" w:eastAsia="黑体" w:cs="黑体"/>
          <w:spacing w:val="1"/>
          <w:sz w:val="31"/>
          <w:szCs w:val="31"/>
        </w:rPr>
        <w:t>九、《国有资本经营预算财政拨款收入支出决算表》</w:t>
      </w:r>
    </w:p>
    <w:sectPr>
      <w:pgSz w:w="12240" w:h="15840"/>
      <w:pgMar w:top="1346" w:right="1705" w:bottom="0" w:left="181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22E07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4440</Words>
  <Characters>4905</Characters>
  <TotalTime>0</TotalTime>
  <ScaleCrop>false</ScaleCrop>
  <LinksUpToDate>false</LinksUpToDate>
  <CharactersWithSpaces>4955</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2023-08-23T14:19:00Z</dcterms:created>
  <dc:creator>wxc</dc:creator>
  <cp:lastModifiedBy>宋茂伦</cp:lastModifiedBy>
  <dcterms:modified xsi:type="dcterms:W3CDTF">2026-08-04T04:46:10Z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2026-08-04T11:06:32Z</vt:filetime>
  </property>
  <property fmtid="{D5CDD505-2E9C-101B-9397-08002B2CF9AE}" pid="4" name="KSOTemplateDocerSaveRecord">
    <vt:lpwstr>eyJoZGlkIjoiMDljYzUzMWQ4OWI0YzBkYjYzMDRhZTY5ZjZkYmFmYTgiLCJ1c2VySWQiOiI0NDc2NTQ3NDYifQ==</vt:lpwstr>
  </property>
  <property fmtid="{D5CDD505-2E9C-101B-9397-08002B2CF9AE}" pid="5" name="KSOProductBuildVer">
    <vt:lpwstr>2052-12.1.0.28043</vt:lpwstr>
  </property>
  <property fmtid="{D5CDD505-2E9C-101B-9397-08002B2CF9AE}" pid="6" name="ICV">
    <vt:lpwstr>3B155DCF6D4149D9932DE3F226BE6586_12</vt:lpwstr>
  </property>
</Properties>
</file>