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15A76">
      <w:pPr>
        <w:spacing w:line="540" w:lineRule="exact"/>
        <w:jc w:val="center"/>
        <w:rPr>
          <w:rFonts w:hint="default" w:ascii="Times New Roman" w:hAnsi="Times New Roman" w:eastAsia="华文中宋" w:cs="Times New Roman"/>
          <w:b/>
          <w:kern w:val="0"/>
          <w:sz w:val="52"/>
          <w:szCs w:val="52"/>
        </w:rPr>
      </w:pPr>
    </w:p>
    <w:p w14:paraId="5FA27949">
      <w:pPr>
        <w:spacing w:line="540" w:lineRule="exact"/>
        <w:rPr>
          <w:rFonts w:hint="default" w:ascii="Times New Roman" w:hAnsi="Times New Roman" w:eastAsia="华文中宋" w:cs="Times New Roman"/>
          <w:b/>
          <w:kern w:val="0"/>
          <w:sz w:val="52"/>
          <w:szCs w:val="52"/>
        </w:rPr>
      </w:pPr>
    </w:p>
    <w:p w14:paraId="799E0F70">
      <w:pPr>
        <w:spacing w:line="540" w:lineRule="exact"/>
        <w:jc w:val="center"/>
        <w:rPr>
          <w:rFonts w:hint="default" w:ascii="Times New Roman" w:hAnsi="Times New Roman" w:eastAsia="华文中宋" w:cs="Times New Roman"/>
          <w:b/>
          <w:kern w:val="0"/>
          <w:sz w:val="52"/>
          <w:szCs w:val="52"/>
        </w:rPr>
      </w:pPr>
    </w:p>
    <w:p w14:paraId="7C462F1A">
      <w:pPr>
        <w:spacing w:line="540" w:lineRule="exact"/>
        <w:jc w:val="center"/>
        <w:rPr>
          <w:rFonts w:hint="default" w:ascii="Times New Roman" w:hAnsi="Times New Roman" w:eastAsia="华文中宋" w:cs="Times New Roman"/>
          <w:b/>
          <w:kern w:val="0"/>
          <w:sz w:val="52"/>
          <w:szCs w:val="52"/>
        </w:rPr>
      </w:pPr>
    </w:p>
    <w:p w14:paraId="1A783C20">
      <w:pPr>
        <w:spacing w:line="540" w:lineRule="exact"/>
        <w:jc w:val="center"/>
        <w:rPr>
          <w:rFonts w:hint="default" w:ascii="Times New Roman" w:hAnsi="Times New Roman" w:eastAsia="方正小标宋_GBK" w:cs="Times New Roman"/>
          <w:kern w:val="0"/>
          <w:sz w:val="48"/>
          <w:szCs w:val="48"/>
        </w:rPr>
      </w:pPr>
      <w:r>
        <w:rPr>
          <w:rFonts w:hint="eastAsia" w:eastAsia="方正小标宋_GBK" w:cs="Times New Roman"/>
          <w:kern w:val="0"/>
          <w:sz w:val="48"/>
          <w:szCs w:val="48"/>
          <w:lang w:val="en-US" w:eastAsia="zh-CN"/>
        </w:rPr>
        <w:t>临聘教师</w:t>
      </w:r>
      <w:r>
        <w:rPr>
          <w:rFonts w:hint="default" w:ascii="Times New Roman" w:hAnsi="Times New Roman" w:eastAsia="方正小标宋_GBK" w:cs="Times New Roman"/>
          <w:kern w:val="0"/>
          <w:sz w:val="48"/>
          <w:szCs w:val="48"/>
        </w:rPr>
        <w:t>项目支出绩效评价</w:t>
      </w:r>
    </w:p>
    <w:p w14:paraId="14897C9D">
      <w:pPr>
        <w:spacing w:line="540" w:lineRule="exact"/>
        <w:jc w:val="center"/>
        <w:rPr>
          <w:rFonts w:hint="default" w:ascii="Times New Roman" w:hAnsi="Times New Roman" w:eastAsia="方正小标宋_GBK" w:cs="Times New Roman"/>
          <w:kern w:val="0"/>
          <w:sz w:val="48"/>
          <w:szCs w:val="48"/>
        </w:rPr>
      </w:pPr>
      <w:r>
        <w:rPr>
          <w:rFonts w:hint="default" w:ascii="Times New Roman" w:hAnsi="Times New Roman" w:eastAsia="方正小标宋_GBK" w:cs="Times New Roman"/>
          <w:kern w:val="0"/>
          <w:sz w:val="48"/>
          <w:szCs w:val="48"/>
        </w:rPr>
        <w:t>报告</w:t>
      </w:r>
    </w:p>
    <w:p w14:paraId="01786B77">
      <w:pPr>
        <w:spacing w:line="540" w:lineRule="exact"/>
        <w:jc w:val="center"/>
        <w:rPr>
          <w:rFonts w:hint="default" w:ascii="Times New Roman" w:hAnsi="Times New Roman" w:eastAsia="华文中宋" w:cs="Times New Roman"/>
          <w:b/>
          <w:kern w:val="0"/>
          <w:sz w:val="52"/>
          <w:szCs w:val="52"/>
        </w:rPr>
      </w:pPr>
    </w:p>
    <w:p w14:paraId="5E47CD7E">
      <w:pPr>
        <w:spacing w:line="540" w:lineRule="exact"/>
        <w:jc w:val="center"/>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（202</w:t>
      </w:r>
      <w:r>
        <w:rPr>
          <w:rFonts w:hint="default" w:ascii="Times New Roman" w:hAnsi="Times New Roman"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年度）</w:t>
      </w:r>
    </w:p>
    <w:p w14:paraId="0125C523">
      <w:pPr>
        <w:spacing w:line="540" w:lineRule="exact"/>
        <w:jc w:val="center"/>
        <w:rPr>
          <w:rFonts w:hint="default" w:ascii="Times New Roman" w:hAnsi="Times New Roman" w:eastAsia="仿宋_GB2312" w:cs="Times New Roman"/>
          <w:kern w:val="0"/>
          <w:sz w:val="30"/>
          <w:szCs w:val="30"/>
        </w:rPr>
      </w:pPr>
    </w:p>
    <w:p w14:paraId="7B5A4571">
      <w:pPr>
        <w:spacing w:line="540" w:lineRule="exact"/>
        <w:jc w:val="center"/>
        <w:rPr>
          <w:rFonts w:hint="default" w:ascii="Times New Roman" w:hAnsi="Times New Roman" w:eastAsia="仿宋_GB2312" w:cs="Times New Roman"/>
          <w:kern w:val="0"/>
          <w:sz w:val="30"/>
          <w:szCs w:val="30"/>
        </w:rPr>
      </w:pPr>
    </w:p>
    <w:p w14:paraId="57A55E4E">
      <w:pPr>
        <w:spacing w:line="540" w:lineRule="exact"/>
        <w:jc w:val="center"/>
        <w:rPr>
          <w:rFonts w:hint="default" w:ascii="Times New Roman" w:hAnsi="Times New Roman" w:eastAsia="仿宋_GB2312" w:cs="Times New Roman"/>
          <w:kern w:val="0"/>
          <w:sz w:val="30"/>
          <w:szCs w:val="30"/>
        </w:rPr>
      </w:pPr>
    </w:p>
    <w:p w14:paraId="4EC4D5EB">
      <w:pPr>
        <w:pStyle w:val="2"/>
        <w:rPr>
          <w:rFonts w:hint="default" w:ascii="Times New Roman" w:hAnsi="Times New Roman" w:cs="Times New Roman"/>
        </w:rPr>
      </w:pPr>
    </w:p>
    <w:p w14:paraId="23821C43">
      <w:pPr>
        <w:spacing w:line="540" w:lineRule="exact"/>
        <w:jc w:val="center"/>
        <w:rPr>
          <w:rFonts w:hint="default" w:ascii="Times New Roman" w:hAnsi="Times New Roman" w:eastAsia="仿宋_GB2312" w:cs="Times New Roman"/>
          <w:kern w:val="0"/>
          <w:sz w:val="30"/>
          <w:szCs w:val="30"/>
        </w:rPr>
      </w:pPr>
    </w:p>
    <w:p w14:paraId="2F3ACF18">
      <w:pPr>
        <w:spacing w:line="540" w:lineRule="exact"/>
        <w:rPr>
          <w:rFonts w:hint="default" w:ascii="Times New Roman" w:hAnsi="Times New Roman" w:eastAsia="仿宋_GB2312" w:cs="Times New Roman"/>
          <w:kern w:val="0"/>
          <w:sz w:val="30"/>
          <w:szCs w:val="30"/>
        </w:rPr>
      </w:pPr>
    </w:p>
    <w:p w14:paraId="28557005">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项目名称：</w:t>
      </w:r>
      <w:r>
        <w:rPr>
          <w:rFonts w:hint="eastAsia" w:eastAsia="仿宋_GB2312" w:cs="Times New Roman"/>
          <w:kern w:val="0"/>
          <w:sz w:val="36"/>
          <w:szCs w:val="36"/>
          <w:lang w:val="en-US" w:eastAsia="zh-CN"/>
        </w:rPr>
        <w:t>临聘教师补助经费</w:t>
      </w:r>
    </w:p>
    <w:p w14:paraId="0390E4B4">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实施单位（公章）：</w:t>
      </w:r>
      <w:r>
        <w:rPr>
          <w:rFonts w:hint="eastAsia" w:eastAsia="仿宋_GB2312" w:cs="Times New Roman"/>
          <w:kern w:val="0"/>
          <w:sz w:val="36"/>
          <w:szCs w:val="36"/>
          <w:lang w:val="en-US" w:eastAsia="zh-CN"/>
        </w:rPr>
        <w:t>乌鲁木齐市第七十一中学</w:t>
      </w:r>
    </w:p>
    <w:p w14:paraId="08495678">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主管部门（公章）</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沙依巴克区教育局</w:t>
      </w:r>
    </w:p>
    <w:p w14:paraId="10C9EEAA">
      <w:pPr>
        <w:spacing w:line="700" w:lineRule="exact"/>
        <w:ind w:firstLine="1440" w:firstLineChars="400"/>
        <w:jc w:val="left"/>
        <w:rPr>
          <w:rFonts w:hint="default" w:ascii="Times New Roman" w:hAnsi="Times New Roman" w:eastAsia="仿宋_GB2312" w:cs="Times New Roman"/>
          <w:kern w:val="0"/>
          <w:sz w:val="36"/>
          <w:szCs w:val="36"/>
          <w:lang w:val="en-US" w:eastAsia="zh-CN"/>
        </w:rPr>
      </w:pPr>
      <w:r>
        <w:rPr>
          <w:rFonts w:hint="default" w:ascii="Times New Roman" w:hAnsi="Times New Roman" w:eastAsia="仿宋_GB2312" w:cs="Times New Roman"/>
          <w:kern w:val="0"/>
          <w:sz w:val="36"/>
          <w:szCs w:val="36"/>
        </w:rPr>
        <w:t>项目负责人（签章）：</w:t>
      </w:r>
      <w:r>
        <w:rPr>
          <w:rFonts w:hint="eastAsia" w:eastAsia="仿宋_GB2312" w:cs="Times New Roman"/>
          <w:kern w:val="0"/>
          <w:sz w:val="36"/>
          <w:szCs w:val="36"/>
          <w:lang w:val="en-US" w:eastAsia="zh-CN"/>
        </w:rPr>
        <w:t>杨雯雯</w:t>
      </w:r>
    </w:p>
    <w:p w14:paraId="29A0934D">
      <w:pPr>
        <w:spacing w:line="700" w:lineRule="exact"/>
        <w:ind w:firstLine="1440" w:firstLineChars="400"/>
        <w:jc w:val="left"/>
        <w:rPr>
          <w:rFonts w:hint="default" w:ascii="Times New Roman" w:hAnsi="Times New Roman" w:eastAsia="仿宋_GB2312" w:cs="Times New Roman"/>
          <w:kern w:val="0"/>
          <w:sz w:val="36"/>
          <w:szCs w:val="36"/>
        </w:rPr>
      </w:pPr>
      <w:r>
        <w:rPr>
          <w:rFonts w:hint="default" w:ascii="Times New Roman" w:hAnsi="Times New Roman" w:eastAsia="仿宋_GB2312" w:cs="Times New Roman"/>
          <w:kern w:val="0"/>
          <w:sz w:val="36"/>
          <w:szCs w:val="36"/>
        </w:rPr>
        <w:t>填报时间</w:t>
      </w:r>
      <w:r>
        <w:rPr>
          <w:rFonts w:hint="eastAsia" w:eastAsia="仿宋_GB2312" w:cs="Times New Roman"/>
          <w:kern w:val="0"/>
          <w:sz w:val="36"/>
          <w:szCs w:val="36"/>
          <w:lang w:eastAsia="zh-CN"/>
        </w:rPr>
        <w:t>：</w:t>
      </w:r>
      <w:r>
        <w:rPr>
          <w:rFonts w:hint="eastAsia" w:eastAsia="仿宋_GB2312" w:cs="Times New Roman"/>
          <w:kern w:val="0"/>
          <w:sz w:val="36"/>
          <w:szCs w:val="36"/>
          <w:lang w:val="en-US" w:eastAsia="zh-CN"/>
        </w:rPr>
        <w:t>2025</w:t>
      </w:r>
      <w:r>
        <w:rPr>
          <w:rFonts w:hint="default" w:ascii="Times New Roman" w:hAnsi="Times New Roman" w:eastAsia="仿宋_GB2312" w:cs="Times New Roman"/>
          <w:kern w:val="0"/>
          <w:sz w:val="36"/>
          <w:szCs w:val="36"/>
        </w:rPr>
        <w:t>年</w:t>
      </w:r>
      <w:r>
        <w:rPr>
          <w:rFonts w:hint="eastAsia" w:eastAsia="仿宋_GB2312" w:cs="Times New Roman"/>
          <w:kern w:val="0"/>
          <w:sz w:val="36"/>
          <w:szCs w:val="36"/>
          <w:lang w:val="en-US" w:eastAsia="zh-CN"/>
        </w:rPr>
        <w:t>4</w:t>
      </w:r>
      <w:r>
        <w:rPr>
          <w:rFonts w:hint="default" w:ascii="Times New Roman" w:hAnsi="Times New Roman" w:eastAsia="仿宋_GB2312" w:cs="Times New Roman"/>
          <w:kern w:val="0"/>
          <w:sz w:val="36"/>
          <w:szCs w:val="36"/>
        </w:rPr>
        <w:t>月</w:t>
      </w:r>
      <w:r>
        <w:rPr>
          <w:rFonts w:hint="eastAsia" w:eastAsia="仿宋_GB2312" w:cs="Times New Roman"/>
          <w:kern w:val="0"/>
          <w:sz w:val="36"/>
          <w:szCs w:val="36"/>
          <w:lang w:val="en-US" w:eastAsia="zh-CN"/>
        </w:rPr>
        <w:t>3</w:t>
      </w:r>
      <w:r>
        <w:rPr>
          <w:rFonts w:hint="default" w:ascii="Times New Roman" w:hAnsi="Times New Roman" w:eastAsia="仿宋_GB2312" w:cs="Times New Roman"/>
          <w:kern w:val="0"/>
          <w:sz w:val="36"/>
          <w:szCs w:val="36"/>
        </w:rPr>
        <w:t>日</w:t>
      </w:r>
    </w:p>
    <w:p w14:paraId="5DA66E4F">
      <w:pPr>
        <w:spacing w:line="540" w:lineRule="exact"/>
        <w:jc w:val="center"/>
        <w:rPr>
          <w:rFonts w:hint="default" w:ascii="Times New Roman" w:hAnsi="Times New Roman" w:eastAsia="仿宋_GB2312" w:cs="Times New Roman"/>
          <w:kern w:val="0"/>
          <w:sz w:val="30"/>
          <w:szCs w:val="30"/>
        </w:rPr>
      </w:pPr>
    </w:p>
    <w:p w14:paraId="0C73778A">
      <w:pPr>
        <w:spacing w:line="540" w:lineRule="exact"/>
        <w:rPr>
          <w:rStyle w:val="16"/>
          <w:rFonts w:hint="default" w:ascii="Times New Roman" w:hAnsi="Times New Roman" w:eastAsia="黑体" w:cs="Times New Roman"/>
          <w:b w:val="0"/>
          <w:spacing w:val="-4"/>
          <w:sz w:val="32"/>
          <w:szCs w:val="32"/>
        </w:rPr>
      </w:pPr>
    </w:p>
    <w:p w14:paraId="69F08E95">
      <w:pPr>
        <w:spacing w:line="540" w:lineRule="exact"/>
        <w:ind w:firstLine="640"/>
        <w:rPr>
          <w:rStyle w:val="16"/>
          <w:rFonts w:hint="default" w:ascii="Times New Roman" w:hAnsi="Times New Roman" w:eastAsia="黑体" w:cs="Times New Roman"/>
          <w:b w:val="0"/>
          <w:spacing w:val="-4"/>
          <w:sz w:val="32"/>
          <w:szCs w:val="32"/>
        </w:rPr>
      </w:pPr>
    </w:p>
    <w:p w14:paraId="46716FBC">
      <w:pPr>
        <w:spacing w:line="540" w:lineRule="exact"/>
        <w:rPr>
          <w:rStyle w:val="16"/>
          <w:rFonts w:hint="default" w:ascii="Times New Roman" w:hAnsi="Times New Roman" w:eastAsia="黑体" w:cs="Times New Roman"/>
          <w:b w:val="0"/>
          <w:spacing w:val="-4"/>
          <w:sz w:val="32"/>
          <w:szCs w:val="32"/>
        </w:rPr>
      </w:pPr>
    </w:p>
    <w:p w14:paraId="09E339A0">
      <w:pPr>
        <w:spacing w:line="560" w:lineRule="exact"/>
        <w:ind w:firstLine="640" w:firstLineChars="200"/>
        <w:rPr>
          <w:rFonts w:hint="default" w:ascii="Times New Roman" w:hAnsi="Times New Roman" w:eastAsia="黑体" w:cs="Times New Roman"/>
          <w:bCs/>
          <w:sz w:val="32"/>
          <w:szCs w:val="32"/>
        </w:rPr>
        <w:sectPr>
          <w:pgSz w:w="11906" w:h="16838"/>
          <w:pgMar w:top="1440" w:right="1558" w:bottom="1440" w:left="1800" w:header="851" w:footer="992" w:gutter="0"/>
          <w:cols w:space="425" w:num="1"/>
          <w:docGrid w:type="lines" w:linePitch="312" w:charSpace="0"/>
        </w:sectPr>
      </w:pPr>
    </w:p>
    <w:p w14:paraId="0A1B00AE">
      <w:pPr>
        <w:spacing w:line="560" w:lineRule="exact"/>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一、基本情况</w:t>
      </w:r>
    </w:p>
    <w:p w14:paraId="093F6FCE">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（一）项目概况</w:t>
      </w:r>
    </w:p>
    <w:p w14:paraId="307B4119">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项目背景</w:t>
      </w:r>
    </w:p>
    <w:p w14:paraId="2A016460">
      <w:pPr>
        <w:spacing w:line="600" w:lineRule="exact"/>
        <w:ind w:firstLine="640" w:firstLineChars="200"/>
        <w:rPr>
          <w:rFonts w:hint="eastAsia" w:eastAsia="仿宋_GB2312"/>
          <w:sz w:val="32"/>
          <w:szCs w:val="32"/>
          <w:lang w:eastAsia="zh-CN"/>
        </w:rPr>
      </w:pPr>
      <w:r>
        <w:rPr>
          <w:rFonts w:hint="eastAsia" w:eastAsia="仿宋_GB2312"/>
          <w:sz w:val="32"/>
          <w:szCs w:val="32"/>
        </w:rPr>
        <w:t>随着义务教育阶段学生人数变化大，教师编制总量控制与动态调整机制滞后，又因新课改要求开齐开足各学科课程，导致学校长期面临师资缺口。为严格执行教学大纲，维护学校的教学秩序，为学生创造良好的学习环境,认真贯彻执行《中华人民共和国义务教育法》，积极稳妥的推进教育改革，按教育规章办事，不断提高教育质量，坚持</w:t>
      </w:r>
      <w:r>
        <w:rPr>
          <w:rFonts w:hint="eastAsia" w:eastAsia="仿宋_GB2312"/>
          <w:sz w:val="32"/>
          <w:szCs w:val="32"/>
          <w:lang w:eastAsia="zh-CN"/>
        </w:rPr>
        <w:t>教师</w:t>
      </w:r>
      <w:r>
        <w:rPr>
          <w:rFonts w:hint="eastAsia" w:eastAsia="仿宋_GB2312"/>
          <w:sz w:val="32"/>
          <w:szCs w:val="32"/>
        </w:rPr>
        <w:t>育人，服务育人，环境育人方针，加强对学生的思想品德教育，使每个教师都热心于教育事业。我单位教师除了在编教师外，其余师资力量主要来源于聘用教师。这些因素共同推动教育部门将绩效管理理念引入临聘教师经费使用，通过量化目标设定、动态考核机制等工具，制定乌鲁木齐市教育局、乌鲁木齐人力资源和社会保障局、乌鲁木齐市财政局制定文件（乌教办【2021】56号文）、《沙依巴克区教育系统临聘教师工资分配实施办法》等办法，实现教育资源配置效率与教学质量提升的双重目标</w:t>
      </w:r>
      <w:r>
        <w:rPr>
          <w:rFonts w:hint="eastAsia" w:eastAsia="仿宋_GB2312"/>
          <w:sz w:val="32"/>
          <w:szCs w:val="32"/>
          <w:lang w:eastAsia="zh-CN"/>
        </w:rPr>
        <w:t>。</w:t>
      </w:r>
    </w:p>
    <w:p w14:paraId="21AAAE6F">
      <w:pPr>
        <w:pStyle w:val="2"/>
        <w:numPr>
          <w:ilvl w:val="0"/>
          <w:numId w:val="0"/>
        </w:numPr>
        <w:spacing w:before="0" w:after="0" w:line="560" w:lineRule="exact"/>
        <w:ind w:firstLine="643" w:firstLineChars="200"/>
        <w:jc w:val="both"/>
        <w:rPr>
          <w:rFonts w:hint="default" w:ascii="Times New Roman" w:hAnsi="Times New Roman" w:eastAsia="仿宋_GB2312" w:cs="Times New Roman"/>
          <w:kern w:val="2"/>
          <w:lang w:val="en-US" w:eastAsia="zh-CN"/>
        </w:rPr>
      </w:pPr>
      <w:r>
        <w:rPr>
          <w:rFonts w:hint="default" w:ascii="Times New Roman" w:hAnsi="Times New Roman" w:eastAsia="仿宋_GB2312" w:cs="Times New Roman"/>
          <w:kern w:val="2"/>
          <w:lang w:val="en-US" w:eastAsia="zh-CN"/>
        </w:rPr>
        <w:t>2.</w:t>
      </w:r>
      <w:r>
        <w:rPr>
          <w:rFonts w:hint="default" w:ascii="Times New Roman" w:hAnsi="Times New Roman" w:eastAsia="仿宋_GB2312" w:cs="Times New Roman"/>
          <w:kern w:val="2"/>
        </w:rPr>
        <w:t>项目主要内容</w:t>
      </w:r>
      <w:r>
        <w:rPr>
          <w:rFonts w:hint="eastAsia" w:ascii="Times New Roman" w:hAnsi="Times New Roman" w:eastAsia="仿宋_GB2312" w:cs="Times New Roman"/>
          <w:kern w:val="2"/>
          <w:lang w:val="en-US" w:eastAsia="zh-CN"/>
        </w:rPr>
        <w:t>及实施情况</w:t>
      </w:r>
    </w:p>
    <w:p w14:paraId="599F866A">
      <w:pPr>
        <w:spacing w:line="560" w:lineRule="exact"/>
        <w:ind w:firstLine="600" w:firstLineChars="200"/>
        <w:rPr>
          <w:rFonts w:hint="default" w:ascii="Times New Roman" w:hAnsi="Times New Roman" w:eastAsia="黑体" w:cs="Times New Roman"/>
          <w:highlight w:val="yellow"/>
          <w:lang w:eastAsia="zh-CN"/>
        </w:rPr>
      </w:pPr>
      <w:r>
        <w:rPr>
          <w:rFonts w:hint="default" w:ascii="Times New Roman" w:hAnsi="Times New Roman" w:eastAsia="仿宋_GB2312" w:cs="Times New Roman"/>
          <w:sz w:val="30"/>
          <w:szCs w:val="30"/>
          <w:highlight w:val="none"/>
          <w:lang w:val="en-US" w:eastAsia="zh-CN"/>
        </w:rPr>
        <w:t>项目主要内容：</w:t>
      </w:r>
      <w:r>
        <w:rPr>
          <w:rFonts w:hint="eastAsia" w:eastAsia="仿宋_GB2312" w:cs="Times New Roman"/>
          <w:sz w:val="30"/>
          <w:szCs w:val="30"/>
          <w:highlight w:val="none"/>
          <w:lang w:val="en-US" w:eastAsia="zh-CN"/>
        </w:rPr>
        <w:t>为解决</w:t>
      </w:r>
      <w:r>
        <w:rPr>
          <w:rFonts w:hint="eastAsia" w:eastAsia="仿宋_GB2312"/>
          <w:sz w:val="32"/>
          <w:szCs w:val="32"/>
        </w:rPr>
        <w:t>学校长期面临师资缺口</w:t>
      </w:r>
      <w:r>
        <w:rPr>
          <w:rFonts w:hint="eastAsia" w:eastAsia="仿宋_GB2312"/>
          <w:sz w:val="32"/>
          <w:szCs w:val="32"/>
          <w:lang w:eastAsia="zh-CN"/>
        </w:rPr>
        <w:t>，</w:t>
      </w:r>
      <w:r>
        <w:rPr>
          <w:rFonts w:hint="eastAsia" w:eastAsia="仿宋_GB2312"/>
          <w:sz w:val="32"/>
          <w:szCs w:val="32"/>
          <w:lang w:val="en-US" w:eastAsia="zh-CN"/>
        </w:rPr>
        <w:t>2024年我校招聘临聘教师25人，用以</w:t>
      </w:r>
      <w:r>
        <w:rPr>
          <w:rFonts w:hint="eastAsia" w:eastAsia="仿宋_GB2312"/>
          <w:sz w:val="32"/>
          <w:szCs w:val="32"/>
        </w:rPr>
        <w:t>提高学校办学条件</w:t>
      </w:r>
      <w:r>
        <w:rPr>
          <w:rFonts w:hint="eastAsia" w:eastAsia="仿宋_GB2312"/>
          <w:sz w:val="32"/>
          <w:szCs w:val="32"/>
          <w:lang w:val="en-US" w:eastAsia="zh-CN"/>
        </w:rPr>
        <w:t>和</w:t>
      </w:r>
      <w:r>
        <w:rPr>
          <w:rFonts w:hint="eastAsia" w:eastAsia="仿宋_GB2312"/>
          <w:sz w:val="32"/>
          <w:szCs w:val="32"/>
        </w:rPr>
        <w:t>保障自聘教师薪资待遇；提升我校各级各类自聘教师的综合素质和专业技能，从而促进学校的长远稳定发展，为学生提供优质教学服务。</w:t>
      </w:r>
    </w:p>
    <w:p w14:paraId="416790D8">
      <w:pPr>
        <w:spacing w:line="560" w:lineRule="exact"/>
        <w:ind w:firstLine="600" w:firstLineChars="200"/>
        <w:rPr>
          <w:rFonts w:hint="default" w:ascii="Times New Roman" w:hAnsi="Times New Roman" w:cs="Times New Roman"/>
        </w:rPr>
      </w:pPr>
      <w:r>
        <w:rPr>
          <w:rFonts w:hint="default" w:ascii="Times New Roman" w:hAnsi="Times New Roman" w:eastAsia="仿宋_GB2312" w:cs="Times New Roman"/>
          <w:sz w:val="30"/>
          <w:szCs w:val="30"/>
          <w:highlight w:val="none"/>
          <w:lang w:val="en-US" w:eastAsia="zh-CN"/>
        </w:rPr>
        <w:t>项目实施情况</w:t>
      </w:r>
      <w:r>
        <w:rPr>
          <w:rFonts w:hint="default" w:ascii="Times New Roman" w:hAnsi="Times New Roman" w:eastAsia="仿宋_GB2312" w:cs="Times New Roman"/>
          <w:sz w:val="32"/>
          <w:szCs w:val="32"/>
        </w:rPr>
        <w:t>：</w:t>
      </w:r>
      <w:r>
        <w:rPr>
          <w:rFonts w:eastAsia="仿宋_GB2312"/>
          <w:sz w:val="32"/>
          <w:szCs w:val="32"/>
        </w:rPr>
        <w:t>项目目前已经完成实际设立的目标，</w:t>
      </w:r>
      <w:r>
        <w:rPr>
          <w:rFonts w:hint="eastAsia" w:eastAsia="仿宋_GB2312"/>
          <w:sz w:val="32"/>
          <w:szCs w:val="32"/>
          <w:lang w:val="en-US" w:eastAsia="zh-CN"/>
        </w:rPr>
        <w:t>全年发放25名代课教师工资12次。</w:t>
      </w:r>
      <w:r>
        <w:rPr>
          <w:rFonts w:eastAsia="仿宋_GB2312"/>
          <w:sz w:val="32"/>
          <w:szCs w:val="32"/>
        </w:rPr>
        <w:t>项目在实施过程中严格按照目标设立的各阶段任务进行开展工作，</w:t>
      </w:r>
      <w:r>
        <w:rPr>
          <w:rFonts w:hint="eastAsia" w:eastAsia="仿宋_GB2312"/>
          <w:sz w:val="32"/>
          <w:szCs w:val="32"/>
          <w:lang w:val="en-US" w:eastAsia="zh-CN"/>
        </w:rPr>
        <w:t>较好的完成了全年教学工作</w:t>
      </w:r>
      <w:r>
        <w:rPr>
          <w:rFonts w:eastAsia="仿宋_GB2312"/>
          <w:sz w:val="32"/>
          <w:szCs w:val="32"/>
        </w:rPr>
        <w:t>。</w:t>
      </w:r>
    </w:p>
    <w:p w14:paraId="20B2F74E">
      <w:pPr>
        <w:spacing w:line="560" w:lineRule="exact"/>
        <w:ind w:firstLine="643" w:firstLineChars="200"/>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bCs/>
          <w:sz w:val="32"/>
          <w:szCs w:val="32"/>
        </w:rPr>
        <w:t>资金投入和使用情况</w:t>
      </w:r>
    </w:p>
    <w:p w14:paraId="4B9DD7B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（1）资金投入情况</w:t>
      </w:r>
    </w:p>
    <w:p w14:paraId="4D989530">
      <w:pPr>
        <w:shd w:val="clear"/>
        <w:spacing w:line="600" w:lineRule="exact"/>
        <w:ind w:firstLine="640" w:firstLineChars="200"/>
        <w:outlineLvl w:val="0"/>
        <w:rPr>
          <w:rFonts w:hint="default" w:ascii="Times New Roman" w:hAnsi="Times New Roman" w:eastAsia="仿宋_GB2312" w:cs="Times New Roman"/>
          <w:color w:val="FF0000"/>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110.36</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103.07</w:t>
      </w:r>
      <w:r>
        <w:rPr>
          <w:rFonts w:hint="default" w:ascii="Times New Roman" w:hAnsi="Times New Roman" w:eastAsia="仿宋_GB2312" w:cs="Times New Roman"/>
          <w:sz w:val="32"/>
          <w:szCs w:val="32"/>
          <w:highlight w:val="none"/>
          <w:lang w:val="en-US" w:eastAsia="zh-CN"/>
        </w:rPr>
        <w:t>万元，该项目资金已全部落实到位，资金来源为</w:t>
      </w:r>
      <w:r>
        <w:rPr>
          <w:rFonts w:hint="eastAsia" w:eastAsia="仿宋_GB2312" w:cs="Times New Roman"/>
          <w:sz w:val="32"/>
          <w:szCs w:val="32"/>
          <w:highlight w:val="none"/>
          <w:lang w:val="en-US" w:eastAsia="zh-CN"/>
        </w:rPr>
        <w:t>财政拨款</w:t>
      </w:r>
      <w:r>
        <w:rPr>
          <w:rFonts w:hint="default" w:ascii="Times New Roman" w:hAnsi="Times New Roman" w:eastAsia="仿宋_GB2312" w:cs="Times New Roman"/>
          <w:sz w:val="32"/>
          <w:szCs w:val="32"/>
          <w:highlight w:val="none"/>
          <w:lang w:val="en-US" w:eastAsia="zh-CN"/>
        </w:rPr>
        <w:t>。</w:t>
      </w:r>
    </w:p>
    <w:p w14:paraId="6EF20F8C">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（2）资金使用情况</w:t>
      </w:r>
    </w:p>
    <w:p w14:paraId="68484E8D">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该项目年初预算数</w:t>
      </w:r>
      <w:r>
        <w:rPr>
          <w:rFonts w:hint="eastAsia" w:eastAsia="仿宋_GB2312" w:cs="Times New Roman"/>
          <w:sz w:val="32"/>
          <w:szCs w:val="32"/>
          <w:highlight w:val="none"/>
          <w:lang w:val="en-US" w:eastAsia="zh-CN"/>
        </w:rPr>
        <w:t>110.36</w:t>
      </w:r>
      <w:r>
        <w:rPr>
          <w:rFonts w:hint="default" w:ascii="Times New Roman" w:hAnsi="Times New Roman" w:eastAsia="仿宋_GB2312" w:cs="Times New Roman"/>
          <w:sz w:val="32"/>
          <w:szCs w:val="32"/>
          <w:highlight w:val="none"/>
          <w:lang w:val="en-US" w:eastAsia="zh-CN"/>
        </w:rPr>
        <w:t>万元，全年预算数</w:t>
      </w:r>
      <w:r>
        <w:rPr>
          <w:rFonts w:hint="eastAsia" w:eastAsia="仿宋_GB2312" w:cs="Times New Roman"/>
          <w:sz w:val="32"/>
          <w:szCs w:val="32"/>
          <w:highlight w:val="none"/>
          <w:lang w:val="en-US" w:eastAsia="zh-CN"/>
        </w:rPr>
        <w:t>103.07</w:t>
      </w:r>
      <w:r>
        <w:rPr>
          <w:rFonts w:hint="default" w:ascii="Times New Roman" w:hAnsi="Times New Roman" w:eastAsia="仿宋_GB2312" w:cs="Times New Roman"/>
          <w:sz w:val="32"/>
          <w:szCs w:val="32"/>
          <w:highlight w:val="none"/>
          <w:lang w:val="en-US" w:eastAsia="zh-CN"/>
        </w:rPr>
        <w:t>万元</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全年执行数</w:t>
      </w:r>
      <w:r>
        <w:rPr>
          <w:rFonts w:hint="eastAsia" w:eastAsia="仿宋_GB2312" w:cs="Times New Roman"/>
          <w:sz w:val="32"/>
          <w:szCs w:val="32"/>
          <w:highlight w:val="none"/>
          <w:lang w:val="en-US" w:eastAsia="zh-CN"/>
        </w:rPr>
        <w:t>103.07</w:t>
      </w:r>
      <w:r>
        <w:rPr>
          <w:rFonts w:hint="default" w:ascii="Times New Roman" w:hAnsi="Times New Roman" w:eastAsia="仿宋_GB2312" w:cs="Times New Roman"/>
          <w:sz w:val="32"/>
          <w:szCs w:val="32"/>
          <w:highlight w:val="none"/>
          <w:lang w:val="en-US" w:eastAsia="zh-CN"/>
        </w:rPr>
        <w:t>万元，预算执行率为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%，主要用于：</w:t>
      </w:r>
      <w:r>
        <w:rPr>
          <w:rFonts w:hint="eastAsia" w:eastAsia="仿宋_GB2312" w:cs="Times New Roman"/>
          <w:sz w:val="32"/>
          <w:szCs w:val="32"/>
          <w:highlight w:val="none"/>
          <w:lang w:val="en-US" w:eastAsia="zh-CN"/>
        </w:rPr>
        <w:t>发放25名教师12个月工资福利103.07万元</w:t>
      </w:r>
      <w:r>
        <w:rPr>
          <w:rFonts w:hint="default" w:ascii="Times New Roman" w:hAnsi="Times New Roman" w:eastAsia="仿宋_GB2312" w:cs="Times New Roman"/>
          <w:sz w:val="32"/>
          <w:szCs w:val="32"/>
          <w:highlight w:val="none"/>
          <w:lang w:val="en-US" w:eastAsia="zh-CN"/>
        </w:rPr>
        <w:t>。</w:t>
      </w:r>
    </w:p>
    <w:p w14:paraId="624965ED">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（二）项目绩效目标</w:t>
      </w:r>
    </w:p>
    <w:p w14:paraId="569197D6">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sz w:val="32"/>
          <w:szCs w:val="32"/>
        </w:rPr>
        <w:t>总体目标</w:t>
      </w:r>
    </w:p>
    <w:p w14:paraId="4A020B8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通过聘用教师</w:t>
      </w:r>
      <w:r>
        <w:rPr>
          <w:rFonts w:hint="eastAsia"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lang w:val="en-US" w:eastAsia="zh-CN"/>
        </w:rPr>
        <w:t>人，提高了教育教学水平全面提升我区各级各类教师的综合素质和专业技能，保障小学教师队伍的稳定。</w:t>
      </w:r>
      <w:r>
        <w:rPr>
          <w:rFonts w:hint="eastAsia" w:ascii="Times New Roman" w:hAnsi="Times New Roman" w:eastAsia="仿宋_GB2312" w:cs="Times New Roman"/>
          <w:sz w:val="32"/>
          <w:szCs w:val="32"/>
          <w:highlight w:val="none"/>
          <w:lang w:val="en-US" w:eastAsia="zh-CN"/>
        </w:rPr>
        <w:t xml:space="preserve">   </w:t>
      </w:r>
      <w:r>
        <w:rPr>
          <w:rFonts w:hint="eastAsia" w:eastAsia="仿宋_GB2312" w:cs="Times New Roman"/>
          <w:sz w:val="32"/>
          <w:szCs w:val="32"/>
          <w:highlight w:val="none"/>
          <w:lang w:val="en-US" w:eastAsia="zh-CN"/>
        </w:rPr>
        <w:t xml:space="preserve">    </w:t>
      </w:r>
    </w:p>
    <w:p w14:paraId="513C7F20">
      <w:pPr>
        <w:pStyle w:val="2"/>
        <w:numPr>
          <w:ilvl w:val="0"/>
          <w:numId w:val="1"/>
        </w:numPr>
        <w:ind w:firstLine="640" w:firstLineChars="200"/>
        <w:jc w:val="left"/>
        <w:rPr>
          <w:rFonts w:hint="eastAsia" w:ascii="Times New Roman" w:hAnsi="Times New Roman" w:eastAsia="仿宋_GB2312" w:cs="Times New Roman"/>
          <w:b w:val="0"/>
          <w:bCs w:val="0"/>
          <w:kern w:val="2"/>
          <w:sz w:val="32"/>
          <w:szCs w:val="32"/>
          <w:lang w:val="en-US" w:eastAsia="zh-CN" w:bidi="ar-SA"/>
        </w:rPr>
      </w:pPr>
      <w:r>
        <w:rPr>
          <w:rFonts w:hint="eastAsia" w:ascii="Times New Roman" w:hAnsi="Times New Roman" w:eastAsia="仿宋_GB2312" w:cs="Times New Roman"/>
          <w:b w:val="0"/>
          <w:bCs w:val="0"/>
          <w:kern w:val="2"/>
          <w:sz w:val="32"/>
          <w:szCs w:val="32"/>
          <w:lang w:val="en-US" w:eastAsia="zh-CN" w:bidi="ar-SA"/>
        </w:rPr>
        <w:t>阶段性目标</w:t>
      </w:r>
    </w:p>
    <w:p w14:paraId="6932680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 w:val="0"/>
          <w:bCs/>
          <w:lang w:eastAsia="zh-CN"/>
        </w:rPr>
      </w:pPr>
      <w:r>
        <w:rPr>
          <w:rFonts w:hint="eastAsia" w:ascii="Times New Roman" w:hAnsi="Times New Roman" w:eastAsia="仿宋_GB2312" w:cs="Times New Roman"/>
          <w:sz w:val="32"/>
          <w:szCs w:val="32"/>
          <w:highlight w:val="none"/>
          <w:lang w:val="en-US" w:eastAsia="zh-CN"/>
        </w:rPr>
        <w:t>为保障</w:t>
      </w:r>
      <w:r>
        <w:rPr>
          <w:rFonts w:hint="default" w:ascii="Times New Roman" w:hAnsi="Times New Roman" w:eastAsia="仿宋_GB2312" w:cs="Times New Roman"/>
          <w:sz w:val="32"/>
          <w:szCs w:val="32"/>
          <w:highlight w:val="none"/>
          <w:lang w:val="en-US" w:eastAsia="zh-CN"/>
        </w:rPr>
        <w:t>教育教学水平全面提升</w:t>
      </w:r>
      <w:r>
        <w:rPr>
          <w:rFonts w:hint="eastAsia" w:ascii="Times New Roman" w:hAnsi="Times New Roman" w:eastAsia="仿宋_GB2312" w:cs="Times New Roman"/>
          <w:sz w:val="32"/>
          <w:szCs w:val="32"/>
          <w:highlight w:val="none"/>
          <w:lang w:val="en-US" w:eastAsia="zh-CN"/>
        </w:rPr>
        <w:t>及</w:t>
      </w:r>
      <w:r>
        <w:rPr>
          <w:rFonts w:hint="default" w:ascii="Times New Roman" w:hAnsi="Times New Roman" w:eastAsia="仿宋_GB2312" w:cs="Times New Roman"/>
          <w:sz w:val="32"/>
          <w:szCs w:val="32"/>
          <w:highlight w:val="none"/>
          <w:lang w:val="en-US" w:eastAsia="zh-CN"/>
        </w:rPr>
        <w:t>我</w:t>
      </w:r>
      <w:r>
        <w:rPr>
          <w:rFonts w:hint="eastAsia" w:eastAsia="仿宋_GB2312" w:cs="Times New Roman"/>
          <w:sz w:val="32"/>
          <w:szCs w:val="32"/>
          <w:highlight w:val="none"/>
          <w:lang w:val="en-US" w:eastAsia="zh-CN"/>
        </w:rPr>
        <w:t>校</w:t>
      </w:r>
      <w:r>
        <w:rPr>
          <w:rFonts w:hint="default" w:ascii="Times New Roman" w:hAnsi="Times New Roman" w:eastAsia="仿宋_GB2312" w:cs="Times New Roman"/>
          <w:sz w:val="32"/>
          <w:szCs w:val="32"/>
          <w:highlight w:val="none"/>
          <w:lang w:val="en-US" w:eastAsia="zh-CN"/>
        </w:rPr>
        <w:t>教师的综合素质和专业技能</w:t>
      </w:r>
      <w:r>
        <w:rPr>
          <w:rFonts w:hint="eastAsia" w:ascii="Times New Roman" w:hAnsi="Times New Roman" w:eastAsia="仿宋_GB2312" w:cs="Times New Roman"/>
          <w:sz w:val="32"/>
          <w:szCs w:val="32"/>
          <w:highlight w:val="none"/>
          <w:lang w:val="en-US" w:eastAsia="zh-CN"/>
        </w:rPr>
        <w:t>，按月对</w:t>
      </w:r>
      <w:r>
        <w:rPr>
          <w:rFonts w:hint="eastAsia" w:eastAsia="仿宋_GB2312" w:cs="Times New Roman"/>
          <w:sz w:val="32"/>
          <w:szCs w:val="32"/>
          <w:highlight w:val="none"/>
          <w:lang w:val="en-US" w:eastAsia="zh-CN"/>
        </w:rPr>
        <w:t>25名</w:t>
      </w:r>
      <w:r>
        <w:rPr>
          <w:rFonts w:hint="eastAsia" w:ascii="Times New Roman" w:hAnsi="Times New Roman" w:eastAsia="仿宋_GB2312" w:cs="Times New Roman"/>
          <w:sz w:val="32"/>
          <w:szCs w:val="32"/>
          <w:highlight w:val="none"/>
          <w:lang w:val="en-US" w:eastAsia="zh-CN"/>
        </w:rPr>
        <w:t>聘用教师发放工资。</w:t>
      </w:r>
    </w:p>
    <w:p w14:paraId="17C20087">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二、绩效评价工作开展情况</w:t>
      </w:r>
    </w:p>
    <w:p w14:paraId="3FF3C103">
      <w:p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（一）绩效评价目的、对象和范围</w:t>
      </w:r>
    </w:p>
    <w:p w14:paraId="67094EAB">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lang w:val="en-US" w:eastAsia="zh-CN"/>
        </w:rPr>
      </w:pPr>
      <w:r>
        <w:rPr>
          <w:rFonts w:hint="default" w:ascii="Times New Roman" w:hAnsi="Times New Roman" w:eastAsia="仿宋_GB2312" w:cs="Times New Roman"/>
          <w:b w:val="0"/>
          <w:bCs w:val="0"/>
          <w:highlight w:val="none"/>
          <w:lang w:val="en-US" w:eastAsia="zh-CN"/>
        </w:rPr>
        <w:t>1.绩效评价完整性</w:t>
      </w:r>
    </w:p>
    <w:p w14:paraId="23218C0F">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36C9C41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663798BC">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262B81FE">
      <w:pPr>
        <w:spacing w:line="560" w:lineRule="exact"/>
        <w:ind w:firstLine="640"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后续工作的建议，为项目的持续改进和决策提供了有力支持。</w:t>
      </w:r>
    </w:p>
    <w:p w14:paraId="140AC47B">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668B3003">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绩效评价的目的</w:t>
      </w:r>
    </w:p>
    <w:p w14:paraId="089EC9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（1）评估项目实施效果</w:t>
      </w:r>
    </w:p>
    <w:p w14:paraId="265FAD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通过对项目预算执行情况及各项绩效目标达成程度的系统性分析，全面、客观地评估项目在预定周期内的实施效果，包括社会效益等多维度指标，为项目后续的改进与优化提供科学依据。</w:t>
      </w:r>
    </w:p>
    <w:p w14:paraId="5DD03F1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（2）提升资源利用效率</w:t>
      </w:r>
    </w:p>
    <w:p w14:paraId="086892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6B0C68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（3）强化项目管理责任</w:t>
      </w:r>
    </w:p>
    <w:p w14:paraId="4A7FDA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6E8F8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（4）为决策提供支持</w:t>
      </w:r>
    </w:p>
    <w:p w14:paraId="3FD9D7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为项目主管部门、财政部门及相关决策层提供详实、准确的绩效评价信息，辅助其在项目审批、预算安排、政策调整等关键决策环节做出更加科学、合理的判断，促进项目资源的合理分配与有效整合，推动项目管理体系的不断完善与升级，提升公共资源配置的精准度与有效性。</w:t>
      </w:r>
    </w:p>
    <w:p w14:paraId="3CCF1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（5）促进项目持续改进</w:t>
      </w:r>
    </w:p>
    <w:p w14:paraId="28D2FA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基于绩效评价发现的问题与不足，提出针对性的改进建议与措施，引导项目团队聚焦关键环节</w:t>
      </w:r>
      <w:r>
        <w:rPr>
          <w:rFonts w:hint="eastAsia"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加强过程监控与质量把控，形成项目绩效持续改进的良性循环，不断提升项目整体绩效水平，实现项目长期稳定发展的目标。</w:t>
      </w:r>
    </w:p>
    <w:p w14:paraId="49E952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仿宋_GB2312" w:cs="Times New Roman"/>
          <w:sz w:val="32"/>
          <w:szCs w:val="32"/>
          <w:highlight w:val="none"/>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7ABB7A51">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3</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绩效评价的对象</w:t>
      </w:r>
    </w:p>
    <w:p w14:paraId="09ED48D0">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highlight w:val="none"/>
        </w:rPr>
        <w:t>本项目预算绩效评价报告的评价对象是</w:t>
      </w:r>
      <w:r>
        <w:rPr>
          <w:rFonts w:hint="eastAsia" w:ascii="Times New Roman" w:hAnsi="Times New Roman" w:eastAsia="仿宋_GB2312" w:cs="Times New Roman"/>
          <w:b w:val="0"/>
          <w:bCs w:val="0"/>
          <w:highlight w:val="none"/>
          <w:lang w:val="en-US" w:eastAsia="zh-CN"/>
        </w:rPr>
        <w:t>临聘教师补助经费</w:t>
      </w:r>
      <w:r>
        <w:rPr>
          <w:rFonts w:hint="default" w:ascii="Times New Roman" w:hAnsi="Times New Roman" w:eastAsia="仿宋_GB2312" w:cs="Times New Roman"/>
          <w:b w:val="0"/>
          <w:bCs w:val="0"/>
          <w:highlight w:val="none"/>
        </w:rPr>
        <w:t>及其预算执行情况。该项目由</w:t>
      </w:r>
      <w:r>
        <w:rPr>
          <w:rFonts w:hint="eastAsia" w:ascii="Times New Roman" w:hAnsi="Times New Roman" w:eastAsia="仿宋_GB2312" w:cs="Times New Roman"/>
          <w:b w:val="0"/>
          <w:bCs w:val="0"/>
          <w:highlight w:val="none"/>
          <w:lang w:val="en-US" w:eastAsia="zh-CN"/>
        </w:rPr>
        <w:t>乌鲁木齐市第七十一中学</w:t>
      </w:r>
      <w:r>
        <w:rPr>
          <w:rFonts w:hint="default" w:ascii="Times New Roman" w:hAnsi="Times New Roman" w:eastAsia="仿宋_GB2312" w:cs="Times New Roman"/>
          <w:b w:val="0"/>
          <w:bCs w:val="0"/>
          <w:highlight w:val="none"/>
        </w:rPr>
        <w:t>负责实施，旨在</w:t>
      </w:r>
      <w:r>
        <w:rPr>
          <w:rFonts w:hint="eastAsia" w:ascii="Times New Roman" w:hAnsi="Times New Roman" w:eastAsia="仿宋_GB2312" w:cs="Times New Roman"/>
          <w:b w:val="0"/>
          <w:bCs w:val="0"/>
          <w:highlight w:val="none"/>
          <w:lang w:val="en-US" w:eastAsia="zh-CN"/>
        </w:rPr>
        <w:t>改善沙区学校教育教学水平</w:t>
      </w:r>
      <w:r>
        <w:rPr>
          <w:rFonts w:hint="default" w:ascii="Times New Roman" w:hAnsi="Times New Roman" w:eastAsia="仿宋_GB2312" w:cs="Times New Roman"/>
          <w:b w:val="0"/>
          <w:bCs w:val="0"/>
          <w:highlight w:val="none"/>
        </w:rPr>
        <w:t>。项目预算涵盖从</w:t>
      </w:r>
      <w:r>
        <w:rPr>
          <w:rFonts w:hint="eastAsia" w:ascii="Times New Roman" w:hAnsi="Times New Roman" w:eastAsia="仿宋_GB2312" w:cs="Times New Roman"/>
          <w:b w:val="0"/>
          <w:bCs w:val="0"/>
          <w:highlight w:val="none"/>
          <w:lang w:val="en-US" w:eastAsia="zh-CN"/>
        </w:rPr>
        <w:t>2024年1月1日</w:t>
      </w:r>
      <w:r>
        <w:rPr>
          <w:rFonts w:hint="default" w:ascii="Times New Roman" w:hAnsi="Times New Roman" w:eastAsia="仿宋_GB2312" w:cs="Times New Roman"/>
          <w:b w:val="0"/>
          <w:bCs w:val="0"/>
          <w:highlight w:val="none"/>
        </w:rPr>
        <w:t>至</w:t>
      </w:r>
      <w:r>
        <w:rPr>
          <w:rFonts w:hint="eastAsia" w:ascii="Times New Roman" w:hAnsi="Times New Roman" w:eastAsia="仿宋_GB2312" w:cs="Times New Roman"/>
          <w:b w:val="0"/>
          <w:bCs w:val="0"/>
          <w:highlight w:val="none"/>
          <w:lang w:val="en-US" w:eastAsia="zh-CN"/>
        </w:rPr>
        <w:t>2024年12月31日</w:t>
      </w:r>
      <w:r>
        <w:rPr>
          <w:rFonts w:hint="default" w:ascii="Times New Roman" w:hAnsi="Times New Roman" w:eastAsia="仿宋_GB2312" w:cs="Times New Roman"/>
          <w:b w:val="0"/>
          <w:bCs w:val="0"/>
          <w:highlight w:val="none"/>
        </w:rPr>
        <w:t>的全部资金投入与支出，涉及资金总额为</w:t>
      </w:r>
      <w:r>
        <w:rPr>
          <w:rFonts w:hint="eastAsia" w:ascii="Times New Roman" w:hAnsi="Times New Roman" w:eastAsia="仿宋_GB2312" w:cs="Times New Roman"/>
          <w:b w:val="0"/>
          <w:bCs w:val="0"/>
          <w:highlight w:val="none"/>
          <w:lang w:val="en-US" w:eastAsia="zh-CN"/>
        </w:rPr>
        <w:t>103.07</w:t>
      </w:r>
      <w:r>
        <w:rPr>
          <w:rFonts w:hint="default" w:ascii="Times New Roman" w:hAnsi="Times New Roman" w:eastAsia="仿宋_GB2312" w:cs="Times New Roman"/>
          <w:b w:val="0"/>
          <w:bCs w:val="0"/>
          <w:highlight w:val="none"/>
          <w:lang w:val="en-US" w:eastAsia="zh-CN"/>
        </w:rPr>
        <w:t>万</w:t>
      </w:r>
      <w:r>
        <w:rPr>
          <w:rFonts w:hint="default" w:ascii="Times New Roman" w:hAnsi="Times New Roman" w:eastAsia="仿宋_GB2312" w:cs="Times New Roman"/>
          <w:b w:val="0"/>
          <w:bCs w:val="0"/>
          <w:highlight w:val="none"/>
        </w:rPr>
        <w:t>元。</w:t>
      </w:r>
    </w:p>
    <w:p w14:paraId="633714FE">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lang w:val="en-US" w:eastAsia="zh-CN"/>
        </w:rPr>
        <w:t>4.</w:t>
      </w:r>
      <w:r>
        <w:rPr>
          <w:rFonts w:hint="default" w:ascii="Times New Roman" w:hAnsi="Times New Roman" w:eastAsia="仿宋_GB2312" w:cs="Times New Roman"/>
          <w:b w:val="0"/>
          <w:bCs w:val="0"/>
        </w:rPr>
        <w:t>绩效评价的范围</w:t>
      </w:r>
    </w:p>
    <w:p w14:paraId="281202AB">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本项目预算绩效评价报告的评价范围广泛而全面，涵盖了从项目立项至评价时点期间的所有关键预算活动和财务流程。具体而言，评价范围包括但不限于以下几个方面：</w:t>
      </w:r>
    </w:p>
    <w:p w14:paraId="06E6FC68">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项目预算编制与执行：全面审视项目预算的编制依据、合理性、科学性以及实际执行情况，包括预算调整的原因和效果。</w:t>
      </w:r>
    </w:p>
    <w:p w14:paraId="4A4A27A5">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资金管理：深入分析项目资金的分配、使用和监管情况，确保资金使用的合规性、高效性和透明度。</w:t>
      </w:r>
    </w:p>
    <w:p w14:paraId="426CE379">
      <w:pPr>
        <w:pStyle w:val="2"/>
        <w:widowControl w:val="0"/>
        <w:numPr>
          <w:ilvl w:val="0"/>
          <w:numId w:val="2"/>
        </w:numPr>
        <w:spacing w:before="0" w:after="0" w:line="560" w:lineRule="exact"/>
        <w:ind w:firstLine="640" w:firstLineChars="200"/>
        <w:jc w:val="both"/>
        <w:outlineLvl w:val="9"/>
        <w:rPr>
          <w:rFonts w:hint="default" w:ascii="Times New Roman" w:hAnsi="Times New Roman" w:eastAsia="仿宋_GB2312" w:cs="Times New Roman"/>
          <w:b w:val="0"/>
          <w:bCs w:val="0"/>
          <w:highlight w:val="none"/>
          <w:lang w:eastAsia="zh-CN"/>
        </w:rPr>
      </w:pPr>
      <w:r>
        <w:rPr>
          <w:rFonts w:hint="default" w:ascii="Times New Roman" w:hAnsi="Times New Roman" w:eastAsia="仿宋_GB2312" w:cs="Times New Roman"/>
          <w:b w:val="0"/>
          <w:bCs w:val="0"/>
          <w:highlight w:val="none"/>
        </w:rPr>
        <w:t>项目实施进度与产出：评估项目是否按照既定计划顺利推进，各项任务是否按时完成，以及项目产出的数量、质量和时效性是否符合预期。</w:t>
      </w:r>
    </w:p>
    <w:p w14:paraId="74FCA37F">
      <w:pPr>
        <w:pStyle w:val="2"/>
        <w:widowControl w:val="0"/>
        <w:numPr>
          <w:ilvl w:val="0"/>
          <w:numId w:val="0"/>
        </w:numPr>
        <w:spacing w:before="0" w:after="0" w:line="560" w:lineRule="exact"/>
        <w:ind w:firstLine="640" w:firstLineChars="200"/>
        <w:jc w:val="both"/>
        <w:outlineLvl w:val="9"/>
        <w:rPr>
          <w:rFonts w:hint="default" w:ascii="Times New Roman" w:hAnsi="Times New Roman" w:eastAsia="仿宋_GB2312" w:cs="Times New Roman"/>
          <w:b w:val="0"/>
          <w:bCs w:val="0"/>
          <w:highlight w:val="green"/>
          <w:lang w:eastAsia="zh-CN"/>
        </w:rPr>
      </w:pPr>
      <w:r>
        <w:rPr>
          <w:rFonts w:hint="eastAsia"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4</w:t>
      </w:r>
      <w:r>
        <w:rPr>
          <w:rFonts w:hint="eastAsia" w:ascii="Times New Roman" w:hAnsi="Times New Roman" w:eastAsia="仿宋_GB2312" w:cs="Times New Roman"/>
          <w:b w:val="0"/>
          <w:bCs w:val="0"/>
          <w:highlight w:val="none"/>
          <w:lang w:eastAsia="zh-CN"/>
        </w:rPr>
        <w:t>）</w:t>
      </w:r>
      <w:r>
        <w:rPr>
          <w:rFonts w:hint="default" w:ascii="Times New Roman" w:hAnsi="Times New Roman" w:eastAsia="仿宋_GB2312" w:cs="Times New Roman"/>
          <w:b w:val="0"/>
          <w:bCs w:val="0"/>
          <w:highlight w:val="none"/>
        </w:rPr>
        <w:t>社会</w:t>
      </w:r>
      <w:r>
        <w:rPr>
          <w:rFonts w:hint="default" w:ascii="Times New Roman" w:hAnsi="Times New Roman" w:eastAsia="仿宋_GB2312" w:cs="Times New Roman"/>
          <w:b w:val="0"/>
          <w:bCs w:val="0"/>
          <w:highlight w:val="none"/>
          <w:lang w:eastAsia="zh-CN"/>
        </w:rPr>
        <w:t>、</w:t>
      </w:r>
      <w:r>
        <w:rPr>
          <w:rFonts w:hint="eastAsia" w:ascii="Times New Roman" w:hAnsi="Times New Roman" w:eastAsia="仿宋_GB2312" w:cs="Times New Roman"/>
          <w:b w:val="0"/>
          <w:bCs w:val="0"/>
          <w:highlight w:val="none"/>
          <w:lang w:val="en-US" w:eastAsia="zh-CN"/>
        </w:rPr>
        <w:t>生态</w:t>
      </w:r>
      <w:r>
        <w:rPr>
          <w:rFonts w:hint="default" w:ascii="Times New Roman" w:hAnsi="Times New Roman" w:eastAsia="仿宋_GB2312" w:cs="Times New Roman"/>
          <w:b w:val="0"/>
          <w:bCs w:val="0"/>
          <w:highlight w:val="none"/>
          <w:lang w:val="en-US" w:eastAsia="zh-CN"/>
        </w:rPr>
        <w:t>等</w:t>
      </w:r>
      <w:r>
        <w:rPr>
          <w:rFonts w:hint="default" w:ascii="Times New Roman" w:hAnsi="Times New Roman" w:eastAsia="仿宋_GB2312" w:cs="Times New Roman"/>
          <w:b w:val="0"/>
          <w:bCs w:val="0"/>
          <w:highlight w:val="none"/>
        </w:rPr>
        <w:t>影响：考察项目对社会的综合影响。</w:t>
      </w:r>
    </w:p>
    <w:p w14:paraId="1D37F1C4">
      <w:pPr>
        <w:spacing w:line="560" w:lineRule="exact"/>
        <w:ind w:firstLine="643" w:firstLineChars="200"/>
        <w:rPr>
          <w:rFonts w:hint="default" w:ascii="Times New Roman" w:hAnsi="Times New Roman" w:cs="Times New Roman"/>
        </w:rPr>
      </w:pPr>
      <w:r>
        <w:rPr>
          <w:rFonts w:hint="default" w:ascii="Times New Roman" w:hAnsi="Times New Roman" w:eastAsia="楷体_GB2312" w:cs="Times New Roman"/>
          <w:b/>
          <w:bCs/>
          <w:sz w:val="32"/>
          <w:szCs w:val="32"/>
        </w:rPr>
        <w:t>（二）绩效评价原则、评价指标体系（详情见表1）、评价方法、评价标准。</w:t>
      </w:r>
    </w:p>
    <w:p w14:paraId="65DD849E">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绩效评价原则</w:t>
      </w:r>
    </w:p>
    <w:p w14:paraId="067F76BB">
      <w:pPr>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本次项目绩效评价遵循以下基本原则：</w:t>
      </w:r>
    </w:p>
    <w:p w14:paraId="63F94E0F">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（1）科学公正。绩效评价应当运用科学合理的方法，按照规范的程序，对项目绩效进行客观、公正的反映。</w:t>
      </w:r>
    </w:p>
    <w:p w14:paraId="10A83E2C">
      <w:pPr>
        <w:pStyle w:val="2"/>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w:t>
      </w:r>
      <w:r>
        <w:rPr>
          <w:rFonts w:hint="eastAsia" w:ascii="Times New Roman" w:hAnsi="Times New Roman" w:eastAsia="仿宋_GB2312" w:cs="Times New Roman"/>
          <w:b w:val="0"/>
          <w:bCs w:val="0"/>
          <w:lang w:val="en-US" w:eastAsia="zh-CN"/>
        </w:rPr>
        <w:t>2</w:t>
      </w:r>
      <w:r>
        <w:rPr>
          <w:rFonts w:hint="default" w:ascii="Times New Roman" w:hAnsi="Times New Roman" w:eastAsia="仿宋_GB2312" w:cs="Times New Roman"/>
          <w:b w:val="0"/>
          <w:bCs w:val="0"/>
        </w:rPr>
        <w:t>）公开透明。绩效评价结果应依法依规公开，并自觉接受社会监督。</w:t>
      </w:r>
    </w:p>
    <w:p w14:paraId="29685406">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2</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rPr>
        <w:t>评价指标体系</w:t>
      </w:r>
    </w:p>
    <w:p w14:paraId="3620C8EC">
      <w:pPr>
        <w:spacing w:line="560" w:lineRule="exact"/>
        <w:ind w:firstLine="708" w:firstLineChars="200"/>
        <w:rPr>
          <w:rFonts w:hint="default" w:ascii="Times New Roman" w:hAnsi="Times New Roman"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绩效评价框架是开展绩效评价的核心。绩效评价框架包括评价准则、关键评价问题、评价指标、数据来源、数据收集方法等。指标体系建立过程如下：</w:t>
      </w:r>
    </w:p>
    <w:p w14:paraId="41ADE1CD">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（1）确定评价指标</w:t>
      </w:r>
    </w:p>
    <w:p w14:paraId="51E63637">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1DB75240">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（2）确定权重</w:t>
      </w:r>
    </w:p>
    <w:p w14:paraId="5A7586B2">
      <w:pPr>
        <w:spacing w:line="560" w:lineRule="exact"/>
        <w:ind w:firstLine="708" w:firstLineChars="200"/>
        <w:rPr>
          <w:rFonts w:hint="default" w:ascii="Times New Roman" w:hAnsi="Times New Roman" w:eastAsia="仿宋_GB2312" w:cs="Times New Roman"/>
          <w:color w:val="FF0000"/>
          <w:spacing w:val="17"/>
          <w:sz w:val="32"/>
          <w:szCs w:val="32"/>
          <w:lang w:eastAsia="zh-CN"/>
        </w:rPr>
      </w:pPr>
      <w:r>
        <w:rPr>
          <w:rFonts w:hint="default" w:ascii="Times New Roman" w:hAnsi="Times New Roman" w:eastAsia="仿宋_GB2312" w:cs="Times New Roman"/>
          <w:color w:val="000000"/>
          <w:spacing w:val="17"/>
          <w:sz w:val="32"/>
          <w:szCs w:val="32"/>
        </w:rPr>
        <w:t>确定各个指标相对于项目总体绩效的权重分值。在绩效评价指标体系中，项目决策权重为20分，项目过程权重为20分，项目产出权重为40分，项目效益权重为20分。</w:t>
      </w:r>
    </w:p>
    <w:p w14:paraId="4BA5B9C5">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（3）确定指标标准值</w:t>
      </w:r>
    </w:p>
    <w:p w14:paraId="7DE2ADF9">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指标标准值是绩效评价指标的尺度，既要反映同类项目的先进水平，又要符合项目的实际绩效水平。具体采用计划标准等确定此次绩效评价指标标准值。</w:t>
      </w:r>
    </w:p>
    <w:p w14:paraId="513E48C0">
      <w:pPr>
        <w:pStyle w:val="2"/>
        <w:spacing w:before="0" w:after="0" w:line="560" w:lineRule="exact"/>
        <w:ind w:firstLine="708" w:firstLineChars="200"/>
        <w:jc w:val="both"/>
        <w:rPr>
          <w:rFonts w:hint="default" w:ascii="Times New Roman" w:hAnsi="Times New Roman" w:eastAsia="仿宋_GB2312" w:cs="Times New Roman"/>
          <w:b w:val="0"/>
          <w:bCs w:val="0"/>
          <w:color w:val="000000"/>
          <w:spacing w:val="17"/>
          <w:kern w:val="2"/>
        </w:rPr>
      </w:pPr>
      <w:r>
        <w:rPr>
          <w:rFonts w:hint="default" w:ascii="Times New Roman" w:hAnsi="Times New Roman" w:eastAsia="仿宋_GB2312" w:cs="Times New Roman"/>
          <w:b w:val="0"/>
          <w:bCs w:val="0"/>
          <w:color w:val="000000"/>
          <w:spacing w:val="17"/>
          <w:kern w:val="2"/>
        </w:rPr>
        <w:t>绩效评价总分值100分，根据综合评分结果，90（含）-100分为优、80（含）-90分为良、60（含）-80分为中、60分以下为差。</w:t>
      </w:r>
    </w:p>
    <w:p w14:paraId="1FACA83D">
      <w:pPr>
        <w:pStyle w:val="2"/>
        <w:widowControl w:val="0"/>
        <w:spacing w:before="0" w:after="0" w:line="560" w:lineRule="exact"/>
        <w:ind w:firstLine="708" w:firstLineChars="200"/>
        <w:jc w:val="both"/>
        <w:outlineLvl w:val="9"/>
        <w:rPr>
          <w:rFonts w:hint="default" w:ascii="Times New Roman" w:hAnsi="Times New Roman" w:eastAsia="仿宋_GB2312" w:cs="Times New Roman"/>
          <w:b w:val="0"/>
          <w:bCs w:val="0"/>
          <w:color w:val="000000"/>
          <w:spacing w:val="17"/>
        </w:rPr>
      </w:pPr>
      <w:r>
        <w:rPr>
          <w:rFonts w:hint="default" w:ascii="Times New Roman" w:hAnsi="Times New Roman" w:eastAsia="仿宋_GB2312" w:cs="Times New Roman"/>
          <w:b w:val="0"/>
          <w:bCs w:val="0"/>
          <w:color w:val="000000"/>
          <w:spacing w:val="17"/>
        </w:rPr>
        <w:t>具体评价指标体系详情见附件1</w:t>
      </w:r>
    </w:p>
    <w:p w14:paraId="0B049629">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3</w:t>
      </w:r>
      <w:r>
        <w:rPr>
          <w:rFonts w:hint="default" w:ascii="Times New Roman" w:hAnsi="Times New Roman" w:eastAsia="仿宋_GB2312" w:cs="Times New Roman"/>
          <w:b w:val="0"/>
          <w:bCs w:val="0"/>
          <w:lang w:val="en-US" w:eastAsia="zh-CN"/>
        </w:rPr>
        <w:t>.</w:t>
      </w:r>
      <w:r>
        <w:rPr>
          <w:rFonts w:hint="default" w:ascii="Times New Roman" w:hAnsi="Times New Roman" w:eastAsia="仿宋_GB2312" w:cs="Times New Roman"/>
          <w:b w:val="0"/>
          <w:bCs w:val="0"/>
        </w:rPr>
        <w:t>绩效评价方法</w:t>
      </w:r>
    </w:p>
    <w:p w14:paraId="770F15EE">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绩效评价从项目决策、项目过程、项目产出、项目效益四个维度进行评价。评价对象为项目目标实施情况，  评价核心为资金的支出完成情况和项目的产出效益。</w:t>
      </w:r>
    </w:p>
    <w:p w14:paraId="3DC45DF5">
      <w:pPr>
        <w:spacing w:line="560" w:lineRule="exact"/>
        <w:ind w:firstLine="708" w:firstLineChars="200"/>
        <w:rPr>
          <w:rFonts w:hint="default" w:ascii="Times New Roman" w:hAnsi="Times New Roman" w:eastAsia="仿宋_GB2312" w:cs="Times New Roman"/>
          <w:color w:val="000000"/>
          <w:spacing w:val="17"/>
          <w:sz w:val="32"/>
          <w:szCs w:val="32"/>
        </w:rPr>
      </w:pPr>
      <w:r>
        <w:rPr>
          <w:rFonts w:hint="default" w:ascii="Times New Roman" w:hAnsi="Times New Roman" w:eastAsia="仿宋_GB2312" w:cs="Times New Roman"/>
          <w:color w:val="000000"/>
          <w:spacing w:val="17"/>
          <w:sz w:val="32"/>
          <w:szCs w:val="32"/>
        </w:rPr>
        <w:t>本次评价指标中，既有定性指标又有定量指标，各类指标因考核内容不同和客观标准不同存在较大差异，因此核定具体指标时采用了不同方法，具体评价方法如下：</w:t>
      </w:r>
    </w:p>
    <w:p w14:paraId="5E246B96">
      <w:pPr>
        <w:spacing w:line="560" w:lineRule="exact"/>
        <w:ind w:firstLine="708" w:firstLineChars="200"/>
        <w:rPr>
          <w:rFonts w:hint="default" w:ascii="Times New Roman" w:hAnsi="Times New Roman" w:eastAsia="仿宋_GB2312" w:cs="Times New Roman"/>
          <w:color w:val="000000"/>
          <w:spacing w:val="17"/>
          <w:sz w:val="32"/>
          <w:szCs w:val="32"/>
          <w:highlight w:val="none"/>
        </w:rPr>
      </w:pPr>
      <w:r>
        <w:rPr>
          <w:rFonts w:hint="default" w:ascii="Times New Roman" w:hAnsi="Times New Roman" w:eastAsia="仿宋_GB2312" w:cs="Times New Roman"/>
          <w:color w:val="000000"/>
          <w:spacing w:val="17"/>
          <w:sz w:val="32"/>
          <w:szCs w:val="32"/>
          <w:highlight w:val="none"/>
        </w:rPr>
        <w:t>比较法。是指将实施情况与绩效目标、历史情况、不同部门和地区同类支出情况进行比较的方法。</w:t>
      </w:r>
    </w:p>
    <w:p w14:paraId="18F7C66E">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highlight w:val="none"/>
        </w:rPr>
      </w:pPr>
      <w:r>
        <w:rPr>
          <w:rFonts w:hint="default" w:ascii="Times New Roman" w:hAnsi="Times New Roman" w:eastAsia="仿宋_GB2312" w:cs="Times New Roman"/>
          <w:b w:val="0"/>
          <w:bCs w:val="0"/>
          <w:highlight w:val="none"/>
        </w:rPr>
        <w:t>4</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b w:val="0"/>
          <w:bCs w:val="0"/>
          <w:highlight w:val="none"/>
        </w:rPr>
        <w:t>评价标准</w:t>
      </w:r>
    </w:p>
    <w:p w14:paraId="341F59DB">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绩效评价标准通常包括计划标准、行业标准、历史标准等，用于对</w:t>
      </w:r>
      <w:r>
        <w:rPr>
          <w:rFonts w:hint="default" w:ascii="Times New Roman" w:hAnsi="Times New Roman" w:eastAsia="仿宋_GB2312" w:cs="Times New Roman"/>
          <w:b w:val="0"/>
          <w:bCs w:val="0"/>
          <w:highlight w:val="none"/>
        </w:rPr>
        <w:t>绩效指标完成情况进行比较、分析、评价。本次评价主要采用了</w:t>
      </w:r>
      <w:r>
        <w:rPr>
          <w:rFonts w:hint="eastAsia" w:ascii="Times New Roman" w:hAnsi="Times New Roman" w:eastAsia="仿宋_GB2312" w:cs="Times New Roman"/>
          <w:b w:val="0"/>
          <w:bCs w:val="0"/>
          <w:highlight w:val="none"/>
          <w:lang w:val="en-US" w:eastAsia="zh-CN"/>
        </w:rPr>
        <w:t>历史</w:t>
      </w:r>
      <w:r>
        <w:rPr>
          <w:rFonts w:hint="default" w:ascii="Times New Roman" w:hAnsi="Times New Roman" w:eastAsia="仿宋_GB2312" w:cs="Times New Roman"/>
          <w:b w:val="0"/>
          <w:bCs w:val="0"/>
          <w:highlight w:val="none"/>
        </w:rPr>
        <w:t>标准。</w:t>
      </w:r>
    </w:p>
    <w:p w14:paraId="485F0DAA">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rPr>
      </w:pPr>
      <w:r>
        <w:rPr>
          <w:rFonts w:hint="default" w:ascii="Times New Roman" w:hAnsi="Times New Roman" w:eastAsia="仿宋_GB2312" w:cs="Times New Roman"/>
          <w:b w:val="0"/>
          <w:bCs w:val="0"/>
        </w:rPr>
        <w:t>历史标准。指参照历史数据制定的评价标准，为体现绩效改进的原则，在可实现的条件下应当确定相对较高的评价标准。</w:t>
      </w:r>
    </w:p>
    <w:p w14:paraId="0B6C23E1">
      <w:pPr>
        <w:pStyle w:val="2"/>
        <w:numPr>
          <w:ilvl w:val="0"/>
          <w:numId w:val="3"/>
        </w:numPr>
        <w:spacing w:before="0" w:after="0" w:line="560" w:lineRule="exact"/>
        <w:ind w:firstLine="711" w:firstLineChars="200"/>
        <w:jc w:val="both"/>
        <w:rPr>
          <w:rFonts w:hint="default" w:ascii="Times New Roman" w:hAnsi="Times New Roman" w:eastAsia="楷体" w:cs="Times New Roman"/>
          <w:color w:val="000000"/>
          <w:spacing w:val="17"/>
        </w:rPr>
      </w:pPr>
      <w:r>
        <w:rPr>
          <w:rFonts w:hint="default" w:ascii="Times New Roman" w:hAnsi="Times New Roman" w:eastAsia="楷体" w:cs="Times New Roman"/>
          <w:color w:val="000000"/>
          <w:spacing w:val="17"/>
        </w:rPr>
        <w:t>绩效评价工作过程</w:t>
      </w:r>
    </w:p>
    <w:p w14:paraId="609EAE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eastAsia"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前期准备与规划</w:t>
      </w:r>
    </w:p>
    <w:p w14:paraId="1C1706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绩效评价工作启动之初，成立了专门的评价工作小组，小组成员由财务、项目管理专业人员及相关领域技术骨干组成，确保从多角度、全方位对项目绩效进行评价。同时，明确了评价工作的目标、范围、重点及时间安排，制定了详细的工作计划，为评价工作的顺利开展奠定了坚实基础。</w:t>
      </w:r>
    </w:p>
    <w:p w14:paraId="21B0CC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eastAsia="zh-CN"/>
        </w:rPr>
        <w:t>指标体系构建</w:t>
      </w:r>
    </w:p>
    <w:p w14:paraId="0B7841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依据项目的性质、目标以及预期成果，构建了科学合理的绩效评价指标体系。该指标体系涵盖了</w:t>
      </w:r>
      <w:r>
        <w:rPr>
          <w:rFonts w:hint="default" w:ascii="Times New Roman" w:hAnsi="Times New Roman" w:eastAsia="仿宋_GB2312" w:cs="Times New Roman"/>
          <w:color w:val="000000"/>
          <w:spacing w:val="17"/>
          <w:sz w:val="32"/>
          <w:szCs w:val="32"/>
          <w:highlight w:val="none"/>
        </w:rPr>
        <w:t>项目决策、项目过程、项目产出、项目效益四个维度</w:t>
      </w:r>
      <w:r>
        <w:rPr>
          <w:rFonts w:hint="default" w:ascii="Times New Roman" w:hAnsi="Times New Roman" w:eastAsia="仿宋_GB2312" w:cs="Times New Roman"/>
          <w:sz w:val="32"/>
          <w:szCs w:val="32"/>
          <w:highlight w:val="none"/>
          <w:lang w:eastAsia="zh-CN"/>
        </w:rPr>
        <w:t>，选取了具有代表性和可衡量性的关键指标，并为每个指标设定了明确的评价标准与权重，确保评价结果能够全面、准确地反映项目的绩效状况。</w:t>
      </w:r>
    </w:p>
    <w:p w14:paraId="74D771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eastAsia="zh-CN"/>
        </w:rPr>
        <w:t>数据收集与整理</w:t>
      </w:r>
    </w:p>
    <w:p w14:paraId="4B1A94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广泛收集与项目相关的各类数据，包括财务报表、项目文档、业务数据、用户反馈等。在数据收集过程中，注重数据的质量与完整性，对缺失或异常的数据进行了合理的处理和补充。随后，对收集到的数据进行了系统的整理与分类，为后续的数据分析提供了有力支持。</w:t>
      </w:r>
    </w:p>
    <w:p w14:paraId="47449E0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数据分析与评估</w:t>
      </w:r>
    </w:p>
    <w:p w14:paraId="2695FC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3644DD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eastAsia="zh-CN"/>
        </w:rPr>
        <w:t>报告撰写与反馈</w:t>
      </w:r>
    </w:p>
    <w:p w14:paraId="67DD82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进一步的完善与优化，确保评价报告的质量与实用性。</w:t>
      </w:r>
    </w:p>
    <w:p w14:paraId="26FD64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lang w:eastAsia="zh-CN"/>
        </w:rPr>
        <w:t>后续跟踪与改进</w:t>
      </w:r>
    </w:p>
    <w:p w14:paraId="3D8AED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9F15535">
      <w:pPr>
        <w:numPr>
          <w:ilvl w:val="0"/>
          <w:numId w:val="4"/>
        </w:num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综合评价情况及评价结论（附相关评分表）</w:t>
      </w:r>
    </w:p>
    <w:p w14:paraId="16B06F6A">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一</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评价情况</w:t>
      </w:r>
    </w:p>
    <w:p w14:paraId="5C10008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本项目的综合评价基于对项目各方面绩效的深入分析与评估。从项目目标的达成情况来看，</w:t>
      </w:r>
      <w:r>
        <w:rPr>
          <w:rFonts w:hint="eastAsia" w:ascii="Times New Roman" w:hAnsi="Times New Roman" w:eastAsia="仿宋_GB2312" w:cs="Times New Roman"/>
          <w:sz w:val="32"/>
          <w:szCs w:val="32"/>
          <w:highlight w:val="none"/>
          <w:lang w:val="en-US" w:eastAsia="zh-CN"/>
        </w:rPr>
        <w:t>临聘教师补助经费</w:t>
      </w:r>
      <w:r>
        <w:rPr>
          <w:rFonts w:hint="default" w:ascii="Times New Roman" w:hAnsi="Times New Roman" w:eastAsia="仿宋_GB2312" w:cs="Times New Roman"/>
          <w:sz w:val="32"/>
          <w:szCs w:val="32"/>
          <w:highlight w:val="none"/>
        </w:rPr>
        <w:t>等方面表现出色，达到了预期的标准与要求。</w:t>
      </w:r>
    </w:p>
    <w:p w14:paraId="580C060B">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在项目管理方面，</w:t>
      </w:r>
      <w:r>
        <w:rPr>
          <w:rFonts w:hint="eastAsia" w:eastAsia="仿宋_GB2312" w:cs="Times New Roman"/>
          <w:sz w:val="32"/>
          <w:szCs w:val="32"/>
          <w:highlight w:val="none"/>
          <w:lang w:val="en-US" w:eastAsia="zh-CN"/>
        </w:rPr>
        <w:t>乌鲁木齐市第七十一中学</w:t>
      </w:r>
      <w:r>
        <w:rPr>
          <w:rFonts w:hint="default" w:ascii="Times New Roman" w:hAnsi="Times New Roman" w:eastAsia="仿宋_GB2312" w:cs="Times New Roman"/>
          <w:sz w:val="32"/>
          <w:szCs w:val="32"/>
          <w:highlight w:val="none"/>
        </w:rPr>
        <w:t>通过有效的规划、组织与协调，项目得以顺利实施，并在预算与时间上保持了良好的控制。</w:t>
      </w:r>
    </w:p>
    <w:p w14:paraId="20391776">
      <w:pPr>
        <w:pStyle w:val="10"/>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ascii="Times New Roman" w:hAnsi="Times New Roman" w:cs="Times New Roman"/>
          <w:highlight w:val="none"/>
        </w:rPr>
      </w:pPr>
      <w:r>
        <w:rPr>
          <w:rFonts w:hint="default" w:ascii="Times New Roman" w:hAnsi="Times New Roman" w:eastAsia="仿宋_GB2312" w:cs="Times New Roman"/>
          <w:sz w:val="32"/>
          <w:szCs w:val="32"/>
          <w:highlight w:val="none"/>
        </w:rPr>
        <w:t>从项目效益的角度来看，本项目不仅实现了预期的社会效益等方面产生了积极的影响。综上所述，</w:t>
      </w:r>
      <w:r>
        <w:rPr>
          <w:rFonts w:hint="eastAsia" w:ascii="Times New Roman" w:hAnsi="Times New Roman" w:eastAsia="仿宋_GB2312" w:cs="Times New Roman"/>
          <w:sz w:val="32"/>
          <w:szCs w:val="32"/>
          <w:highlight w:val="none"/>
          <w:lang w:val="en-US" w:eastAsia="zh-CN"/>
        </w:rPr>
        <w:t>临聘教师补助经费项目</w:t>
      </w:r>
      <w:r>
        <w:rPr>
          <w:rFonts w:hint="default" w:ascii="Times New Roman" w:hAnsi="Times New Roman" w:eastAsia="仿宋_GB2312" w:cs="Times New Roman"/>
          <w:sz w:val="32"/>
          <w:szCs w:val="32"/>
          <w:highlight w:val="none"/>
        </w:rPr>
        <w:t>在绩效评价中表现出色，达到了项目的预期目标，并在多个方面取得了显著的成效。</w:t>
      </w:r>
    </w:p>
    <w:p w14:paraId="65903D86">
      <w:pPr>
        <w:pStyle w:val="2"/>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both"/>
        <w:textAlignment w:val="auto"/>
        <w:rPr>
          <w:rFonts w:hint="default" w:ascii="Times New Roman" w:hAnsi="Times New Roman" w:eastAsia="楷体_GB2312" w:cs="Times New Roman"/>
          <w:lang w:val="en-US" w:eastAsia="zh-CN"/>
        </w:rPr>
      </w:pP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二</w:t>
      </w:r>
      <w:r>
        <w:rPr>
          <w:rFonts w:hint="default" w:ascii="Times New Roman" w:hAnsi="Times New Roman" w:eastAsia="楷体_GB2312" w:cs="Times New Roman"/>
          <w:lang w:eastAsia="zh-CN"/>
        </w:rPr>
        <w:t>）</w:t>
      </w:r>
      <w:r>
        <w:rPr>
          <w:rFonts w:hint="default" w:ascii="Times New Roman" w:hAnsi="Times New Roman" w:eastAsia="楷体_GB2312" w:cs="Times New Roman"/>
          <w:lang w:val="en-US" w:eastAsia="zh-CN"/>
        </w:rPr>
        <w:t>评价结论</w:t>
      </w:r>
    </w:p>
    <w:p w14:paraId="052AF503">
      <w:pPr>
        <w:pStyle w:val="2"/>
        <w:widowControl w:val="0"/>
        <w:spacing w:before="0" w:after="0" w:line="560" w:lineRule="exact"/>
        <w:ind w:firstLine="640" w:firstLineChars="200"/>
        <w:jc w:val="both"/>
        <w:outlineLvl w:val="9"/>
        <w:rPr>
          <w:rFonts w:hint="default" w:ascii="Times New Roman" w:hAnsi="Times New Roman" w:eastAsia="仿宋_GB2312" w:cs="Times New Roman"/>
          <w:b w:val="0"/>
          <w:bCs w:val="0"/>
          <w:lang w:eastAsia="zh-CN"/>
        </w:rPr>
      </w:pPr>
      <w:r>
        <w:rPr>
          <w:rFonts w:hint="default" w:ascii="Times New Roman" w:hAnsi="Times New Roman" w:eastAsia="仿宋_GB2312" w:cs="Times New Roman"/>
          <w:b w:val="0"/>
          <w:bCs w:val="0"/>
        </w:rPr>
        <w:t>运用绩效评价组制定的评价指标体系以及财政部《项目支出绩效评价管理办法》（财预〔2020〕10号）文件的评分标准，通过数据采集、问卷调查及访谈等方式，对本项目进行客观评价，最终评分结果</w:t>
      </w:r>
      <w:r>
        <w:rPr>
          <w:rFonts w:hint="default" w:ascii="Times New Roman" w:hAnsi="Times New Roman" w:eastAsia="仿宋_GB2312" w:cs="Times New Roman"/>
          <w:b w:val="0"/>
          <w:bCs w:val="0"/>
          <w:highlight w:val="none"/>
        </w:rPr>
        <w:t>：总得分为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 xml:space="preserve">分，属于“优。其中，项目决策类指标权重为20分，得分为 </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%。项目过程类指标权重为20分，得分为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%。项目产出类指标权重为40分，得分为</w:t>
      </w:r>
      <w:r>
        <w:rPr>
          <w:rFonts w:hint="eastAsia" w:ascii="Times New Roman" w:hAnsi="Times New Roman" w:eastAsia="仿宋_GB2312" w:cs="Times New Roman"/>
          <w:b w:val="0"/>
          <w:bCs w:val="0"/>
          <w:highlight w:val="none"/>
          <w:lang w:val="en-US" w:eastAsia="zh-CN"/>
        </w:rPr>
        <w:t>40</w:t>
      </w:r>
      <w:r>
        <w:rPr>
          <w:rFonts w:hint="default" w:ascii="Times New Roman" w:hAnsi="Times New Roman" w:eastAsia="仿宋_GB2312" w:cs="Times New Roman"/>
          <w:b w:val="0"/>
          <w:bCs w:val="0"/>
          <w:highlight w:val="none"/>
        </w:rPr>
        <w:t xml:space="preserve">分，得分率为 </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%。项目效益类指标权重为20分，得分为</w:t>
      </w:r>
      <w:r>
        <w:rPr>
          <w:rFonts w:hint="eastAsia" w:ascii="Times New Roman" w:hAnsi="Times New Roman" w:eastAsia="仿宋_GB2312" w:cs="Times New Roman"/>
          <w:b w:val="0"/>
          <w:bCs w:val="0"/>
          <w:highlight w:val="none"/>
          <w:lang w:val="en-US" w:eastAsia="zh-CN"/>
        </w:rPr>
        <w:t>20</w:t>
      </w:r>
      <w:r>
        <w:rPr>
          <w:rFonts w:hint="default" w:ascii="Times New Roman" w:hAnsi="Times New Roman" w:eastAsia="仿宋_GB2312" w:cs="Times New Roman"/>
          <w:b w:val="0"/>
          <w:bCs w:val="0"/>
          <w:highlight w:val="none"/>
        </w:rPr>
        <w:t>分，得分率为</w:t>
      </w:r>
      <w:r>
        <w:rPr>
          <w:rFonts w:hint="eastAsia" w:ascii="Times New Roman" w:hAnsi="Times New Roman" w:eastAsia="仿宋_GB2312" w:cs="Times New Roman"/>
          <w:b w:val="0"/>
          <w:bCs w:val="0"/>
          <w:highlight w:val="none"/>
          <w:lang w:val="en-US" w:eastAsia="zh-CN"/>
        </w:rPr>
        <w:t>100</w:t>
      </w:r>
      <w:r>
        <w:rPr>
          <w:rFonts w:hint="default" w:ascii="Times New Roman" w:hAnsi="Times New Roman" w:eastAsia="仿宋_GB2312" w:cs="Times New Roman"/>
          <w:b w:val="0"/>
          <w:bCs w:val="0"/>
          <w:highlight w:val="none"/>
        </w:rPr>
        <w:t>%。</w:t>
      </w:r>
      <w:r>
        <w:rPr>
          <w:rFonts w:hint="default" w:ascii="Times New Roman" w:hAnsi="Times New Roman" w:eastAsia="仿宋_GB2312" w:cs="Times New Roman"/>
          <w:b w:val="0"/>
          <w:bCs w:val="0"/>
        </w:rPr>
        <w:t>具体打分情况详见：附件1综合评分表</w:t>
      </w:r>
      <w:r>
        <w:rPr>
          <w:rFonts w:hint="default" w:ascii="Times New Roman" w:hAnsi="Times New Roman" w:eastAsia="仿宋_GB2312" w:cs="Times New Roman"/>
          <w:b w:val="0"/>
          <w:bCs w:val="0"/>
          <w:lang w:eastAsia="zh-CN"/>
        </w:rPr>
        <w:t>。</w:t>
      </w:r>
    </w:p>
    <w:p w14:paraId="2095273A">
      <w:pPr>
        <w:pStyle w:val="2"/>
        <w:keepNext w:val="0"/>
        <w:keepLines w:val="0"/>
        <w:pageBreakBefore w:val="0"/>
        <w:widowControl/>
        <w:kinsoku/>
        <w:wordWrap/>
        <w:overflowPunct/>
        <w:topLinePunct w:val="0"/>
        <w:autoSpaceDE/>
        <w:autoSpaceDN/>
        <w:bidi w:val="0"/>
        <w:adjustRightInd/>
        <w:snapToGrid/>
        <w:spacing w:before="0" w:after="0"/>
        <w:textAlignment w:val="auto"/>
        <w:rPr>
          <w:rFonts w:hint="default" w:ascii="Times New Roman" w:hAnsi="Times New Roman" w:eastAsia="仿宋_GB2312" w:cs="Times New Roman"/>
          <w:sz w:val="21"/>
          <w:szCs w:val="21"/>
        </w:rPr>
      </w:pPr>
      <w:r>
        <w:rPr>
          <w:rFonts w:hint="default" w:ascii="Times New Roman" w:hAnsi="Times New Roman" w:eastAsia="仿宋_GB2312" w:cs="Times New Roman"/>
          <w:sz w:val="21"/>
          <w:szCs w:val="21"/>
        </w:rPr>
        <w:t>表1综合评分表</w:t>
      </w:r>
    </w:p>
    <w:tbl>
      <w:tblPr>
        <w:tblStyle w:val="14"/>
        <w:tblW w:w="8201" w:type="dxa"/>
        <w:jc w:val="center"/>
        <w:tblLayout w:type="fixed"/>
        <w:tblCellMar>
          <w:top w:w="0" w:type="dxa"/>
          <w:left w:w="108" w:type="dxa"/>
          <w:bottom w:w="0" w:type="dxa"/>
          <w:right w:w="108" w:type="dxa"/>
        </w:tblCellMar>
      </w:tblPr>
      <w:tblGrid>
        <w:gridCol w:w="3137"/>
        <w:gridCol w:w="2168"/>
        <w:gridCol w:w="1448"/>
        <w:gridCol w:w="1448"/>
      </w:tblGrid>
      <w:tr w14:paraId="131E3CA2">
        <w:tblPrEx>
          <w:tblCellMar>
            <w:top w:w="0" w:type="dxa"/>
            <w:left w:w="108" w:type="dxa"/>
            <w:bottom w:w="0" w:type="dxa"/>
            <w:right w:w="108" w:type="dxa"/>
          </w:tblCellMar>
        </w:tblPrEx>
        <w:trPr>
          <w:trHeight w:val="90" w:hRule="atLeast"/>
          <w:tblHeader/>
          <w:jc w:val="center"/>
        </w:trPr>
        <w:tc>
          <w:tcPr>
            <w:tcW w:w="3137" w:type="dxa"/>
            <w:tcBorders>
              <w:top w:val="single" w:color="auto" w:sz="4" w:space="0"/>
              <w:left w:val="single" w:color="auto" w:sz="4" w:space="0"/>
              <w:bottom w:val="single" w:color="auto" w:sz="4" w:space="0"/>
              <w:right w:val="single" w:color="auto" w:sz="4" w:space="0"/>
            </w:tcBorders>
            <w:shd w:val="clear" w:color="000000" w:fill="BEBEBE" w:themeFill="background1" w:themeFillShade="BF"/>
            <w:vAlign w:val="center"/>
          </w:tcPr>
          <w:p w14:paraId="65F3910C">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一级指标</w:t>
            </w:r>
          </w:p>
        </w:tc>
        <w:tc>
          <w:tcPr>
            <w:tcW w:w="216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3BF42781">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权重分</w:t>
            </w:r>
          </w:p>
        </w:tc>
        <w:tc>
          <w:tcPr>
            <w:tcW w:w="144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3D301F1B">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得分</w:t>
            </w:r>
          </w:p>
        </w:tc>
        <w:tc>
          <w:tcPr>
            <w:tcW w:w="1448" w:type="dxa"/>
            <w:tcBorders>
              <w:top w:val="single" w:color="auto" w:sz="4" w:space="0"/>
              <w:left w:val="nil"/>
              <w:bottom w:val="single" w:color="auto" w:sz="4" w:space="0"/>
              <w:right w:val="single" w:color="auto" w:sz="4" w:space="0"/>
            </w:tcBorders>
            <w:shd w:val="clear" w:color="000000" w:fill="BEBEBE" w:themeFill="background1" w:themeFillShade="BF"/>
            <w:vAlign w:val="center"/>
          </w:tcPr>
          <w:p w14:paraId="3C041A61">
            <w:pPr>
              <w:jc w:val="center"/>
              <w:rPr>
                <w:rFonts w:hint="eastAsia"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得分率</w:t>
            </w:r>
          </w:p>
        </w:tc>
      </w:tr>
      <w:tr w14:paraId="266D105F">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4D66D040">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项目决策</w:t>
            </w:r>
          </w:p>
        </w:tc>
        <w:tc>
          <w:tcPr>
            <w:tcW w:w="2168" w:type="dxa"/>
            <w:tcBorders>
              <w:top w:val="nil"/>
              <w:left w:val="nil"/>
              <w:bottom w:val="single" w:color="auto" w:sz="4" w:space="0"/>
              <w:right w:val="single" w:color="auto" w:sz="4" w:space="0"/>
            </w:tcBorders>
            <w:shd w:val="clear" w:color="auto" w:fill="auto"/>
            <w:vAlign w:val="center"/>
          </w:tcPr>
          <w:p w14:paraId="0D69B362">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448" w:type="dxa"/>
            <w:tcBorders>
              <w:top w:val="nil"/>
              <w:left w:val="nil"/>
              <w:bottom w:val="single" w:color="auto" w:sz="4" w:space="0"/>
              <w:right w:val="single" w:color="auto" w:sz="4" w:space="0"/>
            </w:tcBorders>
            <w:shd w:val="clear" w:color="auto" w:fill="auto"/>
            <w:vAlign w:val="center"/>
          </w:tcPr>
          <w:p w14:paraId="5FEE7AD4">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448" w:type="dxa"/>
            <w:tcBorders>
              <w:top w:val="nil"/>
              <w:left w:val="nil"/>
              <w:bottom w:val="single" w:color="auto" w:sz="4" w:space="0"/>
              <w:right w:val="single" w:color="auto" w:sz="4" w:space="0"/>
            </w:tcBorders>
            <w:shd w:val="clear" w:color="auto" w:fill="auto"/>
            <w:vAlign w:val="center"/>
          </w:tcPr>
          <w:p w14:paraId="6FACA7E7">
            <w:pPr>
              <w:jc w:val="center"/>
              <w:rPr>
                <w:rFonts w:hint="default"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500AC6D6">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61FDFCED">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项目过程</w:t>
            </w:r>
          </w:p>
        </w:tc>
        <w:tc>
          <w:tcPr>
            <w:tcW w:w="2168" w:type="dxa"/>
            <w:tcBorders>
              <w:top w:val="nil"/>
              <w:left w:val="nil"/>
              <w:bottom w:val="single" w:color="auto" w:sz="4" w:space="0"/>
              <w:right w:val="single" w:color="auto" w:sz="4" w:space="0"/>
            </w:tcBorders>
            <w:shd w:val="clear" w:color="auto" w:fill="auto"/>
            <w:vAlign w:val="center"/>
          </w:tcPr>
          <w:p w14:paraId="47A5562D">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448" w:type="dxa"/>
            <w:tcBorders>
              <w:top w:val="nil"/>
              <w:left w:val="nil"/>
              <w:bottom w:val="single" w:color="auto" w:sz="4" w:space="0"/>
              <w:right w:val="single" w:color="auto" w:sz="4" w:space="0"/>
            </w:tcBorders>
            <w:shd w:val="clear" w:color="auto" w:fill="auto"/>
            <w:vAlign w:val="center"/>
          </w:tcPr>
          <w:p w14:paraId="48D87685">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448" w:type="dxa"/>
            <w:tcBorders>
              <w:top w:val="nil"/>
              <w:left w:val="nil"/>
              <w:bottom w:val="single" w:color="auto" w:sz="4" w:space="0"/>
              <w:right w:val="single" w:color="auto" w:sz="4" w:space="0"/>
            </w:tcBorders>
            <w:shd w:val="clear" w:color="auto" w:fill="auto"/>
            <w:vAlign w:val="center"/>
          </w:tcPr>
          <w:p w14:paraId="13182AB4">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3256A948">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3F83D2CF">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项目产出</w:t>
            </w:r>
          </w:p>
        </w:tc>
        <w:tc>
          <w:tcPr>
            <w:tcW w:w="2168" w:type="dxa"/>
            <w:tcBorders>
              <w:top w:val="nil"/>
              <w:left w:val="nil"/>
              <w:bottom w:val="single" w:color="auto" w:sz="4" w:space="0"/>
              <w:right w:val="single" w:color="auto" w:sz="4" w:space="0"/>
            </w:tcBorders>
            <w:shd w:val="clear" w:color="auto" w:fill="auto"/>
            <w:vAlign w:val="center"/>
          </w:tcPr>
          <w:p w14:paraId="68BB11B8">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40</w:t>
            </w:r>
          </w:p>
        </w:tc>
        <w:tc>
          <w:tcPr>
            <w:tcW w:w="1448" w:type="dxa"/>
            <w:tcBorders>
              <w:top w:val="nil"/>
              <w:left w:val="nil"/>
              <w:bottom w:val="single" w:color="auto" w:sz="4" w:space="0"/>
              <w:right w:val="single" w:color="auto" w:sz="4" w:space="0"/>
            </w:tcBorders>
            <w:shd w:val="clear" w:color="auto" w:fill="auto"/>
            <w:vAlign w:val="center"/>
          </w:tcPr>
          <w:p w14:paraId="4A54A22A">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40</w:t>
            </w:r>
          </w:p>
        </w:tc>
        <w:tc>
          <w:tcPr>
            <w:tcW w:w="1448" w:type="dxa"/>
            <w:tcBorders>
              <w:top w:val="nil"/>
              <w:left w:val="nil"/>
              <w:bottom w:val="single" w:color="auto" w:sz="4" w:space="0"/>
              <w:right w:val="single" w:color="auto" w:sz="4" w:space="0"/>
            </w:tcBorders>
            <w:shd w:val="clear" w:color="auto" w:fill="auto"/>
            <w:vAlign w:val="center"/>
          </w:tcPr>
          <w:p w14:paraId="2560E058">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0620237B">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0CB36980">
            <w:pPr>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项目效益</w:t>
            </w:r>
          </w:p>
        </w:tc>
        <w:tc>
          <w:tcPr>
            <w:tcW w:w="2168" w:type="dxa"/>
            <w:tcBorders>
              <w:top w:val="nil"/>
              <w:left w:val="nil"/>
              <w:bottom w:val="single" w:color="auto" w:sz="4" w:space="0"/>
              <w:right w:val="single" w:color="auto" w:sz="4" w:space="0"/>
            </w:tcBorders>
            <w:shd w:val="clear" w:color="auto" w:fill="auto"/>
            <w:vAlign w:val="center"/>
          </w:tcPr>
          <w:p w14:paraId="130B0D3C">
            <w:pPr>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20</w:t>
            </w:r>
          </w:p>
        </w:tc>
        <w:tc>
          <w:tcPr>
            <w:tcW w:w="1448" w:type="dxa"/>
            <w:tcBorders>
              <w:top w:val="nil"/>
              <w:left w:val="nil"/>
              <w:bottom w:val="single" w:color="auto" w:sz="4" w:space="0"/>
              <w:right w:val="single" w:color="auto" w:sz="4" w:space="0"/>
            </w:tcBorders>
            <w:shd w:val="clear" w:color="auto" w:fill="auto"/>
            <w:vAlign w:val="center"/>
          </w:tcPr>
          <w:p w14:paraId="39AC3A51">
            <w:pPr>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20</w:t>
            </w:r>
          </w:p>
        </w:tc>
        <w:tc>
          <w:tcPr>
            <w:tcW w:w="1448" w:type="dxa"/>
            <w:tcBorders>
              <w:top w:val="nil"/>
              <w:left w:val="nil"/>
              <w:bottom w:val="single" w:color="auto" w:sz="4" w:space="0"/>
              <w:right w:val="single" w:color="auto" w:sz="4" w:space="0"/>
            </w:tcBorders>
            <w:shd w:val="clear" w:color="auto" w:fill="auto"/>
            <w:vAlign w:val="center"/>
          </w:tcPr>
          <w:p w14:paraId="5CAFCBBB">
            <w:pPr>
              <w:jc w:val="center"/>
              <w:rPr>
                <w:rFonts w:hint="eastAsia" w:eastAsia="仿宋_GB2312" w:cs="Times New Roman"/>
                <w:color w:val="000000"/>
                <w:sz w:val="21"/>
                <w:szCs w:val="21"/>
                <w:lang w:val="en-US" w:eastAsia="zh-CN"/>
              </w:rPr>
            </w:pPr>
            <w:r>
              <w:rPr>
                <w:rFonts w:hint="eastAsia" w:eastAsia="仿宋_GB2312" w:cs="Times New Roman"/>
                <w:color w:val="000000"/>
                <w:sz w:val="21"/>
                <w:szCs w:val="21"/>
                <w:lang w:val="en-US" w:eastAsia="zh-CN"/>
              </w:rPr>
              <w:t>100%</w:t>
            </w:r>
          </w:p>
        </w:tc>
      </w:tr>
      <w:tr w14:paraId="20D6033A">
        <w:tblPrEx>
          <w:tblCellMar>
            <w:top w:w="0" w:type="dxa"/>
            <w:left w:w="108" w:type="dxa"/>
            <w:bottom w:w="0" w:type="dxa"/>
            <w:right w:w="108" w:type="dxa"/>
          </w:tblCellMar>
        </w:tblPrEx>
        <w:trPr>
          <w:trHeight w:val="340" w:hRule="atLeast"/>
          <w:jc w:val="center"/>
        </w:trPr>
        <w:tc>
          <w:tcPr>
            <w:tcW w:w="3137" w:type="dxa"/>
            <w:tcBorders>
              <w:top w:val="nil"/>
              <w:left w:val="single" w:color="auto" w:sz="4" w:space="0"/>
              <w:bottom w:val="single" w:color="auto" w:sz="4" w:space="0"/>
              <w:right w:val="single" w:color="auto" w:sz="4" w:space="0"/>
            </w:tcBorders>
            <w:shd w:val="clear" w:color="auto" w:fill="auto"/>
            <w:vAlign w:val="center"/>
          </w:tcPr>
          <w:p w14:paraId="18AE0BBF">
            <w:pPr>
              <w:jc w:val="center"/>
              <w:rPr>
                <w:rFonts w:hint="default" w:ascii="Times New Roman" w:hAnsi="Times New Roman" w:eastAsia="仿宋_GB2312" w:cs="Times New Roman"/>
                <w:b/>
                <w:bCs/>
                <w:color w:val="000000"/>
                <w:sz w:val="21"/>
                <w:szCs w:val="21"/>
              </w:rPr>
            </w:pPr>
            <w:r>
              <w:rPr>
                <w:rFonts w:hint="default" w:ascii="Times New Roman" w:hAnsi="Times New Roman" w:eastAsia="仿宋_GB2312" w:cs="Times New Roman"/>
                <w:b/>
                <w:bCs/>
                <w:color w:val="000000"/>
                <w:sz w:val="21"/>
                <w:szCs w:val="21"/>
              </w:rPr>
              <w:t>合计</w:t>
            </w:r>
          </w:p>
        </w:tc>
        <w:tc>
          <w:tcPr>
            <w:tcW w:w="2168" w:type="dxa"/>
            <w:tcBorders>
              <w:top w:val="nil"/>
              <w:left w:val="nil"/>
              <w:bottom w:val="single" w:color="auto" w:sz="4" w:space="0"/>
              <w:right w:val="single" w:color="auto" w:sz="4" w:space="0"/>
            </w:tcBorders>
            <w:shd w:val="clear" w:color="auto" w:fill="auto"/>
            <w:vAlign w:val="center"/>
          </w:tcPr>
          <w:p w14:paraId="75F8AD79">
            <w:pPr>
              <w:jc w:val="center"/>
              <w:rPr>
                <w:rFonts w:hint="default" w:ascii="Times New Roman" w:hAnsi="Times New Roman" w:eastAsia="仿宋_GB2312" w:cs="Times New Roman"/>
                <w:b/>
                <w:bCs/>
                <w:color w:val="000000"/>
                <w:sz w:val="21"/>
                <w:szCs w:val="21"/>
                <w:lang w:val="en-US" w:eastAsia="zh-CN"/>
              </w:rPr>
            </w:pPr>
            <w:r>
              <w:rPr>
                <w:rFonts w:hint="default" w:ascii="Times New Roman" w:hAnsi="Times New Roman" w:eastAsia="仿宋_GB2312" w:cs="Times New Roman"/>
                <w:b/>
                <w:bCs/>
                <w:color w:val="000000"/>
                <w:sz w:val="21"/>
                <w:szCs w:val="21"/>
                <w:lang w:val="en-US" w:eastAsia="zh-CN"/>
              </w:rPr>
              <w:t>100</w:t>
            </w:r>
          </w:p>
        </w:tc>
        <w:tc>
          <w:tcPr>
            <w:tcW w:w="1448" w:type="dxa"/>
            <w:tcBorders>
              <w:top w:val="nil"/>
              <w:left w:val="nil"/>
              <w:bottom w:val="single" w:color="auto" w:sz="4" w:space="0"/>
              <w:right w:val="single" w:color="auto" w:sz="4" w:space="0"/>
            </w:tcBorders>
            <w:shd w:val="clear" w:color="auto" w:fill="auto"/>
            <w:vAlign w:val="center"/>
          </w:tcPr>
          <w:p w14:paraId="271E0E8D">
            <w:pPr>
              <w:jc w:val="center"/>
              <w:rPr>
                <w:rFonts w:hint="default" w:ascii="Times New Roman" w:hAnsi="Times New Roman" w:eastAsia="仿宋_GB2312" w:cs="Times New Roman"/>
                <w:b/>
                <w:bCs/>
                <w:color w:val="000000"/>
                <w:sz w:val="21"/>
                <w:szCs w:val="21"/>
                <w:lang w:val="en-US" w:eastAsia="zh-CN"/>
              </w:rPr>
            </w:pPr>
            <w:r>
              <w:rPr>
                <w:rFonts w:hint="eastAsia" w:eastAsia="仿宋_GB2312" w:cs="Times New Roman"/>
                <w:b/>
                <w:bCs/>
                <w:color w:val="000000"/>
                <w:sz w:val="21"/>
                <w:szCs w:val="21"/>
                <w:lang w:val="en-US" w:eastAsia="zh-CN"/>
              </w:rPr>
              <w:t>100</w:t>
            </w:r>
          </w:p>
        </w:tc>
        <w:tc>
          <w:tcPr>
            <w:tcW w:w="1448" w:type="dxa"/>
            <w:tcBorders>
              <w:top w:val="nil"/>
              <w:left w:val="nil"/>
              <w:bottom w:val="single" w:color="auto" w:sz="4" w:space="0"/>
              <w:right w:val="single" w:color="auto" w:sz="4" w:space="0"/>
            </w:tcBorders>
            <w:shd w:val="clear" w:color="auto" w:fill="auto"/>
            <w:vAlign w:val="center"/>
          </w:tcPr>
          <w:p w14:paraId="7BB42D65">
            <w:pPr>
              <w:jc w:val="center"/>
              <w:rPr>
                <w:rFonts w:hint="eastAsia" w:eastAsia="仿宋_GB2312" w:cs="Times New Roman"/>
                <w:b/>
                <w:bCs/>
                <w:color w:val="000000"/>
                <w:sz w:val="21"/>
                <w:szCs w:val="21"/>
                <w:lang w:val="en-US" w:eastAsia="zh-CN"/>
              </w:rPr>
            </w:pPr>
            <w:r>
              <w:rPr>
                <w:rFonts w:hint="eastAsia" w:eastAsia="仿宋_GB2312" w:cs="Times New Roman"/>
                <w:color w:val="000000"/>
                <w:sz w:val="21"/>
                <w:szCs w:val="21"/>
                <w:lang w:val="en-US" w:eastAsia="zh-CN"/>
              </w:rPr>
              <w:t>100%</w:t>
            </w:r>
          </w:p>
        </w:tc>
      </w:tr>
    </w:tbl>
    <w:p w14:paraId="615DE681">
      <w:pPr>
        <w:spacing w:line="560" w:lineRule="exact"/>
        <w:ind w:firstLine="640" w:firstLineChars="200"/>
        <w:rPr>
          <w:rFonts w:hint="default" w:ascii="Times New Roman" w:hAnsi="Times New Roman" w:eastAsia="黑体" w:cs="Times New Roman"/>
          <w:sz w:val="32"/>
          <w:szCs w:val="32"/>
        </w:rPr>
      </w:pPr>
      <w:r>
        <w:rPr>
          <w:rFonts w:hint="default" w:ascii="Times New Roman" w:hAnsi="Times New Roman" w:eastAsia="黑体" w:cs="Times New Roman"/>
          <w:sz w:val="32"/>
          <w:szCs w:val="32"/>
        </w:rPr>
        <w:t>四、绩效评价指标分析</w:t>
      </w:r>
    </w:p>
    <w:p w14:paraId="6D84E1FE">
      <w:pPr>
        <w:pStyle w:val="2"/>
        <w:spacing w:before="0" w:after="0" w:line="560" w:lineRule="exact"/>
        <w:ind w:firstLine="643" w:firstLineChars="200"/>
        <w:jc w:val="both"/>
        <w:rPr>
          <w:rFonts w:hint="default" w:ascii="Times New Roman" w:hAnsi="Times New Roman" w:eastAsia="楷体_GB2312" w:cs="Times New Roman"/>
        </w:rPr>
      </w:pPr>
      <w:r>
        <w:rPr>
          <w:rFonts w:hint="default" w:ascii="Times New Roman" w:hAnsi="Times New Roman" w:eastAsia="楷体_GB2312" w:cs="Times New Roman"/>
        </w:rPr>
        <w:t>（一）项目决策情况</w:t>
      </w:r>
    </w:p>
    <w:p w14:paraId="225AB2E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项目决策类指标包括项目立项、绩效目标和资金投入三方面的内容，由6个三级指标构成，权重分值为20分，实际得分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593EF3EE">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1.项目立项</w:t>
      </w:r>
    </w:p>
    <w:p w14:paraId="4EF0ADC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（1）立项依据充分性</w:t>
      </w:r>
    </w:p>
    <w:p w14:paraId="319617B9">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7E2017AE">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（2）立项程序规范性</w:t>
      </w:r>
    </w:p>
    <w:p w14:paraId="6A7B68DC">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项目申请、设立过程符合相关要求，</w:t>
      </w:r>
      <w:r>
        <w:rPr>
          <w:rFonts w:hint="default" w:ascii="Times New Roman" w:hAnsi="Times New Roman" w:eastAsia="仿宋_GB2312" w:cs="Times New Roman"/>
          <w:sz w:val="32"/>
          <w:szCs w:val="32"/>
          <w:lang w:eastAsia="zh-Hans"/>
        </w:rPr>
        <w:t>严格按照审批流程准备符合要求的文件、材料；</w:t>
      </w:r>
      <w:r>
        <w:rPr>
          <w:rFonts w:hint="default" w:ascii="Times New Roman" w:hAnsi="Times New Roman" w:eastAsia="仿宋_GB2312" w:cs="Times New Roman"/>
          <w:sz w:val="32"/>
          <w:szCs w:val="32"/>
          <w:lang w:val="en-US" w:eastAsia="zh-CN"/>
        </w:rPr>
        <w:t>根据决算依据编制工作计划和经费预算，经过与部门项目分管领导沟通、筛选确定经费预算计划，确定最终预算方案。项目的审批文件、材料符合相关要求，项目事前经过必要的可行性研究、专家论证、风险评估、绩效评估、集体决策，保障了程序的规范性。</w:t>
      </w:r>
    </w:p>
    <w:p w14:paraId="5600264C">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2.绩效目标</w:t>
      </w:r>
    </w:p>
    <w:p w14:paraId="3A9F6075">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（1）绩效目标合理性</w:t>
      </w:r>
    </w:p>
    <w:p w14:paraId="77BCE93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Hans"/>
        </w:rPr>
        <w:t>年初结合实际工作内容</w:t>
      </w:r>
      <w:r>
        <w:rPr>
          <w:rFonts w:hint="default" w:ascii="Times New Roman" w:hAnsi="Times New Roman" w:eastAsia="仿宋_GB2312" w:cs="Times New Roman"/>
          <w:sz w:val="32"/>
          <w:szCs w:val="32"/>
          <w:lang w:val="en-US" w:eastAsia="zh-CN"/>
        </w:rPr>
        <w:t>设定绩效目标</w:t>
      </w:r>
      <w:r>
        <w:rPr>
          <w:rFonts w:hint="default" w:ascii="Times New Roman" w:hAnsi="Times New Roman" w:eastAsia="仿宋_GB2312" w:cs="Times New Roman"/>
          <w:sz w:val="32"/>
          <w:szCs w:val="32"/>
          <w:lang w:val="en-US" w:eastAsia="zh-Hans"/>
        </w:rPr>
        <w:t>，绩效目标</w:t>
      </w:r>
      <w:r>
        <w:rPr>
          <w:rFonts w:hint="default" w:ascii="Times New Roman" w:hAnsi="Times New Roman" w:eastAsia="仿宋_GB2312" w:cs="Times New Roman"/>
          <w:sz w:val="32"/>
          <w:szCs w:val="32"/>
          <w:lang w:val="en-US" w:eastAsia="zh-CN"/>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43C6ABB9">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（2）绩效指标明确性</w:t>
      </w:r>
    </w:p>
    <w:p w14:paraId="1EB4F5DB">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项目设置了明确的预期产出效益和效果，将绩效目标细化分解为具体的绩效指标，</w:t>
      </w:r>
      <w:r>
        <w:rPr>
          <w:rFonts w:hint="eastAsia" w:ascii="Times New Roman" w:hAnsi="Times New Roman" w:eastAsia="仿宋_GB2312" w:cs="Times New Roman"/>
          <w:sz w:val="32"/>
          <w:szCs w:val="32"/>
          <w:lang w:val="en-US" w:eastAsia="zh-CN"/>
        </w:rPr>
        <w:t>数量指标：</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highlight w:val="none"/>
        </w:rPr>
        <w:t>发放补助人数&gt;=</w:t>
      </w:r>
      <w:r>
        <w:rPr>
          <w:rFonts w:hint="eastAsia"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rPr>
        <w:t>人，</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发放补助次数=12次，质量指标：</w:t>
      </w:r>
      <w:r>
        <w:rPr>
          <w:rFonts w:hint="eastAsia"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补助发放准确率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，时效指标：</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资金发放及时率</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，成本指标</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每次发放资金数</w:t>
      </w:r>
      <w:r>
        <w:rPr>
          <w:rFonts w:hint="eastAsia" w:eastAsia="仿宋_GB2312" w:cs="Times New Roman"/>
          <w:sz w:val="32"/>
          <w:szCs w:val="32"/>
          <w:highlight w:val="none"/>
          <w:lang w:val="en-US" w:eastAsia="zh-CN"/>
        </w:rPr>
        <w:t>&lt;=8.59万元/次</w:t>
      </w:r>
      <w:r>
        <w:rPr>
          <w:rFonts w:hint="default" w:ascii="Times New Roman" w:hAnsi="Times New Roman" w:eastAsia="仿宋_GB2312" w:cs="Times New Roman"/>
          <w:sz w:val="32"/>
          <w:szCs w:val="32"/>
          <w:highlight w:val="none"/>
        </w:rPr>
        <w:t>，社会效益指标：</w:t>
      </w:r>
      <w:r>
        <w:rPr>
          <w:rFonts w:hint="eastAsia"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满意度</w:t>
      </w:r>
      <w:r>
        <w:rPr>
          <w:rFonts w:hint="eastAsia" w:eastAsia="仿宋_GB2312" w:cs="Times New Roman"/>
          <w:sz w:val="32"/>
          <w:szCs w:val="32"/>
          <w:highlight w:val="none"/>
          <w:lang w:val="en-US" w:eastAsia="zh-CN"/>
        </w:rPr>
        <w:t>指标：7.</w:t>
      </w:r>
      <w:r>
        <w:rPr>
          <w:rFonts w:hint="default" w:ascii="Times New Roman" w:hAnsi="Times New Roman" w:eastAsia="仿宋_GB2312" w:cs="Times New Roman"/>
          <w:sz w:val="32"/>
          <w:szCs w:val="32"/>
          <w:highlight w:val="none"/>
        </w:rPr>
        <w:t>临聘人员满意度</w:t>
      </w:r>
      <w:r>
        <w:rPr>
          <w:rFonts w:hint="eastAsia" w:eastAsia="仿宋_GB2312" w:cs="Times New Roman"/>
          <w:sz w:val="32"/>
          <w:szCs w:val="32"/>
          <w:highlight w:val="none"/>
          <w:lang w:val="en-US" w:eastAsia="zh-CN"/>
        </w:rPr>
        <w:t>&gt;=90%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绩效目标与项目目标任务数相对应，绩效目标设定的绩效指标清晰、细化、可衡量。</w:t>
      </w:r>
    </w:p>
    <w:p w14:paraId="6AC6F133">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lang w:val="en-US" w:eastAsia="zh-CN"/>
        </w:rPr>
        <w:t>3.资金投入</w:t>
      </w:r>
    </w:p>
    <w:p w14:paraId="5F63A0D2">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（1）预算编制科学性</w:t>
      </w:r>
    </w:p>
    <w:p w14:paraId="337C9D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02A4437D">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在预算编制过程中，</w:t>
      </w:r>
      <w:r>
        <w:rPr>
          <w:rFonts w:hint="default" w:ascii="Times New Roman" w:hAnsi="Times New Roman" w:eastAsia="仿宋_GB2312" w:cs="Times New Roman"/>
          <w:sz w:val="32"/>
          <w:szCs w:val="32"/>
          <w:highlight w:val="none"/>
          <w:lang w:val="en-US" w:eastAsia="zh-CN"/>
        </w:rPr>
        <w:t>还</w:t>
      </w:r>
      <w:r>
        <w:rPr>
          <w:rFonts w:hint="default" w:ascii="Times New Roman" w:hAnsi="Times New Roman" w:eastAsia="仿宋_GB2312" w:cs="Times New Roman"/>
          <w:sz w:val="32"/>
          <w:szCs w:val="32"/>
          <w:highlight w:val="none"/>
          <w:lang w:eastAsia="zh-CN"/>
        </w:rPr>
        <w:t>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527E3F99">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（2）资金分配合理性</w:t>
      </w:r>
    </w:p>
    <w:p w14:paraId="2F39A1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73AC7CC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分配紧密结合了项目的特点与实际情况，对关键领域与重要环节给予了重点支持。同时，我们也注重了资金的均衡分配，避免了资源浪费与资金闲置。此外，资金分配还充分考虑了风险因素，对可能出现的超支情况进行了预留与调整。</w:t>
      </w:r>
    </w:p>
    <w:p w14:paraId="19D3B0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31CFE94E">
      <w:pPr>
        <w:pStyle w:val="2"/>
        <w:numPr>
          <w:ilvl w:val="0"/>
          <w:numId w:val="5"/>
        </w:numPr>
        <w:spacing w:before="0" w:after="0" w:line="560" w:lineRule="exact"/>
        <w:ind w:firstLine="643" w:firstLineChars="200"/>
        <w:jc w:val="both"/>
        <w:rPr>
          <w:rFonts w:hint="default" w:ascii="Times New Roman" w:hAnsi="Times New Roman" w:eastAsia="楷体" w:cs="Times New Roman"/>
        </w:rPr>
      </w:pPr>
      <w:r>
        <w:rPr>
          <w:rFonts w:hint="default" w:ascii="Times New Roman" w:hAnsi="Times New Roman" w:eastAsia="楷体" w:cs="Times New Roman"/>
        </w:rPr>
        <w:t>项目过程情况</w:t>
      </w:r>
    </w:p>
    <w:p w14:paraId="3B600713">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lang w:val="en-US" w:eastAsia="zh-CN"/>
        </w:rPr>
        <w:t>项目过程类指标包括资金管理和组织实施两方面的内容，由</w:t>
      </w:r>
      <w:r>
        <w:rPr>
          <w:rFonts w:hint="default" w:ascii="Times New Roman" w:hAnsi="Times New Roman" w:eastAsia="仿宋_GB2312" w:cs="Times New Roman"/>
          <w:sz w:val="32"/>
          <w:szCs w:val="32"/>
          <w:highlight w:val="none"/>
          <w:lang w:val="en-US" w:eastAsia="zh-CN"/>
        </w:rPr>
        <w:t>5个</w:t>
      </w:r>
      <w:r>
        <w:rPr>
          <w:rFonts w:hint="default" w:ascii="Times New Roman" w:hAnsi="Times New Roman" w:eastAsia="仿宋_GB2312" w:cs="Times New Roman"/>
          <w:sz w:val="32"/>
          <w:szCs w:val="32"/>
          <w:lang w:val="en-US" w:eastAsia="zh-CN"/>
        </w:rPr>
        <w:t>三级指标构成，权重分值为20</w:t>
      </w:r>
      <w:r>
        <w:rPr>
          <w:rFonts w:hint="default" w:ascii="Times New Roman" w:hAnsi="Times New Roman" w:eastAsia="仿宋_GB2312" w:cs="Times New Roman"/>
          <w:sz w:val="32"/>
          <w:szCs w:val="32"/>
          <w:highlight w:val="none"/>
          <w:lang w:val="en-US" w:eastAsia="zh-CN"/>
        </w:rPr>
        <w:t>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p>
    <w:p w14:paraId="5ED30C04">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1.资金管理</w:t>
      </w:r>
    </w:p>
    <w:p w14:paraId="4DDE8260">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（1）资金到位率</w:t>
      </w:r>
    </w:p>
    <w:p w14:paraId="61056D8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本项目总投资</w:t>
      </w:r>
      <w:r>
        <w:rPr>
          <w:rFonts w:hint="eastAsia" w:eastAsia="仿宋_GB2312" w:cs="Times New Roman"/>
          <w:sz w:val="32"/>
          <w:szCs w:val="32"/>
          <w:highlight w:val="none"/>
          <w:lang w:val="en-US" w:eastAsia="zh-CN"/>
        </w:rPr>
        <w:t>103.07</w:t>
      </w:r>
      <w:r>
        <w:rPr>
          <w:rFonts w:hint="default" w:ascii="Times New Roman" w:hAnsi="Times New Roman" w:eastAsia="仿宋_GB2312" w:cs="Times New Roman"/>
          <w:sz w:val="32"/>
          <w:szCs w:val="32"/>
          <w:highlight w:val="none"/>
          <w:lang w:val="en-US" w:eastAsia="zh-CN"/>
        </w:rPr>
        <w:t>万元，财政资金及时足额到位，到位率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%，预算资金按计划进度执行。</w:t>
      </w:r>
      <w:r>
        <w:rPr>
          <w:rFonts w:hint="eastAsia" w:eastAsia="仿宋_GB2312" w:cs="Times New Roman"/>
          <w:color w:val="auto"/>
          <w:sz w:val="32"/>
          <w:szCs w:val="32"/>
          <w:highlight w:val="none"/>
          <w:lang w:val="en-US" w:eastAsia="zh-CN"/>
        </w:rPr>
        <w:t>该项目资金由财政拨付在2024年12月完全到位，按照教师当月考勤支付对应工资。</w:t>
      </w:r>
    </w:p>
    <w:p w14:paraId="7E88530E">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（2）预算执行率</w:t>
      </w:r>
    </w:p>
    <w:p w14:paraId="5FB7C55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预算编制较为详细，项目资金支出总体能够按照预算执行，预算资金支出</w:t>
      </w:r>
      <w:r>
        <w:rPr>
          <w:rFonts w:hint="eastAsia" w:eastAsia="仿宋_GB2312" w:cs="Times New Roman"/>
          <w:sz w:val="32"/>
          <w:szCs w:val="32"/>
          <w:highlight w:val="none"/>
          <w:lang w:val="en-US" w:eastAsia="zh-CN"/>
        </w:rPr>
        <w:t>103.07</w:t>
      </w:r>
      <w:r>
        <w:rPr>
          <w:rFonts w:hint="default" w:ascii="Times New Roman" w:hAnsi="Times New Roman" w:eastAsia="仿宋_GB2312" w:cs="Times New Roman"/>
          <w:sz w:val="32"/>
          <w:szCs w:val="32"/>
          <w:highlight w:val="none"/>
          <w:lang w:val="en-US" w:eastAsia="zh-CN"/>
        </w:rPr>
        <w:t>万元，</w:t>
      </w:r>
      <w:r>
        <w:rPr>
          <w:rFonts w:hint="eastAsia" w:eastAsia="仿宋_GB2312" w:cs="Times New Roman"/>
          <w:sz w:val="32"/>
          <w:szCs w:val="32"/>
          <w:highlight w:val="none"/>
          <w:lang w:val="en-US" w:eastAsia="zh-CN"/>
        </w:rPr>
        <w:t>全部用于发放25名代课教师工资，</w:t>
      </w:r>
      <w:r>
        <w:rPr>
          <w:rFonts w:hint="default" w:ascii="Times New Roman" w:hAnsi="Times New Roman" w:eastAsia="仿宋_GB2312" w:cs="Times New Roman"/>
          <w:sz w:val="32"/>
          <w:szCs w:val="32"/>
          <w:highlight w:val="none"/>
          <w:lang w:val="en-US" w:eastAsia="zh-CN"/>
        </w:rPr>
        <w:t>预算执行率为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color w:val="auto"/>
          <w:sz w:val="32"/>
          <w:szCs w:val="32"/>
          <w:highlight w:val="none"/>
          <w:lang w:val="en-US" w:eastAsia="zh-CN"/>
        </w:rPr>
        <w:t>按照每月教师考勤支付对应工资，绩效奖在年底考核后一次性发放。</w:t>
      </w:r>
    </w:p>
    <w:p w14:paraId="63D5F16C">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（3）资金使用合规性</w:t>
      </w:r>
    </w:p>
    <w:p w14:paraId="164DA5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本项目的资金使用严格遵循了国家相关法律法规与财务制度，确保了资金的合规性与安全性。在资金使用过程中，我们建立了完善的财务管理体系，对资金的流动进行了全程监控与记录。</w:t>
      </w:r>
    </w:p>
    <w:p w14:paraId="54039AB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222128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4E05726E">
      <w:pPr>
        <w:pStyle w:val="19"/>
        <w:keepNext w:val="0"/>
        <w:keepLines w:val="0"/>
        <w:pageBreakBefore w:val="0"/>
        <w:widowControl w:val="0"/>
        <w:shd w:val="clear"/>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2.组织实施</w:t>
      </w:r>
    </w:p>
    <w:p w14:paraId="764E898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（1）管理制度健全性</w:t>
      </w:r>
    </w:p>
    <w:p w14:paraId="7AFEC3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本项目拥有一套完善、健全的管理制度体系，为项目的成功实施提供了坚实的制度保障。项目管理制度的制定紧密结合了项目的特点与实际情况，涵盖了项目的策划、组织、实施、监控与收尾等各个环节。</w:t>
      </w:r>
    </w:p>
    <w:p w14:paraId="0DFCA13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在制度设计上，我们注重了制度的科学性与可操作性，确保制度能够切实指导项目的执行与管理。</w:t>
      </w:r>
    </w:p>
    <w:p w14:paraId="67B4F5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反馈机制，对项目的实施情况进行定期检查与评估，及时发现并纠正可能存在的问题。</w:t>
      </w:r>
    </w:p>
    <w:p w14:paraId="738C93F1">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lang w:eastAsia="zh-CN"/>
        </w:rPr>
        <w:t>综上所述，本项目的管理制度是健全的、有效的，既符合项目的实际情况，又满足了项目管理的需要。管理制度的健全性为项目的成功实施提供了有力的保障，也为项目的绩效评价奠定了坚实的基础。</w:t>
      </w:r>
    </w:p>
    <w:p w14:paraId="4A2371CD">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（2）制度执行有效性</w:t>
      </w:r>
    </w:p>
    <w:p w14:paraId="76CE00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本项目在执行过程中，管理制度得到了全面、有效的落实，为确保项目的顺利实施与目标实现提供了坚实的保障。项目</w:t>
      </w:r>
      <w:r>
        <w:rPr>
          <w:rFonts w:hint="default" w:ascii="Times New Roman" w:hAnsi="Times New Roman" w:eastAsia="仿宋_GB2312" w:cs="Times New Roman"/>
          <w:sz w:val="32"/>
          <w:szCs w:val="32"/>
          <w:lang w:val="en-US" w:eastAsia="zh-CN"/>
        </w:rPr>
        <w:t>单位</w:t>
      </w:r>
      <w:r>
        <w:rPr>
          <w:rFonts w:hint="default" w:ascii="Times New Roman" w:hAnsi="Times New Roman" w:eastAsia="仿宋_GB2312" w:cs="Times New Roman"/>
          <w:sz w:val="32"/>
          <w:szCs w:val="32"/>
          <w:lang w:eastAsia="zh-CN"/>
        </w:rPr>
        <w:t>重视制度执行的重要性，通过明确责任分工、制定详细执行计划、加强监督考核等措施，确保了各项管理制度能够得到有效执行。</w:t>
      </w:r>
    </w:p>
    <w:p w14:paraId="4359FD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在具体执行过程中，项目团队成员严格按照制度要求进行操作。同时，我们还建立了有效的沟通机制与反馈机制，确保项目信息的及时传递与问题的及时解决，进一步提高了制度执行的效率与效果。</w:t>
      </w:r>
    </w:p>
    <w:p w14:paraId="22A39F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eastAsia="zh-CN"/>
        </w:rPr>
        <w:t>综上所述，本项目的管理制度在执行过程中表现出了高度的有效性，既确保了项目的顺利进行，又实现了项目目标的有效达成。</w:t>
      </w:r>
    </w:p>
    <w:p w14:paraId="08145949">
      <w:pPr>
        <w:pStyle w:val="12"/>
        <w:numPr>
          <w:ilvl w:val="0"/>
          <w:numId w:val="5"/>
        </w:numPr>
        <w:spacing w:line="560" w:lineRule="exact"/>
        <w:ind w:firstLine="643"/>
        <w:rPr>
          <w:rFonts w:hint="default" w:ascii="Times New Roman" w:hAnsi="Times New Roman" w:eastAsia="楷体_GB2312" w:cs="Times New Roman"/>
          <w:b/>
          <w:bCs/>
          <w:sz w:val="32"/>
          <w:szCs w:val="32"/>
          <w:highlight w:val="none"/>
        </w:rPr>
      </w:pPr>
      <w:r>
        <w:rPr>
          <w:rFonts w:hint="default" w:ascii="Times New Roman" w:hAnsi="Times New Roman" w:eastAsia="楷体_GB2312" w:cs="Times New Roman"/>
          <w:b/>
          <w:bCs/>
          <w:sz w:val="32"/>
          <w:szCs w:val="32"/>
          <w:highlight w:val="none"/>
        </w:rPr>
        <w:t>项目产出</w:t>
      </w:r>
      <w:r>
        <w:rPr>
          <w:rFonts w:hint="default" w:ascii="Times New Roman" w:hAnsi="Times New Roman" w:eastAsia="楷体_GB2312" w:cs="Times New Roman"/>
          <w:b/>
          <w:bCs/>
          <w:sz w:val="32"/>
          <w:szCs w:val="32"/>
          <w:highlight w:val="none"/>
          <w:lang w:val="en-US" w:eastAsia="zh-CN"/>
        </w:rPr>
        <w:t>情况</w:t>
      </w:r>
    </w:p>
    <w:p w14:paraId="0EDF963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项目产出类指标包括产出数量、产出质量、产出时效、产出成本四方面的内容，由</w:t>
      </w:r>
      <w:r>
        <w:rPr>
          <w:rFonts w:hint="eastAsia"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个三级指标构成，权重分为40分，实际得分</w:t>
      </w:r>
      <w:r>
        <w:rPr>
          <w:rFonts w:hint="eastAsia" w:eastAsia="仿宋_GB2312" w:cs="Times New Roman"/>
          <w:sz w:val="32"/>
          <w:szCs w:val="32"/>
          <w:highlight w:val="none"/>
          <w:lang w:val="en-US" w:eastAsia="zh-CN"/>
        </w:rPr>
        <w:t>40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w:t>
      </w:r>
      <w:r>
        <w:rPr>
          <w:rFonts w:hint="default" w:ascii="Times New Roman" w:hAnsi="Times New Roman" w:eastAsia="仿宋_GB2312" w:cs="Times New Roman"/>
          <w:sz w:val="32"/>
          <w:szCs w:val="32"/>
          <w:lang w:val="en-US" w:eastAsia="zh-CN"/>
        </w:rPr>
        <w:t>体产出指标完成情况如下：</w:t>
      </w:r>
    </w:p>
    <w:p w14:paraId="45026148">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1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①</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数量指标：</w:t>
      </w:r>
    </w:p>
    <w:p w14:paraId="3695D5F7">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指标1：发放补助人数，指标值：&gt;=</w:t>
      </w:r>
      <w:r>
        <w:rPr>
          <w:rFonts w:hint="eastAsia" w:eastAsia="仿宋_GB2312" w:cs="Times New Roman"/>
          <w:sz w:val="32"/>
          <w:szCs w:val="32"/>
          <w:highlight w:val="none"/>
          <w:lang w:val="en-US" w:eastAsia="zh-CN"/>
        </w:rPr>
        <w:t>25</w:t>
      </w:r>
      <w:r>
        <w:rPr>
          <w:rFonts w:hint="default" w:ascii="Times New Roman" w:hAnsi="Times New Roman" w:eastAsia="仿宋_GB2312" w:cs="Times New Roman"/>
          <w:sz w:val="32"/>
          <w:szCs w:val="32"/>
          <w:highlight w:val="none"/>
        </w:rPr>
        <w:t>人，实际完成值</w:t>
      </w:r>
      <w:r>
        <w:rPr>
          <w:rFonts w:hint="eastAsia" w:eastAsia="仿宋_GB2312" w:cs="Times New Roman"/>
          <w:sz w:val="32"/>
          <w:szCs w:val="32"/>
          <w:highlight w:val="none"/>
          <w:lang w:val="en-US" w:eastAsia="zh-CN"/>
        </w:rPr>
        <w:t>:全年聘用教师25人</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补助发放范围：为弥补我校师资不足外聘的25名教师。</w:t>
      </w:r>
    </w:p>
    <w:p w14:paraId="00FDB6B7">
      <w:pPr>
        <w:shd w:val="clear"/>
        <w:spacing w:line="600" w:lineRule="exact"/>
        <w:ind w:firstLine="640" w:firstLineChars="200"/>
        <w:outlineLvl w:val="0"/>
        <w:rPr>
          <w:rFonts w:hint="default"/>
          <w:lang w:val="en-US" w:eastAsia="zh-CN"/>
        </w:rPr>
      </w:pPr>
      <w:r>
        <w:rPr>
          <w:rFonts w:hint="default" w:ascii="Times New Roman" w:hAnsi="Times New Roman" w:eastAsia="仿宋_GB2312" w:cs="Times New Roman"/>
          <w:sz w:val="32"/>
          <w:szCs w:val="32"/>
          <w:highlight w:val="none"/>
        </w:rPr>
        <w:t>指标</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：发放补助次数，指标值：=</w:t>
      </w:r>
      <w:r>
        <w:rPr>
          <w:rFonts w:hint="eastAsia" w:eastAsia="仿宋_GB2312" w:cs="Times New Roman"/>
          <w:sz w:val="32"/>
          <w:szCs w:val="32"/>
          <w:highlight w:val="none"/>
          <w:lang w:eastAsia="zh-CN"/>
        </w:rPr>
        <w:t>12</w:t>
      </w:r>
      <w:r>
        <w:rPr>
          <w:rFonts w:hint="default" w:ascii="Times New Roman" w:hAnsi="Times New Roman" w:eastAsia="仿宋_GB2312" w:cs="Times New Roman"/>
          <w:sz w:val="32"/>
          <w:szCs w:val="32"/>
          <w:highlight w:val="none"/>
        </w:rPr>
        <w:t>次，实际完成值：</w:t>
      </w:r>
      <w:r>
        <w:rPr>
          <w:rFonts w:hint="eastAsia" w:eastAsia="仿宋_GB2312" w:cs="Times New Roman"/>
          <w:sz w:val="32"/>
          <w:szCs w:val="32"/>
          <w:highlight w:val="none"/>
          <w:lang w:eastAsia="zh-CN"/>
        </w:rPr>
        <w:t>12</w:t>
      </w:r>
      <w:r>
        <w:rPr>
          <w:rFonts w:hint="default" w:ascii="Times New Roman" w:hAnsi="Times New Roman" w:eastAsia="仿宋_GB2312" w:cs="Times New Roman"/>
          <w:sz w:val="32"/>
          <w:szCs w:val="32"/>
          <w:highlight w:val="none"/>
        </w:rPr>
        <w:t>次，指标完成率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根据临聘教师每月考勤按时支付对应工资，全年共计发放补助12次。</w:t>
      </w:r>
    </w:p>
    <w:p w14:paraId="1B9CE6C0">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2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②</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质量指标：</w:t>
      </w:r>
    </w:p>
    <w:p w14:paraId="0B5E003B">
      <w:pPr>
        <w:shd w:val="clear"/>
        <w:spacing w:line="600" w:lineRule="exact"/>
        <w:ind w:firstLine="640" w:firstLineChars="200"/>
        <w:outlineLvl w:val="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指标1：补助发放准确率，指标值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24年全年已将工资准确发放至各科聘用教师手中。</w:t>
      </w:r>
    </w:p>
    <w:p w14:paraId="5E76735B">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3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③</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时效指标：</w:t>
      </w:r>
    </w:p>
    <w:p w14:paraId="0E1E43E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指标1：资金发放及时率，指标值</w:t>
      </w:r>
      <w:r>
        <w:rPr>
          <w:rFonts w:hint="eastAsia" w:eastAsia="仿宋_GB2312" w:cs="Times New Roman"/>
          <w:sz w:val="32"/>
          <w:szCs w:val="32"/>
          <w:highlight w:val="none"/>
          <w:lang w:val="en-US" w:eastAsia="zh-CN"/>
        </w:rPr>
        <w:t>≥95%</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已按时将资金支付完成。</w:t>
      </w:r>
    </w:p>
    <w:p w14:paraId="7BFF7DBA">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 4 \* GB3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④</w:t>
      </w:r>
      <w:r>
        <w:rPr>
          <w:rFonts w:hint="default" w:ascii="Times New Roman" w:hAnsi="Times New Roman" w:eastAsia="仿宋_GB2312" w:cs="Times New Roman"/>
          <w:sz w:val="32"/>
          <w:szCs w:val="32"/>
          <w:highlight w:val="none"/>
        </w:rPr>
        <w:fldChar w:fldCharType="end"/>
      </w:r>
      <w:r>
        <w:rPr>
          <w:rFonts w:hint="default" w:ascii="Times New Roman" w:hAnsi="Times New Roman" w:eastAsia="仿宋_GB2312" w:cs="Times New Roman"/>
          <w:sz w:val="32"/>
          <w:szCs w:val="32"/>
          <w:highlight w:val="none"/>
        </w:rPr>
        <w:t>成本指标：</w:t>
      </w:r>
    </w:p>
    <w:p w14:paraId="10E0E1C1">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指标1：每次发放资金数，指标值</w:t>
      </w:r>
      <w:r>
        <w:rPr>
          <w:rFonts w:hint="eastAsia" w:eastAsia="仿宋_GB2312" w:cs="Times New Roman"/>
          <w:sz w:val="32"/>
          <w:szCs w:val="32"/>
          <w:highlight w:val="none"/>
          <w:lang w:val="en-US" w:eastAsia="zh-CN"/>
        </w:rPr>
        <w:t>&lt;=8.59万元/次</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8.59万元/次</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r>
        <w:rPr>
          <w:rFonts w:hint="eastAsia" w:eastAsia="仿宋_GB2312" w:cs="Times New Roman"/>
          <w:color w:val="auto"/>
          <w:sz w:val="32"/>
          <w:szCs w:val="32"/>
          <w:highlight w:val="none"/>
          <w:lang w:val="en-US" w:eastAsia="zh-CN"/>
        </w:rPr>
        <w:t>本项目全年实际支出103.07万元，全年共计发放12次，每次发放资金数平均为8.59万元。无超支情况，项目资金全部完成。</w:t>
      </w:r>
    </w:p>
    <w:p w14:paraId="7E4A3B09">
      <w:pPr>
        <w:pStyle w:val="12"/>
        <w:numPr>
          <w:ilvl w:val="0"/>
          <w:numId w:val="5"/>
        </w:numPr>
        <w:spacing w:line="560" w:lineRule="exact"/>
        <w:ind w:firstLine="643"/>
        <w:rPr>
          <w:rFonts w:hint="default" w:ascii="Times New Roman" w:hAnsi="Times New Roman" w:eastAsia="楷体_GB2312" w:cs="Times New Roman"/>
          <w:b/>
          <w:bCs/>
          <w:sz w:val="32"/>
          <w:szCs w:val="32"/>
          <w:lang w:val="en-US" w:eastAsia="zh-CN"/>
        </w:rPr>
      </w:pPr>
      <w:r>
        <w:rPr>
          <w:rFonts w:hint="default" w:ascii="Times New Roman" w:hAnsi="Times New Roman" w:eastAsia="楷体_GB2312" w:cs="Times New Roman"/>
          <w:b/>
          <w:bCs/>
          <w:sz w:val="32"/>
          <w:szCs w:val="32"/>
          <w:lang w:val="en-US" w:eastAsia="zh-CN"/>
        </w:rPr>
        <w:t>项目效益情况</w:t>
      </w:r>
    </w:p>
    <w:p w14:paraId="43AF2433">
      <w:pPr>
        <w:shd w:val="clear"/>
        <w:spacing w:line="600" w:lineRule="exact"/>
        <w:ind w:firstLine="640" w:firstLineChars="200"/>
        <w:outlineLvl w:val="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highlight w:val="none"/>
          <w:lang w:val="en-US" w:eastAsia="zh-CN"/>
        </w:rPr>
        <w:t>项目效益类指标包括项目实施效益和满意度两方面的内容，由</w:t>
      </w:r>
      <w:r>
        <w:rPr>
          <w:rFonts w:hint="eastAsia"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lang w:val="en-US" w:eastAsia="zh-CN"/>
        </w:rPr>
        <w:t>个三级指标构成，权重分为20分，实际得分</w:t>
      </w:r>
      <w:r>
        <w:rPr>
          <w:rFonts w:hint="eastAsia"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lang w:val="en-US" w:eastAsia="zh-CN"/>
        </w:rPr>
        <w:t>分，得分率为</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lang w:val="en-US" w:eastAsia="zh-CN"/>
        </w:rPr>
        <w:t>%。具体效益指</w:t>
      </w:r>
      <w:r>
        <w:rPr>
          <w:rFonts w:hint="default" w:ascii="Times New Roman" w:hAnsi="Times New Roman" w:eastAsia="仿宋_GB2312" w:cs="Times New Roman"/>
          <w:sz w:val="32"/>
          <w:szCs w:val="32"/>
          <w:lang w:val="en-US" w:eastAsia="zh-CN"/>
        </w:rPr>
        <w:t>标及满意度指标完成情况如下：</w:t>
      </w:r>
    </w:p>
    <w:p w14:paraId="0922674E">
      <w:pPr>
        <w:shd w:val="clear"/>
        <w:spacing w:line="600" w:lineRule="exact"/>
        <w:ind w:firstLine="640" w:firstLineChars="200"/>
        <w:outlineLvl w:val="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val="en-US" w:eastAsia="zh-CN"/>
        </w:rPr>
        <w:t>①</w:t>
      </w:r>
      <w:r>
        <w:rPr>
          <w:rFonts w:hint="default" w:ascii="Times New Roman" w:hAnsi="Times New Roman" w:eastAsia="仿宋_GB2312" w:cs="Times New Roman"/>
          <w:sz w:val="32"/>
          <w:szCs w:val="32"/>
          <w:highlight w:val="none"/>
        </w:rPr>
        <w:t>社会效益指标：</w:t>
      </w:r>
    </w:p>
    <w:p w14:paraId="3AEDCE0D">
      <w:pPr>
        <w:spacing w:line="560" w:lineRule="exact"/>
        <w:ind w:firstLine="640" w:firstLineChars="20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指标1：提高教育教学水平，指标值</w:t>
      </w:r>
      <w:r>
        <w:rPr>
          <w:rFonts w:hint="eastAsia" w:eastAsia="仿宋_GB2312" w:cs="Times New Roman"/>
          <w:sz w:val="32"/>
          <w:szCs w:val="32"/>
          <w:highlight w:val="none"/>
          <w:lang w:val="en-US" w:eastAsia="zh-CN"/>
        </w:rPr>
        <w:t>有效提高</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完全达到预期</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eastAsia" w:eastAsia="仿宋_GB2312" w:cs="Times New Roman"/>
          <w:sz w:val="32"/>
          <w:szCs w:val="32"/>
          <w:highlight w:val="none"/>
          <w:lang w:val="en-US" w:eastAsia="zh-CN"/>
        </w:rPr>
        <w:t>通过聘用代课教师</w:t>
      </w:r>
      <w:r>
        <w:rPr>
          <w:rFonts w:hint="eastAsia" w:eastAsia="仿宋_GB2312"/>
          <w:sz w:val="32"/>
          <w:szCs w:val="32"/>
        </w:rPr>
        <w:t>提高</w:t>
      </w:r>
      <w:r>
        <w:rPr>
          <w:rFonts w:hint="eastAsia" w:eastAsia="仿宋_GB2312"/>
          <w:sz w:val="32"/>
          <w:szCs w:val="32"/>
          <w:lang w:val="en-US" w:eastAsia="zh-CN"/>
        </w:rPr>
        <w:t>了</w:t>
      </w:r>
      <w:r>
        <w:rPr>
          <w:rFonts w:hint="eastAsia" w:eastAsia="仿宋_GB2312"/>
          <w:sz w:val="32"/>
          <w:szCs w:val="32"/>
        </w:rPr>
        <w:t>学校办学条件，从而促进学校的长远稳定发展，为学生提供</w:t>
      </w:r>
      <w:r>
        <w:rPr>
          <w:rFonts w:hint="eastAsia" w:eastAsia="仿宋_GB2312"/>
          <w:sz w:val="32"/>
          <w:szCs w:val="32"/>
          <w:lang w:val="en-US" w:eastAsia="zh-CN"/>
        </w:rPr>
        <w:t>了</w:t>
      </w:r>
      <w:r>
        <w:rPr>
          <w:rFonts w:hint="eastAsia" w:eastAsia="仿宋_GB2312"/>
          <w:sz w:val="32"/>
          <w:szCs w:val="32"/>
        </w:rPr>
        <w:t>优质教学服务。</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6740FD5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2.满意度</w:t>
      </w:r>
    </w:p>
    <w:p w14:paraId="661E8A14">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指标1：</w:t>
      </w:r>
      <w:r>
        <w:rPr>
          <w:rFonts w:hint="eastAsia" w:eastAsia="仿宋_GB2312" w:cs="Times New Roman"/>
          <w:sz w:val="32"/>
          <w:szCs w:val="32"/>
          <w:highlight w:val="none"/>
          <w:lang w:val="en-US" w:eastAsia="zh-CN"/>
        </w:rPr>
        <w:t>临聘人员满意度</w:t>
      </w:r>
      <w:r>
        <w:rPr>
          <w:rFonts w:hint="default" w:ascii="Times New Roman" w:hAnsi="Times New Roman" w:eastAsia="仿宋_GB2312" w:cs="Times New Roman"/>
          <w:sz w:val="32"/>
          <w:szCs w:val="32"/>
          <w:highlight w:val="none"/>
        </w:rPr>
        <w:t>，指标值</w:t>
      </w:r>
      <w:r>
        <w:rPr>
          <w:rFonts w:hint="eastAsia" w:eastAsia="仿宋_GB2312" w:cs="Times New Roman"/>
          <w:sz w:val="32"/>
          <w:szCs w:val="32"/>
          <w:highlight w:val="none"/>
          <w:lang w:val="en-US" w:eastAsia="zh-CN"/>
        </w:rPr>
        <w:t>&gt;=90%</w:t>
      </w:r>
      <w:r>
        <w:rPr>
          <w:rFonts w:hint="default" w:ascii="Times New Roman" w:hAnsi="Times New Roman" w:eastAsia="仿宋_GB2312" w:cs="Times New Roman"/>
          <w:sz w:val="32"/>
          <w:szCs w:val="32"/>
          <w:highlight w:val="none"/>
        </w:rPr>
        <w:t>，实际完成值：</w:t>
      </w:r>
      <w:r>
        <w:rPr>
          <w:rFonts w:hint="eastAsia"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rPr>
        <w:t>，指标完成率</w:t>
      </w:r>
      <w:r>
        <w:rPr>
          <w:rFonts w:hint="eastAsia"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，偏差原因：</w:t>
      </w:r>
      <w:r>
        <w:rPr>
          <w:rFonts w:hint="eastAsia" w:eastAsia="仿宋_GB2312" w:cs="Times New Roman"/>
          <w:sz w:val="32"/>
          <w:szCs w:val="32"/>
          <w:highlight w:val="none"/>
          <w:lang w:val="en-US" w:eastAsia="zh-CN"/>
        </w:rPr>
        <w:t>无</w:t>
      </w:r>
      <w:r>
        <w:rPr>
          <w:rFonts w:hint="default" w:ascii="Times New Roman" w:hAnsi="Times New Roman" w:eastAsia="仿宋_GB2312" w:cs="Times New Roman"/>
          <w:sz w:val="32"/>
          <w:szCs w:val="32"/>
          <w:highlight w:val="none"/>
          <w:lang w:eastAsia="zh-CN"/>
        </w:rPr>
        <w:t>。</w:t>
      </w:r>
    </w:p>
    <w:p w14:paraId="3D4D3249">
      <w:pPr>
        <w:spacing w:line="560" w:lineRule="exact"/>
        <w:ind w:firstLine="643" w:firstLineChars="200"/>
        <w:rPr>
          <w:rFonts w:hint="default" w:ascii="Times New Roman" w:hAnsi="Times New Roman" w:eastAsia="楷体_GB2312" w:cs="Times New Roman"/>
          <w:b/>
          <w:bCs/>
          <w:sz w:val="32"/>
          <w:szCs w:val="32"/>
          <w:lang w:val="en-US" w:eastAsia="zh-Hans"/>
        </w:rPr>
      </w:pPr>
      <w:r>
        <w:rPr>
          <w:rFonts w:hint="default" w:ascii="Times New Roman" w:hAnsi="Times New Roman" w:eastAsia="楷体_GB2312" w:cs="Times New Roman"/>
          <w:b/>
          <w:bCs/>
          <w:sz w:val="32"/>
          <w:szCs w:val="32"/>
          <w:lang w:val="en-US" w:eastAsia="zh-CN"/>
        </w:rPr>
        <w:t>（五）</w:t>
      </w:r>
      <w:r>
        <w:rPr>
          <w:rFonts w:hint="default" w:ascii="Times New Roman" w:hAnsi="Times New Roman" w:eastAsia="楷体_GB2312" w:cs="Times New Roman"/>
          <w:b/>
          <w:bCs/>
          <w:sz w:val="32"/>
          <w:szCs w:val="32"/>
          <w:lang w:val="en-US" w:eastAsia="zh-Hans"/>
        </w:rPr>
        <w:t>预算执行进度与绩效指标总体完成率偏差</w:t>
      </w:r>
    </w:p>
    <w:p w14:paraId="56F5427A">
      <w:pPr>
        <w:pStyle w:val="19"/>
        <w:spacing w:line="560" w:lineRule="exact"/>
        <w:ind w:firstLine="64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val="en-US" w:eastAsia="zh-CN"/>
        </w:rPr>
        <w:t>临聘教师补助</w:t>
      </w:r>
      <w:r>
        <w:rPr>
          <w:rFonts w:hint="eastAsia" w:ascii="仿宋_GB2312" w:hAnsi="仿宋_GB2312" w:eastAsia="仿宋_GB2312" w:cs="仿宋_GB2312"/>
          <w:b w:val="0"/>
          <w:bCs w:val="0"/>
          <w:sz w:val="32"/>
          <w:szCs w:val="32"/>
          <w:highlight w:val="none"/>
        </w:rPr>
        <w:t>项目年初预算</w:t>
      </w:r>
      <w:r>
        <w:rPr>
          <w:rFonts w:hint="eastAsia" w:ascii="仿宋_GB2312" w:hAnsi="仿宋_GB2312" w:eastAsia="仿宋_GB2312" w:cs="仿宋_GB2312"/>
          <w:b w:val="0"/>
          <w:bCs w:val="0"/>
          <w:sz w:val="32"/>
          <w:szCs w:val="32"/>
          <w:highlight w:val="none"/>
          <w:lang w:val="en-US" w:eastAsia="zh-CN"/>
        </w:rPr>
        <w:t>110.36</w:t>
      </w:r>
      <w:r>
        <w:rPr>
          <w:rFonts w:hint="eastAsia" w:ascii="仿宋_GB2312" w:hAnsi="仿宋_GB2312" w:eastAsia="仿宋_GB2312" w:cs="仿宋_GB2312"/>
          <w:b w:val="0"/>
          <w:bCs w:val="0"/>
          <w:sz w:val="32"/>
          <w:szCs w:val="32"/>
          <w:highlight w:val="none"/>
        </w:rPr>
        <w:t>万元，全年预算</w:t>
      </w:r>
      <w:r>
        <w:rPr>
          <w:rFonts w:hint="eastAsia" w:ascii="仿宋_GB2312" w:hAnsi="仿宋_GB2312" w:eastAsia="仿宋_GB2312" w:cs="仿宋_GB2312"/>
          <w:b w:val="0"/>
          <w:bCs w:val="0"/>
          <w:sz w:val="32"/>
          <w:szCs w:val="32"/>
          <w:highlight w:val="none"/>
          <w:lang w:val="en-US" w:eastAsia="zh-CN"/>
        </w:rPr>
        <w:t>103.07</w:t>
      </w:r>
      <w:r>
        <w:rPr>
          <w:rFonts w:hint="eastAsia" w:ascii="仿宋_GB2312" w:hAnsi="仿宋_GB2312" w:eastAsia="仿宋_GB2312" w:cs="仿宋_GB2312"/>
          <w:b w:val="0"/>
          <w:bCs w:val="0"/>
          <w:sz w:val="32"/>
          <w:szCs w:val="32"/>
          <w:highlight w:val="none"/>
        </w:rPr>
        <w:t>万元，实际支出</w:t>
      </w:r>
      <w:r>
        <w:rPr>
          <w:rFonts w:hint="eastAsia" w:ascii="仿宋_GB2312" w:hAnsi="仿宋_GB2312" w:eastAsia="仿宋_GB2312" w:cs="仿宋_GB2312"/>
          <w:b w:val="0"/>
          <w:bCs w:val="0"/>
          <w:sz w:val="32"/>
          <w:szCs w:val="32"/>
          <w:highlight w:val="none"/>
          <w:lang w:val="en-US" w:eastAsia="zh-CN"/>
        </w:rPr>
        <w:t>103.07</w:t>
      </w:r>
      <w:r>
        <w:rPr>
          <w:rFonts w:hint="eastAsia" w:ascii="仿宋_GB2312" w:hAnsi="仿宋_GB2312" w:eastAsia="仿宋_GB2312" w:cs="仿宋_GB2312"/>
          <w:b w:val="0"/>
          <w:bCs w:val="0"/>
          <w:sz w:val="32"/>
          <w:szCs w:val="32"/>
          <w:highlight w:val="none"/>
        </w:rPr>
        <w:t>万元，预算执行率为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%，项目绩效指标总体完成率为</w:t>
      </w:r>
      <w:r>
        <w:rPr>
          <w:rFonts w:hint="eastAsia" w:ascii="仿宋_GB2312" w:hAnsi="仿宋_GB2312" w:eastAsia="仿宋_GB2312" w:cs="仿宋_GB2312"/>
          <w:b w:val="0"/>
          <w:bCs w:val="0"/>
          <w:sz w:val="32"/>
          <w:szCs w:val="32"/>
          <w:highlight w:val="none"/>
          <w:lang w:val="en-US" w:eastAsia="zh-CN"/>
        </w:rPr>
        <w:t>100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总体</w:t>
      </w:r>
      <w:r>
        <w:rPr>
          <w:rFonts w:hint="eastAsia" w:ascii="仿宋_GB2312" w:hAnsi="仿宋_GB2312" w:eastAsia="仿宋_GB2312" w:cs="仿宋_GB2312"/>
          <w:b w:val="0"/>
          <w:bCs w:val="0"/>
          <w:sz w:val="32"/>
          <w:szCs w:val="32"/>
          <w:highlight w:val="none"/>
        </w:rPr>
        <w:t>偏差率为</w:t>
      </w:r>
      <w:r>
        <w:rPr>
          <w:rFonts w:hint="eastAsia" w:ascii="仿宋_GB2312" w:hAnsi="仿宋_GB2312" w:eastAsia="仿宋_GB2312" w:cs="仿宋_GB2312"/>
          <w:b w:val="0"/>
          <w:bCs w:val="0"/>
          <w:sz w:val="32"/>
          <w:szCs w:val="32"/>
          <w:highlight w:val="none"/>
          <w:lang w:val="en-US" w:eastAsia="zh-CN"/>
        </w:rPr>
        <w:t>0</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eastAsia="zh-Hans"/>
        </w:rPr>
        <w:t>偏差</w:t>
      </w:r>
      <w:r>
        <w:rPr>
          <w:rFonts w:hint="eastAsia" w:ascii="仿宋_GB2312" w:hAnsi="仿宋_GB2312" w:eastAsia="仿宋_GB2312" w:cs="仿宋_GB2312"/>
          <w:b w:val="0"/>
          <w:bCs w:val="0"/>
          <w:sz w:val="32"/>
          <w:szCs w:val="32"/>
          <w:highlight w:val="none"/>
        </w:rPr>
        <w:t>原因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r>
        <w:rPr>
          <w:rFonts w:hint="eastAsia" w:ascii="仿宋_GB2312" w:hAnsi="仿宋_GB2312" w:eastAsia="仿宋_GB2312" w:cs="仿宋_GB2312"/>
          <w:b w:val="0"/>
          <w:bCs w:val="0"/>
          <w:sz w:val="32"/>
          <w:szCs w:val="32"/>
          <w:highlight w:val="none"/>
          <w:lang w:eastAsia="zh-Hans"/>
        </w:rPr>
        <w:t>改进</w:t>
      </w:r>
      <w:r>
        <w:rPr>
          <w:rFonts w:hint="eastAsia" w:ascii="仿宋_GB2312" w:hAnsi="仿宋_GB2312" w:eastAsia="仿宋_GB2312" w:cs="仿宋_GB2312"/>
          <w:b w:val="0"/>
          <w:bCs w:val="0"/>
          <w:sz w:val="32"/>
          <w:szCs w:val="32"/>
          <w:highlight w:val="none"/>
        </w:rPr>
        <w:t>措施</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无</w:t>
      </w:r>
      <w:r>
        <w:rPr>
          <w:rFonts w:hint="eastAsia" w:ascii="仿宋_GB2312" w:hAnsi="仿宋_GB2312" w:eastAsia="仿宋_GB2312" w:cs="仿宋_GB2312"/>
          <w:b w:val="0"/>
          <w:bCs w:val="0"/>
          <w:sz w:val="32"/>
          <w:szCs w:val="32"/>
          <w:highlight w:val="none"/>
        </w:rPr>
        <w:t>。</w:t>
      </w:r>
    </w:p>
    <w:p w14:paraId="28A1BEEC">
      <w:pPr>
        <w:spacing w:line="560" w:lineRule="exact"/>
        <w:ind w:firstLine="640" w:firstLineChars="200"/>
        <w:rPr>
          <w:rStyle w:val="18"/>
          <w:rFonts w:hint="default" w:ascii="Times New Roman" w:hAnsi="Times New Roman" w:cs="Times New Roman"/>
          <w:color w:val="auto"/>
        </w:rPr>
      </w:pPr>
      <w:r>
        <w:rPr>
          <w:rFonts w:hint="eastAsia" w:eastAsia="黑体" w:cs="Times New Roman"/>
          <w:sz w:val="32"/>
          <w:szCs w:val="32"/>
          <w:lang w:val="en-US" w:eastAsia="zh-CN"/>
        </w:rPr>
        <w:t>五</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主要经验及做法、存在的问题及原因分析</w:t>
      </w:r>
    </w:p>
    <w:p w14:paraId="629ECC25">
      <w:pPr>
        <w:spacing w:line="560" w:lineRule="exact"/>
        <w:ind w:firstLine="627" w:firstLineChars="200"/>
        <w:rPr>
          <w:rFonts w:hint="default" w:ascii="Times New Roman" w:hAnsi="Times New Roman" w:eastAsia="楷体" w:cs="Times New Roman"/>
          <w:b/>
          <w:spacing w:val="-4"/>
          <w:sz w:val="32"/>
          <w:szCs w:val="32"/>
        </w:rPr>
      </w:pPr>
      <w:r>
        <w:rPr>
          <w:rFonts w:hint="default" w:ascii="Times New Roman" w:hAnsi="Times New Roman" w:eastAsia="楷体" w:cs="Times New Roman"/>
          <w:b/>
          <w:spacing w:val="-4"/>
          <w:sz w:val="32"/>
          <w:szCs w:val="32"/>
        </w:rPr>
        <w:t>（一）主要经验及做法</w:t>
      </w:r>
    </w:p>
    <w:p w14:paraId="6C423041">
      <w:pPr>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确保项目顺利进行，提前做好项目规划，将所列计划再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494A8A2D">
      <w:pPr>
        <w:keepNext/>
        <w:keepLines/>
        <w:numPr>
          <w:ilvl w:val="0"/>
          <w:numId w:val="6"/>
        </w:numPr>
        <w:spacing w:line="560" w:lineRule="exact"/>
        <w:ind w:firstLine="643" w:firstLineChars="200"/>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存在的问题及原因分析</w:t>
      </w:r>
    </w:p>
    <w:p w14:paraId="306D5167">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65E72EF2">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2.因轮岗、调动</w:t>
      </w:r>
      <w:r>
        <w:rPr>
          <w:rFonts w:hint="eastAsia"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lang w:val="en-US" w:eastAsia="zh-CN"/>
        </w:rPr>
        <w:t>因素使我单位绩效工作人员流动频繁，</w:t>
      </w:r>
      <w:r>
        <w:rPr>
          <w:rFonts w:hint="eastAsia" w:ascii="Times New Roman" w:hAnsi="Times New Roman" w:eastAsia="仿宋_GB2312" w:cs="Times New Roman"/>
          <w:sz w:val="32"/>
          <w:szCs w:val="32"/>
          <w:highlight w:val="none"/>
          <w:lang w:val="en-US" w:eastAsia="zh-CN"/>
        </w:rPr>
        <w:t>造成</w:t>
      </w:r>
      <w:r>
        <w:rPr>
          <w:rFonts w:hint="default" w:ascii="Times New Roman" w:hAnsi="Times New Roman" w:eastAsia="仿宋_GB2312" w:cs="Times New Roman"/>
          <w:sz w:val="32"/>
          <w:szCs w:val="32"/>
          <w:highlight w:val="none"/>
          <w:lang w:val="en-US" w:eastAsia="zh-CN"/>
        </w:rPr>
        <w:t>工作衔接不到位的情况。</w:t>
      </w:r>
    </w:p>
    <w:p w14:paraId="4377F1E3">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六</w:t>
      </w:r>
      <w:r>
        <w:rPr>
          <w:rFonts w:hint="default" w:ascii="Times New Roman" w:hAnsi="Times New Roman" w:eastAsia="黑体" w:cs="Times New Roman"/>
          <w:sz w:val="32"/>
          <w:szCs w:val="32"/>
          <w:lang w:val="en-US" w:eastAsia="zh-CN"/>
        </w:rPr>
        <w:t>.</w:t>
      </w:r>
      <w:r>
        <w:rPr>
          <w:rFonts w:hint="default" w:ascii="Times New Roman" w:hAnsi="Times New Roman" w:eastAsia="黑体" w:cs="Times New Roman"/>
          <w:sz w:val="32"/>
          <w:szCs w:val="32"/>
        </w:rPr>
        <w:t>有关建议</w:t>
      </w:r>
    </w:p>
    <w:p w14:paraId="758C50C0">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1.多进行有关绩效管理工作方面的培训。积极组织第三方开展绩效管理工作培训，进一步夯实业务基础，提高我单位绩效人员水平。</w:t>
      </w:r>
    </w:p>
    <w:p w14:paraId="1DA3826B">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2.专门设定对绩效工作人员定职、定岗、定责等相关制度措施，进一步提升我单位绩效管理工作业务水平，扎实做好绩效管理工作。</w:t>
      </w:r>
    </w:p>
    <w:p w14:paraId="5DB19B4F">
      <w:pPr>
        <w:spacing w:line="560" w:lineRule="exact"/>
        <w:ind w:firstLine="640" w:firstLineChars="200"/>
        <w:rPr>
          <w:rFonts w:hint="default" w:ascii="Times New Roman" w:hAnsi="Times New Roman" w:eastAsia="黑体" w:cs="Times New Roman"/>
          <w:sz w:val="32"/>
          <w:szCs w:val="32"/>
        </w:rPr>
      </w:pPr>
      <w:r>
        <w:rPr>
          <w:rFonts w:hint="eastAsia" w:eastAsia="黑体" w:cs="Times New Roman"/>
          <w:sz w:val="32"/>
          <w:szCs w:val="32"/>
          <w:lang w:val="en-US" w:eastAsia="zh-CN"/>
        </w:rPr>
        <w:t>七</w:t>
      </w:r>
      <w:r>
        <w:rPr>
          <w:rFonts w:hint="default" w:ascii="Times New Roman" w:hAnsi="Times New Roman" w:eastAsia="仿宋_GB2312" w:cs="Times New Roman"/>
          <w:b/>
          <w:bCs/>
          <w:sz w:val="32"/>
          <w:szCs w:val="32"/>
          <w:lang w:val="en-US" w:eastAsia="zh-CN"/>
        </w:rPr>
        <w:t>.</w:t>
      </w:r>
      <w:r>
        <w:rPr>
          <w:rFonts w:hint="default" w:ascii="Times New Roman" w:hAnsi="Times New Roman" w:eastAsia="黑体" w:cs="Times New Roman"/>
          <w:sz w:val="32"/>
          <w:szCs w:val="32"/>
        </w:rPr>
        <w:t>其他需要说</w:t>
      </w:r>
      <w:bookmarkStart w:id="0" w:name="page8"/>
      <w:bookmarkEnd w:id="0"/>
      <w:r>
        <w:rPr>
          <w:rFonts w:hint="default" w:ascii="Times New Roman" w:hAnsi="Times New Roman" w:eastAsia="黑体" w:cs="Times New Roman"/>
          <w:sz w:val="32"/>
          <w:szCs w:val="32"/>
        </w:rPr>
        <w:t>明的问题</w:t>
      </w:r>
    </w:p>
    <w:p w14:paraId="0B679EAC">
      <w:pPr>
        <w:shd w:val="clear"/>
        <w:spacing w:line="600" w:lineRule="exact"/>
        <w:ind w:firstLine="640" w:firstLineChars="200"/>
        <w:outlineLvl w:val="0"/>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项目支出符合相关政策，路径设计科学，符合实际需要；</w:t>
      </w:r>
    </w:p>
    <w:p w14:paraId="744E4AE5">
      <w:pPr>
        <w:shd w:val="clear"/>
        <w:spacing w:line="600" w:lineRule="exact"/>
        <w:ind w:firstLine="640" w:firstLineChars="200"/>
        <w:outlineLvl w:val="0"/>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sz w:val="32"/>
          <w:szCs w:val="32"/>
          <w:highlight w:val="none"/>
          <w:lang w:val="en-US" w:eastAsia="zh-CN"/>
        </w:rPr>
        <w:t>项目安排准确，未发现背离项目立项初衷的情况；</w:t>
      </w:r>
    </w:p>
    <w:p w14:paraId="0901E34F">
      <w:pPr>
        <w:pStyle w:val="13"/>
        <w:spacing w:after="0" w:line="560" w:lineRule="exact"/>
        <w:ind w:left="0" w:leftChars="0" w:firstLine="640"/>
        <w:rPr>
          <w:rFonts w:hint="default" w:ascii="Times New Roman" w:hAnsi="Times New Roman" w:eastAsia="仿宋_GB2312" w:cs="Times New Roman"/>
          <w:sz w:val="32"/>
          <w:szCs w:val="32"/>
        </w:rPr>
      </w:pPr>
    </w:p>
    <w:p w14:paraId="351D7379">
      <w:pPr>
        <w:spacing w:line="600" w:lineRule="exact"/>
        <w:rPr>
          <w:rFonts w:hint="eastAsia" w:ascii="Times New Roman" w:hAnsi="Times New Roman" w:eastAsia="黑体" w:cs="Times New Roman"/>
          <w:sz w:val="32"/>
          <w:szCs w:val="32"/>
          <w:lang w:val="en-US" w:eastAsia="zh-CN"/>
        </w:rPr>
        <w:sectPr>
          <w:footerReference r:id="rId3" w:type="default"/>
          <w:pgSz w:w="11906" w:h="16838"/>
          <w:pgMar w:top="1440" w:right="1558" w:bottom="1440" w:left="1800" w:header="851" w:footer="992" w:gutter="0"/>
          <w:pgNumType w:start="1"/>
          <w:cols w:space="425" w:num="1"/>
          <w:docGrid w:type="lines" w:linePitch="312" w:charSpace="0"/>
        </w:sectPr>
      </w:pPr>
    </w:p>
    <w:p w14:paraId="0BDA8EF6">
      <w:pPr>
        <w:spacing w:line="600" w:lineRule="exact"/>
        <w:rPr>
          <w:rFonts w:hint="eastAsia"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r>
        <w:rPr>
          <w:rFonts w:hint="eastAsia" w:eastAsia="黑体" w:cs="Times New Roman"/>
          <w:sz w:val="32"/>
          <w:szCs w:val="32"/>
          <w:lang w:val="en-US" w:eastAsia="zh-CN"/>
        </w:rPr>
        <w:t>1</w:t>
      </w:r>
    </w:p>
    <w:p w14:paraId="06E03E17">
      <w:pPr>
        <w:pStyle w:val="19"/>
        <w:ind w:firstLine="562"/>
        <w:jc w:val="center"/>
        <w:rPr>
          <w:rFonts w:hint="eastAsia" w:ascii="仿宋_GB2312" w:hAnsi="仿宋_GB2312" w:eastAsia="仿宋_GB2312" w:cs="仿宋_GB2312"/>
          <w:sz w:val="28"/>
          <w:szCs w:val="40"/>
        </w:rPr>
      </w:pPr>
      <w:bookmarkStart w:id="1" w:name="_Toc30064_WPSOffice_Level1"/>
      <w:bookmarkStart w:id="2" w:name="_Toc26499_WPSOffice_Level2"/>
      <w:r>
        <w:rPr>
          <w:rFonts w:hint="eastAsia" w:ascii="仿宋_GB2312" w:hAnsi="仿宋_GB2312" w:eastAsia="仿宋_GB2312" w:cs="仿宋_GB2312"/>
          <w:b/>
          <w:bCs/>
          <w:sz w:val="28"/>
          <w:szCs w:val="40"/>
          <w:highlight w:val="none"/>
          <w:lang w:val="en-US" w:eastAsia="zh-CN"/>
        </w:rPr>
        <w:t>临聘教师</w:t>
      </w:r>
      <w:r>
        <w:rPr>
          <w:rFonts w:hint="eastAsia" w:ascii="仿宋_GB2312" w:hAnsi="仿宋_GB2312" w:eastAsia="仿宋_GB2312" w:cs="仿宋_GB2312"/>
          <w:b/>
          <w:bCs/>
          <w:sz w:val="28"/>
          <w:szCs w:val="40"/>
          <w:highlight w:val="none"/>
        </w:rPr>
        <w:t>项目绩</w:t>
      </w:r>
      <w:r>
        <w:rPr>
          <w:rFonts w:hint="eastAsia" w:ascii="仿宋_GB2312" w:hAnsi="仿宋_GB2312" w:eastAsia="仿宋_GB2312" w:cs="仿宋_GB2312"/>
          <w:b/>
          <w:bCs/>
          <w:sz w:val="28"/>
          <w:szCs w:val="40"/>
        </w:rPr>
        <w:t>效评价指标体系</w:t>
      </w:r>
      <w:bookmarkEnd w:id="1"/>
      <w:bookmarkEnd w:id="2"/>
    </w:p>
    <w:tbl>
      <w:tblPr>
        <w:tblStyle w:val="14"/>
        <w:tblW w:w="12683"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004"/>
        <w:gridCol w:w="1000"/>
        <w:gridCol w:w="1071"/>
        <w:gridCol w:w="1726"/>
        <w:gridCol w:w="5216"/>
        <w:gridCol w:w="1300"/>
        <w:gridCol w:w="1366"/>
      </w:tblGrid>
      <w:tr w14:paraId="735EAE0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2" w:hRule="atLeast"/>
          <w:tblHeader/>
          <w:jc w:val="center"/>
        </w:trPr>
        <w:tc>
          <w:tcPr>
            <w:tcW w:w="1004" w:type="dxa"/>
            <w:shd w:val="clear" w:color="auto" w:fill="FFFFFF"/>
            <w:vAlign w:val="center"/>
          </w:tcPr>
          <w:p w14:paraId="5659564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一级指标</w:t>
            </w:r>
          </w:p>
        </w:tc>
        <w:tc>
          <w:tcPr>
            <w:tcW w:w="1000" w:type="dxa"/>
            <w:shd w:val="clear" w:color="auto" w:fill="FFFFFF"/>
            <w:vAlign w:val="center"/>
          </w:tcPr>
          <w:p w14:paraId="15D63F4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二级指标</w:t>
            </w:r>
          </w:p>
        </w:tc>
        <w:tc>
          <w:tcPr>
            <w:tcW w:w="1071" w:type="dxa"/>
            <w:shd w:val="clear" w:color="auto" w:fill="FFFFFF"/>
            <w:vAlign w:val="center"/>
          </w:tcPr>
          <w:p w14:paraId="228CD63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三级指标</w:t>
            </w:r>
          </w:p>
        </w:tc>
        <w:tc>
          <w:tcPr>
            <w:tcW w:w="1726" w:type="dxa"/>
            <w:shd w:val="clear" w:color="auto" w:fill="FFFFFF"/>
            <w:vAlign w:val="center"/>
          </w:tcPr>
          <w:p w14:paraId="5B8B4CAE">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指标解释</w:t>
            </w:r>
          </w:p>
        </w:tc>
        <w:tc>
          <w:tcPr>
            <w:tcW w:w="5216" w:type="dxa"/>
            <w:shd w:val="clear" w:color="auto" w:fill="FFFFFF"/>
            <w:vAlign w:val="center"/>
          </w:tcPr>
          <w:p w14:paraId="30D51F5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指标说明</w:t>
            </w:r>
          </w:p>
        </w:tc>
        <w:tc>
          <w:tcPr>
            <w:tcW w:w="1300" w:type="dxa"/>
            <w:shd w:val="clear" w:color="auto" w:fill="FFFFFF"/>
            <w:vAlign w:val="center"/>
          </w:tcPr>
          <w:p w14:paraId="0C1E1026">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权重</w:t>
            </w:r>
          </w:p>
        </w:tc>
        <w:tc>
          <w:tcPr>
            <w:tcW w:w="1366" w:type="dxa"/>
            <w:shd w:val="clear" w:color="auto" w:fill="FFFFFF"/>
            <w:vAlign w:val="center"/>
          </w:tcPr>
          <w:p w14:paraId="5719E66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得分</w:t>
            </w:r>
          </w:p>
        </w:tc>
      </w:tr>
      <w:tr w14:paraId="583C62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19" w:hRule="atLeast"/>
          <w:jc w:val="center"/>
        </w:trPr>
        <w:tc>
          <w:tcPr>
            <w:tcW w:w="1004" w:type="dxa"/>
            <w:vMerge w:val="restart"/>
            <w:shd w:val="clear" w:color="auto" w:fill="FFFFFF"/>
            <w:vAlign w:val="center"/>
          </w:tcPr>
          <w:p w14:paraId="6A65ED2E">
            <w:pPr>
              <w:widowControl/>
              <w:spacing w:line="0" w:lineRule="atLeast"/>
              <w:jc w:val="center"/>
              <w:rPr>
                <w:rFonts w:hint="default" w:ascii="Times New Roman" w:hAnsi="Times New Roman" w:eastAsia="仿宋_GB2312" w:cs="Times New Roman"/>
                <w:color w:val="000000"/>
                <w:kern w:val="0"/>
                <w:sz w:val="18"/>
                <w:szCs w:val="18"/>
              </w:rPr>
            </w:pPr>
          </w:p>
          <w:p w14:paraId="4874FA0D">
            <w:pPr>
              <w:widowControl/>
              <w:spacing w:line="0" w:lineRule="atLeast"/>
              <w:jc w:val="center"/>
              <w:rPr>
                <w:rFonts w:hint="default" w:ascii="Times New Roman" w:hAnsi="Times New Roman" w:eastAsia="仿宋_GB2312" w:cs="Times New Roman"/>
                <w:color w:val="000000"/>
                <w:kern w:val="0"/>
                <w:sz w:val="18"/>
                <w:szCs w:val="18"/>
              </w:rPr>
            </w:pPr>
          </w:p>
          <w:p w14:paraId="5D7DAA10">
            <w:pPr>
              <w:widowControl/>
              <w:spacing w:line="0" w:lineRule="atLeast"/>
              <w:jc w:val="center"/>
              <w:rPr>
                <w:rFonts w:hint="default" w:ascii="Times New Roman" w:hAnsi="Times New Roman" w:eastAsia="仿宋_GB2312" w:cs="Times New Roman"/>
                <w:color w:val="000000"/>
                <w:kern w:val="0"/>
                <w:sz w:val="18"/>
                <w:szCs w:val="18"/>
              </w:rPr>
            </w:pPr>
          </w:p>
          <w:p w14:paraId="34225415">
            <w:pPr>
              <w:widowControl/>
              <w:spacing w:line="0" w:lineRule="atLeast"/>
              <w:jc w:val="center"/>
              <w:rPr>
                <w:rFonts w:hint="default" w:ascii="Times New Roman" w:hAnsi="Times New Roman" w:eastAsia="仿宋_GB2312" w:cs="Times New Roman"/>
                <w:color w:val="000000"/>
                <w:kern w:val="0"/>
                <w:sz w:val="18"/>
                <w:szCs w:val="18"/>
              </w:rPr>
            </w:pPr>
          </w:p>
          <w:p w14:paraId="788EB691">
            <w:pPr>
              <w:widowControl/>
              <w:spacing w:line="0" w:lineRule="atLeast"/>
              <w:jc w:val="center"/>
              <w:rPr>
                <w:rFonts w:hint="default" w:ascii="Times New Roman" w:hAnsi="Times New Roman" w:eastAsia="仿宋_GB2312" w:cs="Times New Roman"/>
                <w:color w:val="000000"/>
                <w:kern w:val="0"/>
                <w:sz w:val="18"/>
                <w:szCs w:val="18"/>
              </w:rPr>
            </w:pPr>
          </w:p>
          <w:p w14:paraId="7BC90EA0">
            <w:pPr>
              <w:widowControl/>
              <w:spacing w:line="0" w:lineRule="atLeast"/>
              <w:jc w:val="center"/>
              <w:rPr>
                <w:rFonts w:hint="default" w:ascii="Times New Roman" w:hAnsi="Times New Roman" w:eastAsia="仿宋_GB2312" w:cs="Times New Roman"/>
                <w:color w:val="000000"/>
                <w:kern w:val="0"/>
                <w:sz w:val="18"/>
                <w:szCs w:val="18"/>
              </w:rPr>
            </w:pPr>
          </w:p>
          <w:p w14:paraId="7D7062A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决策　</w:t>
            </w:r>
          </w:p>
        </w:tc>
        <w:tc>
          <w:tcPr>
            <w:tcW w:w="1000" w:type="dxa"/>
            <w:vMerge w:val="restart"/>
            <w:shd w:val="clear" w:color="auto" w:fill="FFFFFF"/>
            <w:vAlign w:val="center"/>
          </w:tcPr>
          <w:p w14:paraId="1B80C170">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　</w:t>
            </w:r>
          </w:p>
        </w:tc>
        <w:tc>
          <w:tcPr>
            <w:tcW w:w="1071" w:type="dxa"/>
            <w:shd w:val="clear" w:color="auto" w:fill="FFFFFF"/>
            <w:vAlign w:val="center"/>
          </w:tcPr>
          <w:p w14:paraId="0ED2661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立项依据</w:t>
            </w:r>
          </w:p>
          <w:p w14:paraId="3A9194B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充分性</w:t>
            </w:r>
          </w:p>
        </w:tc>
        <w:tc>
          <w:tcPr>
            <w:tcW w:w="1726" w:type="dxa"/>
            <w:shd w:val="clear" w:color="auto" w:fill="FFFFFF"/>
            <w:vAlign w:val="center"/>
          </w:tcPr>
          <w:p w14:paraId="2FBF242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项目立项是否符合法律法规、相关政策、发展规划以及部门职责，用以反映和考核项目立项依据情况。</w:t>
            </w:r>
          </w:p>
        </w:tc>
        <w:tc>
          <w:tcPr>
            <w:tcW w:w="5216" w:type="dxa"/>
            <w:shd w:val="clear" w:color="auto" w:fill="FFFFFF"/>
            <w:vAlign w:val="center"/>
          </w:tcPr>
          <w:p w14:paraId="76BBAD50">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041E5713">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①项目立项是否符合国家法律法规、国民经济发展规划和相关政策；</w:t>
            </w:r>
          </w:p>
          <w:p w14:paraId="036F9660">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②项目立项是否符合行业发展规划和政策要求；</w:t>
            </w:r>
          </w:p>
          <w:p w14:paraId="3D2A916B">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③项目立项是否与部门职责范围相符，属于部门履职所需；</w:t>
            </w:r>
          </w:p>
          <w:p w14:paraId="5F25A256">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④项目是否属于公共财政支持范围，是否符合中央、地方事权支出责任划分原则；</w:t>
            </w:r>
          </w:p>
          <w:p w14:paraId="36BCE8CE">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⑤项目是否与相关部门同类项目或部门内部相关项目重复。</w:t>
            </w:r>
          </w:p>
        </w:tc>
        <w:tc>
          <w:tcPr>
            <w:tcW w:w="1300" w:type="dxa"/>
            <w:shd w:val="clear" w:color="auto" w:fill="FFFFFF"/>
            <w:vAlign w:val="center"/>
          </w:tcPr>
          <w:p w14:paraId="1DA5510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25B1764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42B9C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60CBA716">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ADF3FF1">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1F1986E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立项程序</w:t>
            </w:r>
          </w:p>
          <w:p w14:paraId="057A4A2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规范性</w:t>
            </w:r>
          </w:p>
        </w:tc>
        <w:tc>
          <w:tcPr>
            <w:tcW w:w="1726" w:type="dxa"/>
            <w:shd w:val="clear" w:color="auto" w:fill="FFFFFF"/>
            <w:vAlign w:val="center"/>
          </w:tcPr>
          <w:p w14:paraId="3025B5A9">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项目申请、设立过程是否符合相关要求，用以反映和考核项目立项的规范情况。</w:t>
            </w:r>
          </w:p>
        </w:tc>
        <w:tc>
          <w:tcPr>
            <w:tcW w:w="5216" w:type="dxa"/>
            <w:shd w:val="clear" w:color="auto" w:fill="FFFFFF"/>
            <w:vAlign w:val="center"/>
          </w:tcPr>
          <w:p w14:paraId="7D4379C5">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10833CC9">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①项目是否按照规定的程序申请设立；</w:t>
            </w:r>
          </w:p>
          <w:p w14:paraId="7137B88A">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②审批文件、材料是否符合相关要求；</w:t>
            </w:r>
          </w:p>
          <w:p w14:paraId="6A5A910F">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③事前是否已经过必要的可行性研究、专家论证、风险评估、绩效评估、集体决策。</w:t>
            </w:r>
          </w:p>
        </w:tc>
        <w:tc>
          <w:tcPr>
            <w:tcW w:w="1300" w:type="dxa"/>
            <w:shd w:val="clear" w:color="auto" w:fill="FFFFFF"/>
            <w:vAlign w:val="center"/>
          </w:tcPr>
          <w:p w14:paraId="7CEFDD6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auto" w:fill="FFFFFF"/>
            <w:vAlign w:val="center"/>
          </w:tcPr>
          <w:p w14:paraId="4DB84589">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512104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90" w:hRule="atLeast"/>
          <w:jc w:val="center"/>
        </w:trPr>
        <w:tc>
          <w:tcPr>
            <w:tcW w:w="1004" w:type="dxa"/>
            <w:vMerge w:val="continue"/>
            <w:shd w:val="clear" w:color="auto" w:fill="FFFFFF"/>
            <w:vAlign w:val="center"/>
          </w:tcPr>
          <w:p w14:paraId="7A59D18C">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2AC4E88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　</w:t>
            </w:r>
          </w:p>
        </w:tc>
        <w:tc>
          <w:tcPr>
            <w:tcW w:w="1071" w:type="dxa"/>
            <w:shd w:val="clear" w:color="auto" w:fill="FFFFFF"/>
            <w:vAlign w:val="center"/>
          </w:tcPr>
          <w:p w14:paraId="4FE4C50D">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绩效目标</w:t>
            </w:r>
          </w:p>
          <w:p w14:paraId="68457CCA">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000000" w:fill="FFFFFF"/>
            <w:vAlign w:val="center"/>
          </w:tcPr>
          <w:p w14:paraId="141551C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项目所设定的绩效目标是否依据充分，是否符合客观实际，用以反映和考核项目绩效目标与项目实施的相符情况。</w:t>
            </w:r>
          </w:p>
        </w:tc>
        <w:tc>
          <w:tcPr>
            <w:tcW w:w="5216" w:type="dxa"/>
            <w:shd w:val="clear" w:color="000000" w:fill="FFFFFF"/>
            <w:vAlign w:val="center"/>
          </w:tcPr>
          <w:p w14:paraId="30046912">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2E018D6">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（如未设定预算绩效目标，也可考核其他工作任务目标）</w:t>
            </w:r>
          </w:p>
          <w:p w14:paraId="56DC30A8">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①项目是否有绩效目标；</w:t>
            </w:r>
          </w:p>
          <w:p w14:paraId="396D75F2">
            <w:pPr>
              <w:widowControl/>
              <w:spacing w:line="0" w:lineRule="atLeast"/>
              <w:jc w:val="lef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②项目绩效目标与实际工作内容是否具有相关性；</w:t>
            </w:r>
          </w:p>
          <w:p w14:paraId="6D494221">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③项目预期产出效益和效果是否符合正常的业绩水平；</w:t>
            </w:r>
          </w:p>
          <w:p w14:paraId="1109378B">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④是否与预算确定的项目投资额或资金量相匹配。</w:t>
            </w:r>
          </w:p>
        </w:tc>
        <w:tc>
          <w:tcPr>
            <w:tcW w:w="1300" w:type="dxa"/>
            <w:shd w:val="clear" w:color="000000" w:fill="FFFFFF"/>
            <w:vAlign w:val="center"/>
          </w:tcPr>
          <w:p w14:paraId="005068D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3A95BA73">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1409E7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1004" w:type="dxa"/>
            <w:vMerge w:val="continue"/>
            <w:shd w:val="clear" w:color="auto" w:fill="FFFFFF"/>
            <w:vAlign w:val="center"/>
          </w:tcPr>
          <w:p w14:paraId="35A75ECC">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08840F7B">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6DA97018">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绩效指标</w:t>
            </w:r>
          </w:p>
          <w:p w14:paraId="69375BF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明确性</w:t>
            </w:r>
          </w:p>
        </w:tc>
        <w:tc>
          <w:tcPr>
            <w:tcW w:w="1726" w:type="dxa"/>
            <w:shd w:val="clear" w:color="000000" w:fill="FFFFFF"/>
            <w:vAlign w:val="center"/>
          </w:tcPr>
          <w:p w14:paraId="2F8E2F5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依据绩效目标设定的绩效指标是否清晰、细化、可衡量等，用以反映和考核项目绩效目标的明细化情况。</w:t>
            </w:r>
          </w:p>
        </w:tc>
        <w:tc>
          <w:tcPr>
            <w:tcW w:w="5216" w:type="dxa"/>
            <w:shd w:val="clear" w:color="000000" w:fill="FFFFFF"/>
            <w:vAlign w:val="center"/>
          </w:tcPr>
          <w:p w14:paraId="56E97A28">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10A323A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①是否将项目绩效目标细化分解为具体的绩效指标；</w:t>
            </w:r>
          </w:p>
          <w:p w14:paraId="1FA5BEAC">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②是否通过清晰、可衡量的指标值予以体现；</w:t>
            </w:r>
          </w:p>
          <w:p w14:paraId="5B817074">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③是否与项目目标任务数或计划数相对应。</w:t>
            </w:r>
          </w:p>
          <w:p w14:paraId="064E1C7A">
            <w:pPr>
              <w:widowControl/>
              <w:spacing w:line="0" w:lineRule="atLeast"/>
              <w:rPr>
                <w:rFonts w:hint="eastAsia" w:ascii="Times New Roman" w:hAnsi="Times New Roman" w:eastAsia="仿宋_GB2312" w:cs="Times New Roman"/>
                <w:color w:val="000000"/>
                <w:kern w:val="0"/>
                <w:sz w:val="18"/>
                <w:szCs w:val="18"/>
                <w:lang w:eastAsia="zh-CN"/>
              </w:rPr>
            </w:pPr>
          </w:p>
        </w:tc>
        <w:tc>
          <w:tcPr>
            <w:tcW w:w="1300" w:type="dxa"/>
            <w:shd w:val="clear" w:color="000000" w:fill="FFFFFF"/>
            <w:vAlign w:val="center"/>
          </w:tcPr>
          <w:p w14:paraId="6C8D56A5">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3</w:t>
            </w:r>
          </w:p>
        </w:tc>
        <w:tc>
          <w:tcPr>
            <w:tcW w:w="1366" w:type="dxa"/>
            <w:shd w:val="clear" w:color="000000" w:fill="FFFFFF"/>
            <w:vAlign w:val="center"/>
          </w:tcPr>
          <w:p w14:paraId="05E31056">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3</w:t>
            </w:r>
          </w:p>
        </w:tc>
      </w:tr>
      <w:tr w14:paraId="2D3CB2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1004" w:type="dxa"/>
            <w:vMerge w:val="continue"/>
            <w:shd w:val="clear" w:color="auto" w:fill="FFFFFF"/>
            <w:vAlign w:val="center"/>
          </w:tcPr>
          <w:p w14:paraId="5D3B3BF7">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539A992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资金投入</w:t>
            </w:r>
          </w:p>
          <w:p w14:paraId="3092CF1B">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38AA3D3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预算编制</w:t>
            </w:r>
          </w:p>
          <w:p w14:paraId="3CE0CDE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科学性</w:t>
            </w:r>
          </w:p>
        </w:tc>
        <w:tc>
          <w:tcPr>
            <w:tcW w:w="1726" w:type="dxa"/>
            <w:shd w:val="clear" w:color="auto" w:fill="FFFFFF"/>
            <w:vAlign w:val="center"/>
          </w:tcPr>
          <w:p w14:paraId="5E3288A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项目预算编制是否经过科学论证、有明确标准，资金额度与年度目标是否相适应，用以反映和考核项目预算编制的科学性、合理性情况。</w:t>
            </w:r>
          </w:p>
        </w:tc>
        <w:tc>
          <w:tcPr>
            <w:tcW w:w="5216" w:type="dxa"/>
            <w:shd w:val="clear" w:color="auto" w:fill="FFFFFF"/>
            <w:vAlign w:val="center"/>
          </w:tcPr>
          <w:p w14:paraId="2403B51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6AACAB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①预算编制是否经过科学论证；</w:t>
            </w:r>
          </w:p>
          <w:p w14:paraId="4717C55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②预算内容与项目内容是否匹配；</w:t>
            </w:r>
          </w:p>
          <w:p w14:paraId="17F07E83">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③预算额度测算依据是否充分，是否按照标准编制；</w:t>
            </w:r>
          </w:p>
          <w:p w14:paraId="402A81E1">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④预算确定的项目投资额或资金量是否与工作任务相匹配。</w:t>
            </w:r>
          </w:p>
        </w:tc>
        <w:tc>
          <w:tcPr>
            <w:tcW w:w="1300" w:type="dxa"/>
            <w:shd w:val="clear" w:color="auto" w:fill="FFFFFF"/>
            <w:vAlign w:val="center"/>
          </w:tcPr>
          <w:p w14:paraId="56E1B1C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18AD8061">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4E058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1004" w:type="dxa"/>
            <w:vMerge w:val="continue"/>
            <w:shd w:val="clear" w:color="auto" w:fill="FFFFFF"/>
            <w:vAlign w:val="center"/>
          </w:tcPr>
          <w:p w14:paraId="247F722F">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3111805">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65CFD50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资金分配</w:t>
            </w:r>
          </w:p>
          <w:p w14:paraId="404095C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合理性</w:t>
            </w:r>
          </w:p>
        </w:tc>
        <w:tc>
          <w:tcPr>
            <w:tcW w:w="1726" w:type="dxa"/>
            <w:shd w:val="clear" w:color="auto" w:fill="FFFFFF"/>
            <w:vAlign w:val="center"/>
          </w:tcPr>
          <w:p w14:paraId="638DB80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项目预算资金分配是否有测算依据，与补助单位或地方实际是否相适应，用以反映和考核项目预算资金分配的科学性、合理性情况。</w:t>
            </w:r>
          </w:p>
        </w:tc>
        <w:tc>
          <w:tcPr>
            <w:tcW w:w="5216" w:type="dxa"/>
            <w:shd w:val="clear" w:color="auto" w:fill="FFFFFF"/>
            <w:vAlign w:val="center"/>
          </w:tcPr>
          <w:p w14:paraId="7424B9D9">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605A47DB">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①预算资金分配依据是否充分；</w:t>
            </w:r>
          </w:p>
          <w:p w14:paraId="1ECC5AD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②资金分配额度是否合理，与项目单位或地方实际是否相适应。</w:t>
            </w:r>
          </w:p>
        </w:tc>
        <w:tc>
          <w:tcPr>
            <w:tcW w:w="1300" w:type="dxa"/>
            <w:shd w:val="clear" w:color="auto" w:fill="FFFFFF"/>
            <w:vAlign w:val="center"/>
          </w:tcPr>
          <w:p w14:paraId="4701345C">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5D36CB1D">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7D50F6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1004" w:type="dxa"/>
            <w:vMerge w:val="restart"/>
            <w:shd w:val="clear" w:color="auto" w:fill="FFFFFF"/>
            <w:vAlign w:val="center"/>
          </w:tcPr>
          <w:p w14:paraId="0DE15397">
            <w:pPr>
              <w:spacing w:line="0" w:lineRule="atLeast"/>
              <w:jc w:val="center"/>
              <w:rPr>
                <w:rFonts w:hint="default" w:ascii="Times New Roman" w:hAnsi="Times New Roman" w:eastAsia="仿宋_GB2312" w:cs="Times New Roman"/>
                <w:color w:val="000000"/>
                <w:kern w:val="0"/>
                <w:sz w:val="18"/>
                <w:szCs w:val="18"/>
              </w:rPr>
            </w:pPr>
          </w:p>
          <w:p w14:paraId="7A9C6F99">
            <w:pPr>
              <w:spacing w:line="0" w:lineRule="atLeast"/>
              <w:jc w:val="center"/>
              <w:rPr>
                <w:rFonts w:hint="default" w:ascii="Times New Roman" w:hAnsi="Times New Roman" w:eastAsia="仿宋_GB2312" w:cs="Times New Roman"/>
                <w:color w:val="000000"/>
                <w:kern w:val="0"/>
                <w:sz w:val="18"/>
                <w:szCs w:val="18"/>
              </w:rPr>
            </w:pPr>
          </w:p>
          <w:p w14:paraId="4E4396E9">
            <w:pPr>
              <w:spacing w:line="0" w:lineRule="atLeast"/>
              <w:jc w:val="center"/>
              <w:rPr>
                <w:rFonts w:hint="default" w:ascii="Times New Roman" w:hAnsi="Times New Roman" w:eastAsia="仿宋_GB2312" w:cs="Times New Roman"/>
                <w:color w:val="000000"/>
                <w:kern w:val="0"/>
                <w:sz w:val="18"/>
                <w:szCs w:val="18"/>
              </w:rPr>
            </w:pPr>
          </w:p>
          <w:p w14:paraId="390E53A6">
            <w:pPr>
              <w:spacing w:line="0" w:lineRule="atLeast"/>
              <w:jc w:val="center"/>
              <w:rPr>
                <w:rFonts w:hint="default" w:ascii="Times New Roman" w:hAnsi="Times New Roman" w:eastAsia="仿宋_GB2312" w:cs="Times New Roman"/>
                <w:color w:val="000000"/>
                <w:kern w:val="0"/>
                <w:sz w:val="18"/>
                <w:szCs w:val="18"/>
              </w:rPr>
            </w:pPr>
          </w:p>
          <w:p w14:paraId="2EE0CD38">
            <w:pPr>
              <w:spacing w:line="0" w:lineRule="atLeast"/>
              <w:jc w:val="center"/>
              <w:rPr>
                <w:rFonts w:hint="default" w:ascii="Times New Roman" w:hAnsi="Times New Roman" w:eastAsia="仿宋_GB2312" w:cs="Times New Roman"/>
                <w:color w:val="000000"/>
                <w:kern w:val="0"/>
                <w:sz w:val="18"/>
                <w:szCs w:val="18"/>
              </w:rPr>
            </w:pPr>
          </w:p>
          <w:p w14:paraId="4F8FBE23">
            <w:pPr>
              <w:spacing w:line="0" w:lineRule="atLeast"/>
              <w:jc w:val="center"/>
              <w:rPr>
                <w:rFonts w:hint="default" w:ascii="Times New Roman" w:hAnsi="Times New Roman" w:eastAsia="仿宋_GB2312" w:cs="Times New Roman"/>
                <w:color w:val="000000"/>
                <w:kern w:val="0"/>
                <w:sz w:val="18"/>
                <w:szCs w:val="18"/>
              </w:rPr>
            </w:pPr>
          </w:p>
          <w:p w14:paraId="37A64DCB">
            <w:pPr>
              <w:spacing w:line="0" w:lineRule="atLeast"/>
              <w:jc w:val="center"/>
              <w:rPr>
                <w:rFonts w:hint="default" w:ascii="Times New Roman" w:hAnsi="Times New Roman" w:eastAsia="仿宋_GB2312" w:cs="Times New Roman"/>
                <w:color w:val="000000"/>
                <w:kern w:val="0"/>
                <w:sz w:val="18"/>
                <w:szCs w:val="18"/>
              </w:rPr>
            </w:pPr>
          </w:p>
          <w:p w14:paraId="735A9BC3">
            <w:pPr>
              <w:spacing w:line="0" w:lineRule="atLeast"/>
              <w:jc w:val="center"/>
              <w:rPr>
                <w:rFonts w:hint="default" w:ascii="Times New Roman" w:hAnsi="Times New Roman" w:eastAsia="仿宋_GB2312" w:cs="Times New Roman"/>
                <w:color w:val="000000"/>
                <w:kern w:val="0"/>
                <w:sz w:val="18"/>
                <w:szCs w:val="18"/>
              </w:rPr>
            </w:pPr>
          </w:p>
          <w:p w14:paraId="12872631">
            <w:pPr>
              <w:spacing w:line="0" w:lineRule="atLeast"/>
              <w:jc w:val="center"/>
              <w:rPr>
                <w:rFonts w:hint="default" w:ascii="Times New Roman" w:hAnsi="Times New Roman" w:eastAsia="仿宋_GB2312" w:cs="Times New Roman"/>
                <w:color w:val="000000"/>
                <w:kern w:val="0"/>
                <w:sz w:val="18"/>
                <w:szCs w:val="18"/>
              </w:rPr>
            </w:pPr>
          </w:p>
          <w:p w14:paraId="1F5FE3C9">
            <w:pPr>
              <w:spacing w:line="0" w:lineRule="atLeast"/>
              <w:jc w:val="center"/>
              <w:rPr>
                <w:rFonts w:hint="default" w:ascii="Times New Roman" w:hAnsi="Times New Roman" w:eastAsia="仿宋_GB2312" w:cs="Times New Roman"/>
                <w:color w:val="000000"/>
                <w:kern w:val="0"/>
                <w:sz w:val="18"/>
                <w:szCs w:val="18"/>
              </w:rPr>
            </w:pPr>
          </w:p>
          <w:p w14:paraId="25CE9CEB">
            <w:pPr>
              <w:spacing w:line="0" w:lineRule="atLeast"/>
              <w:jc w:val="center"/>
              <w:rPr>
                <w:rFonts w:hint="default" w:ascii="Times New Roman" w:hAnsi="Times New Roman" w:eastAsia="仿宋_GB2312" w:cs="Times New Roman"/>
                <w:color w:val="000000"/>
                <w:kern w:val="0"/>
                <w:sz w:val="18"/>
                <w:szCs w:val="18"/>
              </w:rPr>
            </w:pPr>
          </w:p>
          <w:p w14:paraId="46380901">
            <w:pPr>
              <w:spacing w:line="0" w:lineRule="atLeast"/>
              <w:jc w:val="center"/>
              <w:rPr>
                <w:rFonts w:hint="default" w:ascii="Times New Roman" w:hAnsi="Times New Roman" w:eastAsia="仿宋_GB2312" w:cs="Times New Roman"/>
                <w:color w:val="000000"/>
                <w:kern w:val="0"/>
                <w:sz w:val="18"/>
                <w:szCs w:val="18"/>
              </w:rPr>
            </w:pPr>
          </w:p>
          <w:p w14:paraId="2D64C5B3">
            <w:pPr>
              <w:spacing w:line="0" w:lineRule="atLeast"/>
              <w:jc w:val="center"/>
              <w:rPr>
                <w:rFonts w:hint="default" w:ascii="Times New Roman" w:hAnsi="Times New Roman" w:eastAsia="仿宋_GB2312" w:cs="Times New Roman"/>
                <w:color w:val="000000"/>
                <w:kern w:val="0"/>
                <w:sz w:val="18"/>
                <w:szCs w:val="18"/>
              </w:rPr>
            </w:pPr>
          </w:p>
          <w:p w14:paraId="3402C515">
            <w:pPr>
              <w:spacing w:line="0" w:lineRule="atLeast"/>
              <w:jc w:val="center"/>
              <w:rPr>
                <w:rFonts w:hint="default" w:ascii="Times New Roman" w:hAnsi="Times New Roman" w:eastAsia="仿宋_GB2312" w:cs="Times New Roman"/>
                <w:color w:val="000000"/>
                <w:kern w:val="0"/>
                <w:sz w:val="18"/>
                <w:szCs w:val="18"/>
              </w:rPr>
            </w:pPr>
          </w:p>
          <w:p w14:paraId="3240A7D0">
            <w:pPr>
              <w:spacing w:line="0" w:lineRule="atLeast"/>
              <w:jc w:val="center"/>
              <w:rPr>
                <w:rFonts w:hint="default" w:ascii="Times New Roman" w:hAnsi="Times New Roman" w:eastAsia="仿宋_GB2312" w:cs="Times New Roman"/>
                <w:color w:val="000000"/>
                <w:kern w:val="0"/>
                <w:sz w:val="18"/>
                <w:szCs w:val="18"/>
              </w:rPr>
            </w:pPr>
          </w:p>
          <w:p w14:paraId="2F23E57A">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过程</w:t>
            </w:r>
          </w:p>
          <w:p w14:paraId="38DC684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00" w:type="dxa"/>
            <w:vMerge w:val="restart"/>
            <w:shd w:val="clear" w:color="auto" w:fill="FFFFFF"/>
            <w:vAlign w:val="center"/>
          </w:tcPr>
          <w:p w14:paraId="51EE33B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0A091E7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w:t>
            </w:r>
          </w:p>
        </w:tc>
        <w:tc>
          <w:tcPr>
            <w:tcW w:w="1726" w:type="dxa"/>
            <w:shd w:val="clear" w:color="000000" w:fill="FFFFFF"/>
            <w:vAlign w:val="center"/>
          </w:tcPr>
          <w:p w14:paraId="0AEED32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实际到位资金与预算资金的比率，用以反映和考核资金落实情况对项目实施的总体保障程度。</w:t>
            </w:r>
          </w:p>
        </w:tc>
        <w:tc>
          <w:tcPr>
            <w:tcW w:w="5216" w:type="dxa"/>
            <w:shd w:val="clear" w:color="000000" w:fill="FFFFFF"/>
            <w:vAlign w:val="center"/>
          </w:tcPr>
          <w:p w14:paraId="35E2BE4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资金到位率=（实际到位资金/预算资金）×100%。</w:t>
            </w:r>
          </w:p>
          <w:p w14:paraId="15435B74">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实际到位资金：一定时期（本年度或项目期）内落实到具体项目的资金。</w:t>
            </w:r>
          </w:p>
          <w:p w14:paraId="79E86EE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预算资金：一定时期（本年度或项目期）内预算安排到具体项目的资金。</w:t>
            </w:r>
          </w:p>
        </w:tc>
        <w:tc>
          <w:tcPr>
            <w:tcW w:w="1300" w:type="dxa"/>
            <w:shd w:val="clear" w:color="000000" w:fill="FFFFFF"/>
            <w:vAlign w:val="center"/>
          </w:tcPr>
          <w:p w14:paraId="48887847">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355369FF">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2D53EB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1004" w:type="dxa"/>
            <w:vMerge w:val="continue"/>
            <w:shd w:val="clear" w:color="auto" w:fill="FFFFFF"/>
            <w:vAlign w:val="center"/>
          </w:tcPr>
          <w:p w14:paraId="4C2CDA2B">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1573B17B">
            <w:pPr>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36A3F40B">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预算执行率</w:t>
            </w:r>
          </w:p>
        </w:tc>
        <w:tc>
          <w:tcPr>
            <w:tcW w:w="1726" w:type="dxa"/>
            <w:shd w:val="clear" w:color="auto" w:fill="FFFFFF"/>
            <w:vAlign w:val="center"/>
          </w:tcPr>
          <w:p w14:paraId="2DE47A7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项目预算资金是否按照计划执行，用以反映或考核项目预算执行情况。</w:t>
            </w:r>
          </w:p>
        </w:tc>
        <w:tc>
          <w:tcPr>
            <w:tcW w:w="5216" w:type="dxa"/>
            <w:shd w:val="clear" w:color="auto" w:fill="FFFFFF"/>
            <w:vAlign w:val="center"/>
          </w:tcPr>
          <w:p w14:paraId="67FD542A">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预算执行率=（实际支出资金/实际到位资金）×100%。</w:t>
            </w:r>
          </w:p>
          <w:p w14:paraId="11FCA0F2">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实际支出资金：一定时期（本年度或项目期）内项目实际拨付的资金。</w:t>
            </w:r>
          </w:p>
        </w:tc>
        <w:tc>
          <w:tcPr>
            <w:tcW w:w="1300" w:type="dxa"/>
            <w:shd w:val="clear" w:color="auto" w:fill="FFFFFF"/>
            <w:vAlign w:val="center"/>
          </w:tcPr>
          <w:p w14:paraId="491B20A6">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auto" w:fill="FFFFFF"/>
            <w:vAlign w:val="center"/>
          </w:tcPr>
          <w:p w14:paraId="59BA69F3">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2A337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3BF19531">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6F6BEF1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资金管理</w:t>
            </w:r>
          </w:p>
        </w:tc>
        <w:tc>
          <w:tcPr>
            <w:tcW w:w="1071" w:type="dxa"/>
            <w:shd w:val="clear" w:color="auto" w:fill="FFFFFF"/>
            <w:vAlign w:val="center"/>
          </w:tcPr>
          <w:p w14:paraId="1987EF0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资金使用</w:t>
            </w:r>
          </w:p>
          <w:p w14:paraId="48DA82D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合规性</w:t>
            </w:r>
          </w:p>
        </w:tc>
        <w:tc>
          <w:tcPr>
            <w:tcW w:w="1726" w:type="dxa"/>
            <w:shd w:val="clear" w:color="000000" w:fill="FFFFFF"/>
            <w:vAlign w:val="center"/>
          </w:tcPr>
          <w:p w14:paraId="341B7A3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项目资金使用是否符合相关的财务管理制度规定，用以反映和考核项目资金的规范运行情况。</w:t>
            </w:r>
          </w:p>
        </w:tc>
        <w:tc>
          <w:tcPr>
            <w:tcW w:w="5216" w:type="dxa"/>
            <w:shd w:val="clear" w:color="000000" w:fill="FFFFFF"/>
            <w:vAlign w:val="center"/>
          </w:tcPr>
          <w:p w14:paraId="46504A70">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4B5B355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①是否符合国家财经法规和财务管理制度以及有关专项资金管理办法的规定；</w:t>
            </w:r>
          </w:p>
          <w:p w14:paraId="39B53122">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②资金的拨付是否有完整的审批程序和手续；</w:t>
            </w:r>
          </w:p>
          <w:p w14:paraId="4777B52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③是否符合项目预算批复或合同规定的用途；</w:t>
            </w:r>
          </w:p>
          <w:p w14:paraId="513CF41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④是否存在截留、挤占、挪用、虚列支出等情况。</w:t>
            </w:r>
          </w:p>
        </w:tc>
        <w:tc>
          <w:tcPr>
            <w:tcW w:w="1300" w:type="dxa"/>
            <w:shd w:val="clear" w:color="000000" w:fill="FFFFFF"/>
            <w:vAlign w:val="center"/>
          </w:tcPr>
          <w:p w14:paraId="7E97E021">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674F64F2">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44AE85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97" w:hRule="atLeast"/>
          <w:jc w:val="center"/>
        </w:trPr>
        <w:tc>
          <w:tcPr>
            <w:tcW w:w="1004" w:type="dxa"/>
            <w:vMerge w:val="continue"/>
            <w:shd w:val="clear" w:color="auto" w:fill="FFFFFF"/>
            <w:vAlign w:val="center"/>
          </w:tcPr>
          <w:p w14:paraId="57F58720">
            <w:pPr>
              <w:spacing w:line="0" w:lineRule="atLeast"/>
              <w:jc w:val="center"/>
              <w:rPr>
                <w:rFonts w:hint="default" w:ascii="Times New Roman" w:hAnsi="Times New Roman" w:eastAsia="仿宋_GB2312" w:cs="Times New Roman"/>
                <w:color w:val="000000"/>
                <w:kern w:val="0"/>
                <w:sz w:val="18"/>
                <w:szCs w:val="18"/>
              </w:rPr>
            </w:pPr>
          </w:p>
        </w:tc>
        <w:tc>
          <w:tcPr>
            <w:tcW w:w="1000" w:type="dxa"/>
            <w:vMerge w:val="restart"/>
            <w:shd w:val="clear" w:color="auto" w:fill="FFFFFF"/>
            <w:vAlign w:val="center"/>
          </w:tcPr>
          <w:p w14:paraId="3FDC30D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组织实施</w:t>
            </w:r>
          </w:p>
          <w:p w14:paraId="30F1A395">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　</w:t>
            </w:r>
          </w:p>
        </w:tc>
        <w:tc>
          <w:tcPr>
            <w:tcW w:w="1071" w:type="dxa"/>
            <w:shd w:val="clear" w:color="auto" w:fill="FFFFFF"/>
            <w:vAlign w:val="center"/>
          </w:tcPr>
          <w:p w14:paraId="472B8537">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管理制度</w:t>
            </w:r>
          </w:p>
          <w:p w14:paraId="71A42D8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健全性</w:t>
            </w:r>
          </w:p>
        </w:tc>
        <w:tc>
          <w:tcPr>
            <w:tcW w:w="1726" w:type="dxa"/>
            <w:shd w:val="clear" w:color="000000" w:fill="FFFFFF"/>
            <w:vAlign w:val="center"/>
          </w:tcPr>
          <w:p w14:paraId="54B7795A">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项目实施单位的财务和业务管理制度是否健全，用以反映和考核财务和业务管理制度对项目顺利实施的保障情况。</w:t>
            </w:r>
          </w:p>
        </w:tc>
        <w:tc>
          <w:tcPr>
            <w:tcW w:w="5216" w:type="dxa"/>
            <w:shd w:val="clear" w:color="000000" w:fill="FFFFFF"/>
            <w:vAlign w:val="center"/>
          </w:tcPr>
          <w:p w14:paraId="3BE267B2">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751737EA">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①是否已制定或具有相应的财务和业务管理制度；</w:t>
            </w:r>
          </w:p>
          <w:p w14:paraId="7F4C2C77">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②财务和业务管理制度是否合法、合规、完整。</w:t>
            </w:r>
          </w:p>
        </w:tc>
        <w:tc>
          <w:tcPr>
            <w:tcW w:w="1300" w:type="dxa"/>
            <w:shd w:val="clear" w:color="000000" w:fill="FFFFFF"/>
            <w:vAlign w:val="center"/>
          </w:tcPr>
          <w:p w14:paraId="19DC8F4F">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7463F525">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32172E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1004" w:type="dxa"/>
            <w:vMerge w:val="continue"/>
            <w:shd w:val="clear" w:color="auto" w:fill="FFFFFF"/>
            <w:vAlign w:val="center"/>
          </w:tcPr>
          <w:p w14:paraId="3C264F5C">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0B65B54">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1E833EE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制度执行</w:t>
            </w:r>
          </w:p>
          <w:p w14:paraId="557E1691">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有效性</w:t>
            </w:r>
          </w:p>
        </w:tc>
        <w:tc>
          <w:tcPr>
            <w:tcW w:w="1726" w:type="dxa"/>
            <w:shd w:val="clear" w:color="000000" w:fill="FFFFFF"/>
            <w:vAlign w:val="center"/>
          </w:tcPr>
          <w:p w14:paraId="690FB06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项目实施是否符合相关管理规定，用以反映和考核相关管理制度的有效执行情况。</w:t>
            </w:r>
          </w:p>
        </w:tc>
        <w:tc>
          <w:tcPr>
            <w:tcW w:w="5216" w:type="dxa"/>
            <w:shd w:val="clear" w:color="000000" w:fill="FFFFFF"/>
            <w:vAlign w:val="center"/>
          </w:tcPr>
          <w:p w14:paraId="28028E36">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评价要点：</w:t>
            </w:r>
          </w:p>
          <w:p w14:paraId="5F98E212">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①是否遵守相关法律法规和相关管理规定；</w:t>
            </w:r>
          </w:p>
          <w:p w14:paraId="104F21BA">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②项目调整及支出调整手续是否完备；</w:t>
            </w:r>
          </w:p>
          <w:p w14:paraId="18A5101F">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③项目合同书、验收报告、技术鉴定等资料是否齐全并及时归档；</w:t>
            </w:r>
          </w:p>
          <w:p w14:paraId="600CE94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④项目实施的人员条件、场地设备、信息支撑等是否落实到位。</w:t>
            </w:r>
          </w:p>
        </w:tc>
        <w:tc>
          <w:tcPr>
            <w:tcW w:w="1300" w:type="dxa"/>
            <w:shd w:val="clear" w:color="000000" w:fill="FFFFFF"/>
            <w:vAlign w:val="center"/>
          </w:tcPr>
          <w:p w14:paraId="6565D269">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4</w:t>
            </w:r>
          </w:p>
        </w:tc>
        <w:tc>
          <w:tcPr>
            <w:tcW w:w="1366" w:type="dxa"/>
            <w:shd w:val="clear" w:color="000000" w:fill="FFFFFF"/>
            <w:vAlign w:val="center"/>
          </w:tcPr>
          <w:p w14:paraId="5AC3FBB8">
            <w:pPr>
              <w:widowControl/>
              <w:spacing w:line="0" w:lineRule="atLeast"/>
              <w:jc w:val="center"/>
              <w:rPr>
                <w:rFonts w:hint="eastAsia" w:ascii="Times New Roman" w:hAnsi="Times New Roman" w:eastAsia="仿宋_GB2312" w:cs="Times New Roman"/>
                <w:b/>
                <w:bCs/>
                <w:color w:val="000000"/>
                <w:kern w:val="0"/>
                <w:sz w:val="18"/>
                <w:szCs w:val="18"/>
                <w:highlight w:val="none"/>
                <w:lang w:eastAsia="zh-CN"/>
              </w:rPr>
            </w:pPr>
            <w:r>
              <w:rPr>
                <w:rFonts w:hint="eastAsia" w:eastAsia="仿宋_GB2312" w:cs="Times New Roman"/>
                <w:b/>
                <w:bCs/>
                <w:color w:val="000000"/>
                <w:kern w:val="0"/>
                <w:sz w:val="18"/>
                <w:szCs w:val="18"/>
                <w:highlight w:val="none"/>
                <w:lang w:val="en-US" w:eastAsia="zh-CN"/>
              </w:rPr>
              <w:t>4</w:t>
            </w:r>
          </w:p>
        </w:tc>
      </w:tr>
      <w:tr w14:paraId="33C31F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17" w:hRule="atLeast"/>
          <w:jc w:val="center"/>
        </w:trPr>
        <w:tc>
          <w:tcPr>
            <w:tcW w:w="1004" w:type="dxa"/>
            <w:vMerge w:val="restart"/>
            <w:shd w:val="clear" w:color="auto" w:fill="FFFFFF"/>
            <w:vAlign w:val="center"/>
          </w:tcPr>
          <w:p w14:paraId="736DA499">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w:t>
            </w:r>
          </w:p>
        </w:tc>
        <w:tc>
          <w:tcPr>
            <w:tcW w:w="1000" w:type="dxa"/>
            <w:shd w:val="clear" w:color="auto" w:fill="FFFFFF"/>
            <w:vAlign w:val="center"/>
          </w:tcPr>
          <w:p w14:paraId="79453D3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产出数量</w:t>
            </w:r>
          </w:p>
        </w:tc>
        <w:tc>
          <w:tcPr>
            <w:tcW w:w="1071" w:type="dxa"/>
            <w:shd w:val="clear" w:color="auto" w:fill="FFFFFF"/>
            <w:vAlign w:val="center"/>
          </w:tcPr>
          <w:p w14:paraId="2C90DFD6">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实际完成率</w:t>
            </w:r>
          </w:p>
        </w:tc>
        <w:tc>
          <w:tcPr>
            <w:tcW w:w="1726" w:type="dxa"/>
            <w:shd w:val="clear" w:color="000000" w:fill="FFFFFF"/>
            <w:vAlign w:val="center"/>
          </w:tcPr>
          <w:p w14:paraId="44CB516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项目实施的实际产出数与计划产出数的比率，用以反映和考核项目产出数量目标的实现程度。</w:t>
            </w:r>
          </w:p>
        </w:tc>
        <w:tc>
          <w:tcPr>
            <w:tcW w:w="5216" w:type="dxa"/>
            <w:shd w:val="clear" w:color="000000" w:fill="FFFFFF"/>
            <w:vAlign w:val="center"/>
          </w:tcPr>
          <w:p w14:paraId="404CA7E5">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实际完成率=（实际产出数/计划产出数）×100%。</w:t>
            </w:r>
          </w:p>
          <w:p w14:paraId="151309F7">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实际产出数：一定时期（本年度或项目期）内项目实际产出的产品或提供的服务数量。</w:t>
            </w:r>
          </w:p>
          <w:p w14:paraId="61EE5BD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计划产出数：项目绩效目标确定的在一定时期（本年度或项目期）内计划产出的产品或提供的服务数量。</w:t>
            </w:r>
          </w:p>
        </w:tc>
        <w:tc>
          <w:tcPr>
            <w:tcW w:w="1300" w:type="dxa"/>
            <w:shd w:val="clear" w:color="000000" w:fill="FFFFFF"/>
            <w:vAlign w:val="center"/>
          </w:tcPr>
          <w:p w14:paraId="4B2B03C6">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3C13C3B4">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36D86A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1004" w:type="dxa"/>
            <w:vMerge w:val="continue"/>
            <w:shd w:val="clear" w:color="auto" w:fill="FFFFFF"/>
            <w:vAlign w:val="center"/>
          </w:tcPr>
          <w:p w14:paraId="1BB8F3D7">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2E7C1F5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产出质量</w:t>
            </w:r>
          </w:p>
        </w:tc>
        <w:tc>
          <w:tcPr>
            <w:tcW w:w="1071" w:type="dxa"/>
            <w:shd w:val="clear" w:color="auto" w:fill="FFFFFF"/>
            <w:vAlign w:val="center"/>
          </w:tcPr>
          <w:p w14:paraId="1036858F">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w:t>
            </w:r>
          </w:p>
        </w:tc>
        <w:tc>
          <w:tcPr>
            <w:tcW w:w="1726" w:type="dxa"/>
            <w:shd w:val="clear" w:color="000000" w:fill="FFFFFF"/>
            <w:vAlign w:val="center"/>
          </w:tcPr>
          <w:p w14:paraId="2A6C6EE0">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项目完成的质量达标产出数与实际产出数的比率，用以反映和考核项目产出质量目标的实现程度。</w:t>
            </w:r>
          </w:p>
        </w:tc>
        <w:tc>
          <w:tcPr>
            <w:tcW w:w="5216" w:type="dxa"/>
            <w:shd w:val="clear" w:color="000000" w:fill="FFFFFF"/>
            <w:vAlign w:val="center"/>
          </w:tcPr>
          <w:p w14:paraId="654AD338">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质量达标率=（质量达标产出数/实际产出数）×100%。</w:t>
            </w:r>
          </w:p>
          <w:p w14:paraId="38BBB6EB">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1300" w:type="dxa"/>
            <w:shd w:val="clear" w:color="000000" w:fill="FFFFFF"/>
            <w:vAlign w:val="center"/>
          </w:tcPr>
          <w:p w14:paraId="0F6640AD">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1A9EF4F4">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65F82F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1004" w:type="dxa"/>
            <w:vMerge w:val="continue"/>
            <w:shd w:val="clear" w:color="auto" w:fill="FFFFFF"/>
            <w:vAlign w:val="center"/>
          </w:tcPr>
          <w:p w14:paraId="5FD3B511">
            <w:pPr>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7B177A3C">
            <w:pPr>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产出时效</w:t>
            </w:r>
          </w:p>
        </w:tc>
        <w:tc>
          <w:tcPr>
            <w:tcW w:w="1071" w:type="dxa"/>
            <w:shd w:val="clear" w:color="auto" w:fill="FFFFFF"/>
            <w:vAlign w:val="center"/>
          </w:tcPr>
          <w:p w14:paraId="1498D3AC">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完成及时性</w:t>
            </w:r>
          </w:p>
        </w:tc>
        <w:tc>
          <w:tcPr>
            <w:tcW w:w="1726" w:type="dxa"/>
            <w:shd w:val="clear" w:color="000000" w:fill="FFFFFF"/>
            <w:vAlign w:val="center"/>
          </w:tcPr>
          <w:p w14:paraId="497616D3">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项目实际完成时间与计划完成时间的比较，用以反映和考核项目产出时效目标的实现程度。</w:t>
            </w:r>
          </w:p>
        </w:tc>
        <w:tc>
          <w:tcPr>
            <w:tcW w:w="5216" w:type="dxa"/>
            <w:shd w:val="clear" w:color="000000" w:fill="FFFFFF"/>
            <w:vAlign w:val="center"/>
          </w:tcPr>
          <w:p w14:paraId="3FAFD80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实际完成时间：项目实施单位完成该项目实际所耗用的时间。</w:t>
            </w:r>
          </w:p>
          <w:p w14:paraId="3C4A282D">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计划完成时间：按照项目实施计划或相关规定完成该项目所需的时间。</w:t>
            </w:r>
          </w:p>
        </w:tc>
        <w:tc>
          <w:tcPr>
            <w:tcW w:w="1300" w:type="dxa"/>
            <w:shd w:val="clear" w:color="000000" w:fill="FFFFFF"/>
            <w:vAlign w:val="center"/>
          </w:tcPr>
          <w:p w14:paraId="3A2CCE30">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4203F183">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078D9B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1004" w:type="dxa"/>
            <w:vMerge w:val="continue"/>
            <w:shd w:val="clear" w:color="auto" w:fill="FFFFFF"/>
            <w:vAlign w:val="center"/>
          </w:tcPr>
          <w:p w14:paraId="78A3E83C">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shd w:val="clear" w:color="auto" w:fill="FFFFFF"/>
            <w:vAlign w:val="center"/>
          </w:tcPr>
          <w:p w14:paraId="629B2D0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产出成本</w:t>
            </w:r>
          </w:p>
        </w:tc>
        <w:tc>
          <w:tcPr>
            <w:tcW w:w="1071" w:type="dxa"/>
            <w:shd w:val="clear" w:color="auto" w:fill="FFFFFF"/>
            <w:vAlign w:val="center"/>
          </w:tcPr>
          <w:p w14:paraId="1FDA9C13">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成本节约率</w:t>
            </w:r>
          </w:p>
        </w:tc>
        <w:tc>
          <w:tcPr>
            <w:tcW w:w="1726" w:type="dxa"/>
            <w:shd w:val="clear" w:color="000000" w:fill="FFFFFF"/>
            <w:vAlign w:val="center"/>
          </w:tcPr>
          <w:p w14:paraId="50A80026">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完成项目计划工作目标的实际节约成本与计划成本的比率，用以反映和考核项目的成本节约程度。</w:t>
            </w:r>
          </w:p>
        </w:tc>
        <w:tc>
          <w:tcPr>
            <w:tcW w:w="5216" w:type="dxa"/>
            <w:shd w:val="clear" w:color="000000" w:fill="FFFFFF"/>
            <w:vAlign w:val="center"/>
          </w:tcPr>
          <w:p w14:paraId="6100BAC2">
            <w:pPr>
              <w:widowControl/>
              <w:spacing w:line="0" w:lineRule="atLeast"/>
              <w:rPr>
                <w:rFonts w:hint="eastAsia" w:ascii="Times New Roman" w:hAnsi="Times New Roman" w:eastAsia="仿宋_GB2312" w:cs="Times New Roman"/>
                <w:color w:val="000000"/>
                <w:kern w:val="0"/>
                <w:sz w:val="18"/>
                <w:szCs w:val="18"/>
                <w:lang w:eastAsia="zh-CN"/>
              </w:rPr>
            </w:pPr>
          </w:p>
          <w:p w14:paraId="413EEF98">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成本节约率=[（计划成本-实际成本）/计划成本]×100%。</w:t>
            </w:r>
          </w:p>
          <w:p w14:paraId="38927DA1">
            <w:pPr>
              <w:widowControl/>
              <w:spacing w:line="0" w:lineRule="atLeast"/>
              <w:rPr>
                <w:rFonts w:hint="eastAsia" w:ascii="Times New Roman" w:hAnsi="Times New Roman" w:eastAsia="仿宋_GB2312" w:cs="Times New Roman"/>
                <w:color w:val="000000"/>
                <w:kern w:val="0"/>
                <w:sz w:val="18"/>
                <w:szCs w:val="18"/>
                <w:lang w:eastAsia="zh-CN"/>
              </w:rPr>
            </w:pPr>
            <w:r>
              <w:rPr>
                <w:rFonts w:hint="default" w:ascii="Times New Roman" w:hAnsi="Times New Roman" w:eastAsia="仿宋_GB2312" w:cs="Times New Roman"/>
                <w:color w:val="000000"/>
                <w:kern w:val="0"/>
                <w:sz w:val="18"/>
                <w:szCs w:val="18"/>
              </w:rPr>
              <w:t>实际成本：项目实施单位如期、保质、保量完成既定工作目标实际所耗费的支出。</w:t>
            </w:r>
          </w:p>
          <w:p w14:paraId="271FBC2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计划成本：项目实施单位为完成工作目标计划安排的支出，一般以项目预算为参考。</w:t>
            </w:r>
          </w:p>
        </w:tc>
        <w:tc>
          <w:tcPr>
            <w:tcW w:w="1300" w:type="dxa"/>
            <w:shd w:val="clear" w:color="000000" w:fill="FFFFFF"/>
            <w:vAlign w:val="center"/>
          </w:tcPr>
          <w:p w14:paraId="641779F3">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6DABA8BD">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2B096D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889" w:hRule="atLeast"/>
          <w:jc w:val="center"/>
        </w:trPr>
        <w:tc>
          <w:tcPr>
            <w:tcW w:w="1004" w:type="dxa"/>
            <w:vMerge w:val="restart"/>
            <w:shd w:val="clear" w:color="auto" w:fill="FFFFFF"/>
            <w:vAlign w:val="center"/>
          </w:tcPr>
          <w:p w14:paraId="6E3C9F24">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效益　</w:t>
            </w:r>
          </w:p>
        </w:tc>
        <w:tc>
          <w:tcPr>
            <w:tcW w:w="1000" w:type="dxa"/>
            <w:vMerge w:val="restart"/>
            <w:shd w:val="clear" w:color="auto" w:fill="FFFFFF"/>
            <w:vAlign w:val="center"/>
          </w:tcPr>
          <w:p w14:paraId="774D6E52">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项目效益　</w:t>
            </w:r>
          </w:p>
        </w:tc>
        <w:tc>
          <w:tcPr>
            <w:tcW w:w="1071" w:type="dxa"/>
            <w:shd w:val="clear" w:color="auto" w:fill="FFFFFF"/>
            <w:vAlign w:val="center"/>
          </w:tcPr>
          <w:p w14:paraId="1DFBE895">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实施效益</w:t>
            </w:r>
          </w:p>
        </w:tc>
        <w:tc>
          <w:tcPr>
            <w:tcW w:w="1726" w:type="dxa"/>
            <w:shd w:val="clear" w:color="auto" w:fill="FFFFFF"/>
            <w:vAlign w:val="center"/>
          </w:tcPr>
          <w:p w14:paraId="44C53CC4">
            <w:pPr>
              <w:widowControl/>
              <w:spacing w:line="0" w:lineRule="atLeast"/>
              <w:jc w:val="lef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项目实施所产生的效益。</w:t>
            </w:r>
          </w:p>
        </w:tc>
        <w:tc>
          <w:tcPr>
            <w:tcW w:w="5216" w:type="dxa"/>
            <w:shd w:val="clear" w:color="auto" w:fill="FFFFFF"/>
            <w:vAlign w:val="center"/>
          </w:tcPr>
          <w:p w14:paraId="6F293CAE">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项目实施所产生的社会效益、经济效益、生态效益、可持续影响等。可根据项目实际情况有选择地设置和细化。</w:t>
            </w:r>
          </w:p>
        </w:tc>
        <w:tc>
          <w:tcPr>
            <w:tcW w:w="1300" w:type="dxa"/>
            <w:shd w:val="clear" w:color="auto" w:fill="FFFFFF"/>
            <w:vAlign w:val="center"/>
          </w:tcPr>
          <w:p w14:paraId="0F1E146A">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auto" w:fill="FFFFFF"/>
            <w:vAlign w:val="center"/>
          </w:tcPr>
          <w:p w14:paraId="3374DB7F">
            <w:pPr>
              <w:widowControl/>
              <w:spacing w:line="0" w:lineRule="atLeast"/>
              <w:jc w:val="center"/>
              <w:rPr>
                <w:rFonts w:hint="default" w:ascii="Times New Roman" w:hAnsi="Times New Roman" w:eastAsia="仿宋_GB2312" w:cs="Times New Roman"/>
                <w:b/>
                <w:bCs/>
                <w:color w:val="000000"/>
                <w:kern w:val="0"/>
                <w:sz w:val="18"/>
                <w:szCs w:val="18"/>
                <w:highlight w:val="none"/>
                <w:lang w:val="en-US" w:eastAsia="zh-CN"/>
              </w:rPr>
            </w:pPr>
            <w:r>
              <w:rPr>
                <w:rFonts w:hint="eastAsia" w:eastAsia="仿宋_GB2312" w:cs="Times New Roman"/>
                <w:b/>
                <w:bCs/>
                <w:color w:val="000000"/>
                <w:kern w:val="0"/>
                <w:sz w:val="18"/>
                <w:szCs w:val="18"/>
                <w:highlight w:val="none"/>
                <w:lang w:val="en-US" w:eastAsia="zh-CN"/>
              </w:rPr>
              <w:t>10</w:t>
            </w:r>
          </w:p>
        </w:tc>
      </w:tr>
      <w:tr w14:paraId="50743E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1004" w:type="dxa"/>
            <w:vMerge w:val="continue"/>
            <w:shd w:val="clear" w:color="auto" w:fill="FFFFFF"/>
            <w:vAlign w:val="center"/>
          </w:tcPr>
          <w:p w14:paraId="5F4BE38C">
            <w:pPr>
              <w:widowControl/>
              <w:spacing w:line="0" w:lineRule="atLeast"/>
              <w:jc w:val="center"/>
              <w:rPr>
                <w:rFonts w:hint="default" w:ascii="Times New Roman" w:hAnsi="Times New Roman" w:eastAsia="仿宋_GB2312" w:cs="Times New Roman"/>
                <w:color w:val="000000"/>
                <w:kern w:val="0"/>
                <w:sz w:val="18"/>
                <w:szCs w:val="18"/>
              </w:rPr>
            </w:pPr>
          </w:p>
        </w:tc>
        <w:tc>
          <w:tcPr>
            <w:tcW w:w="1000" w:type="dxa"/>
            <w:vMerge w:val="continue"/>
            <w:shd w:val="clear" w:color="auto" w:fill="FFFFFF"/>
            <w:vAlign w:val="center"/>
          </w:tcPr>
          <w:p w14:paraId="7FB06E1F">
            <w:pPr>
              <w:widowControl/>
              <w:spacing w:line="0" w:lineRule="atLeast"/>
              <w:jc w:val="center"/>
              <w:rPr>
                <w:rFonts w:hint="default" w:ascii="Times New Roman" w:hAnsi="Times New Roman" w:eastAsia="仿宋_GB2312" w:cs="Times New Roman"/>
                <w:color w:val="000000"/>
                <w:kern w:val="0"/>
                <w:sz w:val="18"/>
                <w:szCs w:val="18"/>
              </w:rPr>
            </w:pPr>
          </w:p>
        </w:tc>
        <w:tc>
          <w:tcPr>
            <w:tcW w:w="1071" w:type="dxa"/>
            <w:shd w:val="clear" w:color="auto" w:fill="FFFFFF"/>
            <w:vAlign w:val="center"/>
          </w:tcPr>
          <w:p w14:paraId="76A6CADE">
            <w:pPr>
              <w:widowControl/>
              <w:spacing w:line="0" w:lineRule="atLeast"/>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满意度</w:t>
            </w:r>
          </w:p>
        </w:tc>
        <w:tc>
          <w:tcPr>
            <w:tcW w:w="1726" w:type="dxa"/>
            <w:shd w:val="clear" w:color="000000" w:fill="FFFFFF"/>
            <w:vAlign w:val="center"/>
          </w:tcPr>
          <w:p w14:paraId="750B5A7C">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社会公众或服务对象对项目实施效果的满意程度。</w:t>
            </w:r>
          </w:p>
        </w:tc>
        <w:tc>
          <w:tcPr>
            <w:tcW w:w="5216" w:type="dxa"/>
            <w:shd w:val="clear" w:color="000000" w:fill="FFFFFF"/>
            <w:vAlign w:val="center"/>
          </w:tcPr>
          <w:p w14:paraId="03323C1F">
            <w:pPr>
              <w:widowControl/>
              <w:spacing w:line="0" w:lineRule="atLeast"/>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社会公众或服务对象是指因该项目实施而受到影响的部门（单位）、群体或个人。一般采取社会调查的方式。</w:t>
            </w:r>
          </w:p>
        </w:tc>
        <w:tc>
          <w:tcPr>
            <w:tcW w:w="1300" w:type="dxa"/>
            <w:shd w:val="clear" w:color="000000" w:fill="FFFFFF"/>
            <w:vAlign w:val="center"/>
          </w:tcPr>
          <w:p w14:paraId="1786D0A4">
            <w:pPr>
              <w:widowControl/>
              <w:spacing w:line="0" w:lineRule="atLeast"/>
              <w:jc w:val="center"/>
              <w:rPr>
                <w:rFonts w:hint="default" w:ascii="Times New Roman" w:hAnsi="Times New Roman" w:eastAsia="仿宋_GB2312" w:cs="Times New Roman"/>
                <w:b/>
                <w:bCs/>
                <w:color w:val="000000"/>
                <w:kern w:val="0"/>
                <w:sz w:val="18"/>
                <w:szCs w:val="18"/>
              </w:rPr>
            </w:pPr>
            <w:r>
              <w:rPr>
                <w:rFonts w:hint="default" w:ascii="Times New Roman" w:hAnsi="Times New Roman" w:eastAsia="仿宋_GB2312" w:cs="Times New Roman"/>
                <w:b/>
                <w:bCs/>
                <w:color w:val="000000"/>
                <w:kern w:val="0"/>
                <w:sz w:val="18"/>
                <w:szCs w:val="18"/>
              </w:rPr>
              <w:t>10</w:t>
            </w:r>
          </w:p>
        </w:tc>
        <w:tc>
          <w:tcPr>
            <w:tcW w:w="1366" w:type="dxa"/>
            <w:shd w:val="clear" w:color="000000" w:fill="FFFFFF"/>
            <w:vAlign w:val="center"/>
          </w:tcPr>
          <w:p w14:paraId="4D396A86">
            <w:pPr>
              <w:widowControl/>
              <w:spacing w:line="0" w:lineRule="atLeast"/>
              <w:jc w:val="center"/>
              <w:rPr>
                <w:rFonts w:hint="default" w:ascii="Times New Roman" w:hAnsi="Times New Roman" w:eastAsia="仿宋_GB2312" w:cs="Times New Roman"/>
                <w:b/>
                <w:bCs/>
                <w:color w:val="000000"/>
                <w:kern w:val="0"/>
                <w:sz w:val="18"/>
                <w:szCs w:val="18"/>
                <w:highlight w:val="none"/>
                <w:lang w:val="en-US"/>
              </w:rPr>
            </w:pPr>
            <w:r>
              <w:rPr>
                <w:rFonts w:hint="eastAsia" w:eastAsia="仿宋_GB2312" w:cs="Times New Roman"/>
                <w:b/>
                <w:bCs/>
                <w:color w:val="000000"/>
                <w:kern w:val="0"/>
                <w:sz w:val="18"/>
                <w:szCs w:val="18"/>
                <w:highlight w:val="none"/>
                <w:lang w:val="en-US" w:eastAsia="zh-CN"/>
              </w:rPr>
              <w:t>10</w:t>
            </w:r>
          </w:p>
        </w:tc>
      </w:tr>
    </w:tbl>
    <w:p w14:paraId="0B128E41">
      <w:pPr>
        <w:rPr>
          <w:rFonts w:hint="default" w:ascii="Times New Roman" w:hAnsi="Times New Roman" w:cs="Times New Roman"/>
        </w:rPr>
        <w:sectPr>
          <w:pgSz w:w="16838" w:h="11906" w:orient="landscape"/>
          <w:pgMar w:top="1800" w:right="1440" w:bottom="1558" w:left="1440" w:header="851" w:footer="992" w:gutter="0"/>
          <w:cols w:space="425" w:num="1"/>
          <w:docGrid w:type="lines" w:linePitch="312" w:charSpace="0"/>
        </w:sectPr>
      </w:pPr>
    </w:p>
    <w:tbl>
      <w:tblP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585"/>
        <w:gridCol w:w="575"/>
        <w:gridCol w:w="889"/>
        <w:gridCol w:w="1958"/>
        <w:gridCol w:w="955"/>
        <w:gridCol w:w="1018"/>
        <w:gridCol w:w="589"/>
        <w:gridCol w:w="847"/>
        <w:gridCol w:w="507"/>
        <w:gridCol w:w="841"/>
      </w:tblGrid>
      <w:tr w14:paraId="42037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62E40818">
            <w:pPr>
              <w:keepNext w:val="0"/>
              <w:keepLines w:val="0"/>
              <w:widowControl/>
              <w:suppressLineNumbers w:val="0"/>
              <w:snapToGrid w:val="0"/>
              <w:jc w:val="center"/>
              <w:textAlignment w:val="center"/>
              <w:rPr>
                <w:rFonts w:hint="eastAsia" w:ascii="宋体" w:hAnsi="宋体" w:eastAsia="宋体" w:cs="宋体"/>
                <w:b/>
                <w:bCs/>
                <w:i w:val="0"/>
                <w:iCs w:val="0"/>
                <w:color w:val="000000"/>
                <w:sz w:val="32"/>
                <w:szCs w:val="32"/>
                <w:u w:val="none"/>
              </w:rPr>
            </w:pPr>
            <w:bookmarkStart w:id="3" w:name="_GoBack"/>
            <w:bookmarkEnd w:id="3"/>
            <w:r>
              <w:rPr>
                <w:rFonts w:hint="eastAsia" w:ascii="宋体" w:hAnsi="宋体" w:eastAsia="宋体" w:cs="宋体"/>
                <w:b/>
                <w:bCs/>
                <w:i w:val="0"/>
                <w:iCs w:val="0"/>
                <w:color w:val="000000"/>
                <w:kern w:val="0"/>
                <w:sz w:val="32"/>
                <w:szCs w:val="32"/>
                <w:u w:val="none"/>
                <w:bdr w:val="none" w:color="auto" w:sz="0" w:space="0"/>
                <w:lang w:val="en-US" w:eastAsia="zh-CN" w:bidi="ar"/>
              </w:rPr>
              <w:t>项目支出绩效自评表</w:t>
            </w:r>
          </w:p>
        </w:tc>
      </w:tr>
      <w:tr w14:paraId="1873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5000" w:type="pct"/>
            <w:gridSpan w:val="10"/>
            <w:tcBorders>
              <w:top w:val="nil"/>
              <w:left w:val="nil"/>
              <w:bottom w:val="nil"/>
              <w:right w:val="nil"/>
            </w:tcBorders>
            <w:shd w:val="clear"/>
            <w:vAlign w:val="center"/>
          </w:tcPr>
          <w:p w14:paraId="348D83E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(2024年度)</w:t>
            </w:r>
          </w:p>
        </w:tc>
      </w:tr>
      <w:tr w14:paraId="4BFA6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62" w:type="pct"/>
            <w:gridSpan w:val="2"/>
            <w:tcBorders>
              <w:top w:val="single" w:color="000000" w:sz="4" w:space="0"/>
              <w:left w:val="single" w:color="000000" w:sz="4" w:space="0"/>
              <w:bottom w:val="single" w:color="000000" w:sz="4" w:space="0"/>
              <w:right w:val="single" w:color="000000" w:sz="4" w:space="0"/>
            </w:tcBorders>
            <w:shd w:val="clear"/>
            <w:vAlign w:val="center"/>
          </w:tcPr>
          <w:p w14:paraId="533DE68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项目名称</w:t>
            </w:r>
          </w:p>
        </w:tc>
        <w:tc>
          <w:tcPr>
            <w:tcW w:w="4337" w:type="pct"/>
            <w:gridSpan w:val="8"/>
            <w:tcBorders>
              <w:top w:val="single" w:color="000000" w:sz="4" w:space="0"/>
              <w:left w:val="single" w:color="000000" w:sz="4" w:space="0"/>
              <w:bottom w:val="single" w:color="000000" w:sz="4" w:space="0"/>
              <w:right w:val="single" w:color="000000" w:sz="4" w:space="0"/>
            </w:tcBorders>
            <w:shd w:val="clear"/>
            <w:vAlign w:val="center"/>
          </w:tcPr>
          <w:p w14:paraId="0F80316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临聘教师补助经费</w:t>
            </w:r>
          </w:p>
        </w:tc>
      </w:tr>
      <w:tr w14:paraId="1EEC6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62" w:type="pct"/>
            <w:gridSpan w:val="2"/>
            <w:tcBorders>
              <w:top w:val="single" w:color="000000" w:sz="4" w:space="0"/>
              <w:left w:val="single" w:color="000000" w:sz="4" w:space="0"/>
              <w:bottom w:val="single" w:color="000000" w:sz="4" w:space="0"/>
              <w:right w:val="single" w:color="000000" w:sz="4" w:space="0"/>
            </w:tcBorders>
            <w:shd w:val="clear"/>
            <w:vAlign w:val="center"/>
          </w:tcPr>
          <w:p w14:paraId="4937E4C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主管部门</w:t>
            </w:r>
          </w:p>
        </w:tc>
        <w:tc>
          <w:tcPr>
            <w:tcW w:w="1624" w:type="pct"/>
            <w:gridSpan w:val="2"/>
            <w:tcBorders>
              <w:top w:val="single" w:color="000000" w:sz="4" w:space="0"/>
              <w:left w:val="single" w:color="000000" w:sz="4" w:space="0"/>
              <w:bottom w:val="single" w:color="000000" w:sz="4" w:space="0"/>
              <w:right w:val="single" w:color="000000" w:sz="4" w:space="0"/>
            </w:tcBorders>
            <w:shd w:val="clear"/>
            <w:vAlign w:val="center"/>
          </w:tcPr>
          <w:p w14:paraId="6CBEAAC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沙依巴克区教育局</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4DA8023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实施单位</w:t>
            </w:r>
          </w:p>
        </w:tc>
        <w:tc>
          <w:tcPr>
            <w:tcW w:w="2168" w:type="pct"/>
            <w:gridSpan w:val="5"/>
            <w:tcBorders>
              <w:top w:val="single" w:color="000000" w:sz="4" w:space="0"/>
              <w:left w:val="single" w:color="000000" w:sz="4" w:space="0"/>
              <w:bottom w:val="single" w:color="000000" w:sz="4" w:space="0"/>
              <w:right w:val="single" w:color="000000" w:sz="4" w:space="0"/>
            </w:tcBorders>
            <w:shd w:val="clear"/>
            <w:vAlign w:val="center"/>
          </w:tcPr>
          <w:p w14:paraId="2D053BF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乌鲁木齐市第七十一中学</w:t>
            </w:r>
          </w:p>
        </w:tc>
      </w:tr>
      <w:tr w14:paraId="348FD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62"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73494D8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项目资金</w:t>
            </w:r>
            <w:r>
              <w:rPr>
                <w:rFonts w:hint="eastAsia" w:ascii="宋体" w:hAnsi="宋体" w:eastAsia="宋体" w:cs="宋体"/>
                <w:i w:val="0"/>
                <w:iCs w:val="0"/>
                <w:color w:val="000000"/>
                <w:kern w:val="0"/>
                <w:sz w:val="20"/>
                <w:szCs w:val="20"/>
                <w:u w:val="none"/>
                <w:bdr w:val="none" w:color="auto" w:sz="0" w:space="0"/>
                <w:lang w:val="en-US" w:eastAsia="zh-CN" w:bidi="ar"/>
              </w:rPr>
              <w:br w:type="textWrapping"/>
            </w:r>
            <w:r>
              <w:rPr>
                <w:rFonts w:hint="eastAsia" w:ascii="宋体" w:hAnsi="宋体" w:eastAsia="宋体" w:cs="宋体"/>
                <w:i w:val="0"/>
                <w:iCs w:val="0"/>
                <w:color w:val="000000"/>
                <w:kern w:val="0"/>
                <w:sz w:val="20"/>
                <w:szCs w:val="20"/>
                <w:u w:val="none"/>
                <w:bdr w:val="none" w:color="auto" w:sz="0" w:space="0"/>
                <w:lang w:val="en-US" w:eastAsia="zh-CN" w:bidi="ar"/>
              </w:rPr>
              <w:t>（万元）</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2727F74">
            <w:pPr>
              <w:snapToGrid w:val="0"/>
              <w:jc w:val="center"/>
              <w:rPr>
                <w:rFonts w:hint="eastAsia" w:ascii="宋体" w:hAnsi="宋体" w:eastAsia="宋体" w:cs="宋体"/>
                <w:i w:val="0"/>
                <w:iCs w:val="0"/>
                <w:color w:val="000000"/>
                <w:sz w:val="20"/>
                <w:szCs w:val="20"/>
                <w:u w:val="none"/>
              </w:rPr>
            </w:pP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44EA875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年初预算数</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55E111A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全年预算数</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2259E67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全年执行数</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7C859E2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772" w:type="pct"/>
            <w:gridSpan w:val="2"/>
            <w:tcBorders>
              <w:top w:val="single" w:color="000000" w:sz="4" w:space="0"/>
              <w:left w:val="single" w:color="000000" w:sz="4" w:space="0"/>
              <w:bottom w:val="single" w:color="000000" w:sz="4" w:space="0"/>
              <w:right w:val="single" w:color="000000" w:sz="4" w:space="0"/>
            </w:tcBorders>
            <w:shd w:val="clear"/>
            <w:vAlign w:val="center"/>
          </w:tcPr>
          <w:p w14:paraId="504AD5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执行率</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0989529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r>
      <w:tr w14:paraId="26656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6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7DDE97BF">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B1253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年度资金总额</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6465F83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110.36</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7F22C59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103.07</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4A31348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103.07</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626A07A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72" w:type="pct"/>
            <w:gridSpan w:val="2"/>
            <w:tcBorders>
              <w:top w:val="single" w:color="000000" w:sz="4" w:space="0"/>
              <w:left w:val="single" w:color="000000" w:sz="4" w:space="0"/>
              <w:bottom w:val="single" w:color="000000" w:sz="4" w:space="0"/>
              <w:right w:val="single" w:color="000000" w:sz="4" w:space="0"/>
            </w:tcBorders>
            <w:shd w:val="clear"/>
            <w:vAlign w:val="center"/>
          </w:tcPr>
          <w:p w14:paraId="7F71FD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3DE1044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10.00分</w:t>
            </w:r>
          </w:p>
        </w:tc>
      </w:tr>
      <w:tr w14:paraId="3B5E9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6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26A0933E">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55C2685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其中：当年财政拨款</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0DA91C9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110.36</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14D0FA4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103.07</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053D715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103.07</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08B9377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72" w:type="pct"/>
            <w:gridSpan w:val="2"/>
            <w:tcBorders>
              <w:top w:val="single" w:color="000000" w:sz="4" w:space="0"/>
              <w:left w:val="single" w:color="000000" w:sz="4" w:space="0"/>
              <w:bottom w:val="single" w:color="000000" w:sz="4" w:space="0"/>
              <w:right w:val="single" w:color="000000" w:sz="4" w:space="0"/>
            </w:tcBorders>
            <w:shd w:val="clear"/>
            <w:vAlign w:val="center"/>
          </w:tcPr>
          <w:p w14:paraId="372A61D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509628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1BFC8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662"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43375284">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B78883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 xml:space="preserve">  其他资金</w:t>
            </w:r>
          </w:p>
        </w:tc>
        <w:tc>
          <w:tcPr>
            <w:tcW w:w="1117" w:type="pct"/>
            <w:tcBorders>
              <w:top w:val="single" w:color="000000" w:sz="4" w:space="0"/>
              <w:left w:val="single" w:color="000000" w:sz="4" w:space="0"/>
              <w:bottom w:val="single" w:color="000000" w:sz="4" w:space="0"/>
              <w:right w:val="single" w:color="000000" w:sz="4" w:space="0"/>
            </w:tcBorders>
            <w:shd w:val="clear"/>
            <w:vAlign w:val="center"/>
          </w:tcPr>
          <w:p w14:paraId="7E0D68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0E207D2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748D6F1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592E0D6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772" w:type="pct"/>
            <w:gridSpan w:val="2"/>
            <w:tcBorders>
              <w:top w:val="single" w:color="000000" w:sz="4" w:space="0"/>
              <w:left w:val="single" w:color="000000" w:sz="4" w:space="0"/>
              <w:bottom w:val="single" w:color="000000" w:sz="4" w:space="0"/>
              <w:right w:val="single" w:color="000000" w:sz="4" w:space="0"/>
            </w:tcBorders>
            <w:shd w:val="clear"/>
            <w:vAlign w:val="center"/>
          </w:tcPr>
          <w:p w14:paraId="08983E5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479" w:type="pct"/>
            <w:tcBorders>
              <w:top w:val="single" w:color="000000" w:sz="4" w:space="0"/>
              <w:left w:val="single" w:color="000000" w:sz="4" w:space="0"/>
              <w:bottom w:val="single" w:color="000000" w:sz="4" w:space="0"/>
              <w:right w:val="single" w:color="000000" w:sz="4" w:space="0"/>
            </w:tcBorders>
            <w:shd w:val="clear"/>
            <w:vAlign w:val="center"/>
          </w:tcPr>
          <w:p w14:paraId="655470E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r>
      <w:tr w14:paraId="5C7FC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A8797C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年度总体目标</w:t>
            </w:r>
          </w:p>
        </w:tc>
        <w:tc>
          <w:tcPr>
            <w:tcW w:w="2497" w:type="pct"/>
            <w:gridSpan w:val="4"/>
            <w:tcBorders>
              <w:top w:val="single" w:color="000000" w:sz="4" w:space="0"/>
              <w:left w:val="single" w:color="000000" w:sz="4" w:space="0"/>
              <w:bottom w:val="single" w:color="000000" w:sz="4" w:space="0"/>
              <w:right w:val="single" w:color="000000" w:sz="4" w:space="0"/>
            </w:tcBorders>
            <w:shd w:val="clear"/>
            <w:vAlign w:val="center"/>
          </w:tcPr>
          <w:p w14:paraId="7528C14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预期目标</w:t>
            </w:r>
          </w:p>
        </w:tc>
        <w:tc>
          <w:tcPr>
            <w:tcW w:w="2168" w:type="pct"/>
            <w:gridSpan w:val="5"/>
            <w:tcBorders>
              <w:top w:val="single" w:color="000000" w:sz="4" w:space="0"/>
              <w:left w:val="single" w:color="000000" w:sz="4" w:space="0"/>
              <w:bottom w:val="single" w:color="000000" w:sz="4" w:space="0"/>
              <w:right w:val="single" w:color="000000" w:sz="4" w:space="0"/>
            </w:tcBorders>
            <w:shd w:val="clear"/>
            <w:vAlign w:val="center"/>
          </w:tcPr>
          <w:p w14:paraId="1EDC367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实际完成情况</w:t>
            </w:r>
          </w:p>
        </w:tc>
      </w:tr>
      <w:tr w14:paraId="31A24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F94479B">
            <w:pPr>
              <w:snapToGrid w:val="0"/>
              <w:jc w:val="center"/>
              <w:rPr>
                <w:rFonts w:hint="eastAsia" w:ascii="宋体" w:hAnsi="宋体" w:eastAsia="宋体" w:cs="宋体"/>
                <w:i w:val="0"/>
                <w:iCs w:val="0"/>
                <w:color w:val="000000"/>
                <w:sz w:val="20"/>
                <w:szCs w:val="20"/>
                <w:u w:val="none"/>
              </w:rPr>
            </w:pPr>
          </w:p>
        </w:tc>
        <w:tc>
          <w:tcPr>
            <w:tcW w:w="2497" w:type="pct"/>
            <w:gridSpan w:val="4"/>
            <w:tcBorders>
              <w:top w:val="single" w:color="000000" w:sz="4" w:space="0"/>
              <w:left w:val="single" w:color="000000" w:sz="4" w:space="0"/>
              <w:bottom w:val="single" w:color="000000" w:sz="4" w:space="0"/>
              <w:right w:val="single" w:color="000000" w:sz="4" w:space="0"/>
            </w:tcBorders>
            <w:shd w:val="clear"/>
            <w:vAlign w:val="top"/>
          </w:tcPr>
          <w:p w14:paraId="681F1F01">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通过聘用教师25人，提高了教育教学水平全面提升我区各级各类教师的综合素质和专业技能，保障中学教师队伍的稳定。</w:t>
            </w:r>
          </w:p>
        </w:tc>
        <w:tc>
          <w:tcPr>
            <w:tcW w:w="2168" w:type="pct"/>
            <w:gridSpan w:val="5"/>
            <w:tcBorders>
              <w:top w:val="single" w:color="000000" w:sz="4" w:space="0"/>
              <w:left w:val="single" w:color="000000" w:sz="4" w:space="0"/>
              <w:bottom w:val="single" w:color="000000" w:sz="4" w:space="0"/>
              <w:right w:val="single" w:color="000000" w:sz="4" w:space="0"/>
            </w:tcBorders>
            <w:shd w:val="clear"/>
            <w:vAlign w:val="top"/>
          </w:tcPr>
          <w:p w14:paraId="51CBB565">
            <w:pPr>
              <w:keepNext w:val="0"/>
              <w:keepLines w:val="0"/>
              <w:widowControl/>
              <w:suppressLineNumbers w:val="0"/>
              <w:snapToGrid w:val="0"/>
              <w:jc w:val="left"/>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全年聘用教师25人，有效提高了我校教育教学水平，同时保障了中学教师队伍的稳定。</w:t>
            </w:r>
          </w:p>
        </w:tc>
      </w:tr>
      <w:tr w14:paraId="6EA2F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334" w:type="pct"/>
            <w:vMerge w:val="restart"/>
            <w:tcBorders>
              <w:top w:val="single" w:color="000000" w:sz="4" w:space="0"/>
              <w:left w:val="single" w:color="000000" w:sz="4" w:space="0"/>
              <w:bottom w:val="single" w:color="000000" w:sz="4" w:space="0"/>
              <w:right w:val="single" w:color="000000" w:sz="4" w:space="0"/>
            </w:tcBorders>
            <w:shd w:val="clear"/>
            <w:vAlign w:val="center"/>
          </w:tcPr>
          <w:p w14:paraId="3213847C">
            <w:pPr>
              <w:snapToGrid w:val="0"/>
              <w:jc w:val="center"/>
              <w:rPr>
                <w:rFonts w:hint="eastAsia" w:ascii="宋体" w:hAnsi="宋体" w:eastAsia="宋体" w:cs="宋体"/>
                <w:i w:val="0"/>
                <w:iCs w:val="0"/>
                <w:color w:val="000000"/>
                <w:sz w:val="20"/>
                <w:szCs w:val="20"/>
                <w:u w:val="none"/>
              </w:rPr>
            </w:pPr>
          </w:p>
        </w:tc>
        <w:tc>
          <w:tcPr>
            <w:tcW w:w="328" w:type="pct"/>
            <w:vMerge w:val="restart"/>
            <w:tcBorders>
              <w:top w:val="single" w:color="000000" w:sz="4" w:space="0"/>
              <w:left w:val="single" w:color="000000" w:sz="4" w:space="0"/>
              <w:bottom w:val="single" w:color="000000" w:sz="4" w:space="0"/>
              <w:right w:val="single" w:color="000000" w:sz="4" w:space="0"/>
            </w:tcBorders>
            <w:shd w:val="clear"/>
            <w:vAlign w:val="center"/>
          </w:tcPr>
          <w:p w14:paraId="0C212B8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一级指标</w:t>
            </w:r>
          </w:p>
        </w:tc>
        <w:tc>
          <w:tcPr>
            <w:tcW w:w="5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06B5A54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二级指标</w:t>
            </w:r>
          </w:p>
        </w:tc>
        <w:tc>
          <w:tcPr>
            <w:tcW w:w="1117" w:type="pct"/>
            <w:vMerge w:val="restart"/>
            <w:tcBorders>
              <w:top w:val="single" w:color="000000" w:sz="4" w:space="0"/>
              <w:left w:val="single" w:color="000000" w:sz="4" w:space="0"/>
              <w:bottom w:val="single" w:color="000000" w:sz="4" w:space="0"/>
              <w:right w:val="single" w:color="000000" w:sz="4" w:space="0"/>
            </w:tcBorders>
            <w:shd w:val="clear"/>
            <w:vAlign w:val="center"/>
          </w:tcPr>
          <w:p w14:paraId="55B2116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三级指标</w:t>
            </w:r>
          </w:p>
        </w:tc>
        <w:tc>
          <w:tcPr>
            <w:tcW w:w="544" w:type="pct"/>
            <w:vMerge w:val="restart"/>
            <w:tcBorders>
              <w:top w:val="single" w:color="000000" w:sz="4" w:space="0"/>
              <w:left w:val="single" w:color="000000" w:sz="4" w:space="0"/>
              <w:bottom w:val="single" w:color="000000" w:sz="4" w:space="0"/>
              <w:right w:val="single" w:color="000000" w:sz="4" w:space="0"/>
            </w:tcBorders>
            <w:shd w:val="clear"/>
            <w:vAlign w:val="center"/>
          </w:tcPr>
          <w:p w14:paraId="253E34F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年度指标值</w:t>
            </w:r>
          </w:p>
        </w:tc>
        <w:tc>
          <w:tcPr>
            <w:tcW w:w="580" w:type="pct"/>
            <w:vMerge w:val="restart"/>
            <w:tcBorders>
              <w:top w:val="single" w:color="000000" w:sz="4" w:space="0"/>
              <w:left w:val="single" w:color="000000" w:sz="4" w:space="0"/>
              <w:bottom w:val="single" w:color="000000" w:sz="4" w:space="0"/>
              <w:right w:val="single" w:color="000000" w:sz="4" w:space="0"/>
            </w:tcBorders>
            <w:shd w:val="clear"/>
            <w:vAlign w:val="center"/>
          </w:tcPr>
          <w:p w14:paraId="3A9E78E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实际完成值</w:t>
            </w:r>
          </w:p>
        </w:tc>
        <w:tc>
          <w:tcPr>
            <w:tcW w:w="336" w:type="pct"/>
            <w:vMerge w:val="restart"/>
            <w:tcBorders>
              <w:top w:val="single" w:color="000000" w:sz="4" w:space="0"/>
              <w:left w:val="single" w:color="000000" w:sz="4" w:space="0"/>
              <w:bottom w:val="single" w:color="000000" w:sz="4" w:space="0"/>
              <w:right w:val="single" w:color="000000" w:sz="4" w:space="0"/>
            </w:tcBorders>
            <w:shd w:val="clear"/>
            <w:vAlign w:val="center"/>
          </w:tcPr>
          <w:p w14:paraId="60FCD8B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分值</w:t>
            </w:r>
          </w:p>
        </w:tc>
        <w:tc>
          <w:tcPr>
            <w:tcW w:w="483" w:type="pct"/>
            <w:vMerge w:val="restart"/>
            <w:tcBorders>
              <w:top w:val="single" w:color="000000" w:sz="4" w:space="0"/>
              <w:left w:val="single" w:color="000000" w:sz="4" w:space="0"/>
              <w:bottom w:val="single" w:color="000000" w:sz="4" w:space="0"/>
              <w:right w:val="single" w:color="000000" w:sz="4" w:space="0"/>
            </w:tcBorders>
            <w:shd w:val="clear"/>
            <w:vAlign w:val="center"/>
          </w:tcPr>
          <w:p w14:paraId="1CFE4856">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得分</w:t>
            </w:r>
          </w:p>
        </w:tc>
        <w:tc>
          <w:tcPr>
            <w:tcW w:w="769" w:type="pct"/>
            <w:gridSpan w:val="2"/>
            <w:vMerge w:val="restart"/>
            <w:tcBorders>
              <w:top w:val="single" w:color="000000" w:sz="4" w:space="0"/>
              <w:left w:val="single" w:color="000000" w:sz="4" w:space="0"/>
              <w:bottom w:val="single" w:color="000000" w:sz="4" w:space="0"/>
              <w:right w:val="single" w:color="000000" w:sz="4" w:space="0"/>
            </w:tcBorders>
            <w:shd w:val="clear"/>
            <w:vAlign w:val="center"/>
          </w:tcPr>
          <w:p w14:paraId="5B8600F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偏差原因分析及改进措施</w:t>
            </w:r>
          </w:p>
        </w:tc>
      </w:tr>
      <w:tr w14:paraId="4D134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12"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16449F2">
            <w:pPr>
              <w:snapToGrid w:val="0"/>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675FA2C">
            <w:pPr>
              <w:snapToGrid w:val="0"/>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2E2604A">
            <w:pPr>
              <w:snapToGrid w:val="0"/>
              <w:jc w:val="center"/>
              <w:rPr>
                <w:rFonts w:hint="eastAsia" w:ascii="宋体" w:hAnsi="宋体" w:eastAsia="宋体" w:cs="宋体"/>
                <w:i w:val="0"/>
                <w:iCs w:val="0"/>
                <w:color w:val="000000"/>
                <w:sz w:val="20"/>
                <w:szCs w:val="20"/>
                <w:u w:val="none"/>
              </w:rPr>
            </w:pPr>
          </w:p>
        </w:tc>
        <w:tc>
          <w:tcPr>
            <w:tcW w:w="111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93508AD">
            <w:pPr>
              <w:snapToGrid w:val="0"/>
              <w:jc w:val="center"/>
              <w:rPr>
                <w:rFonts w:hint="eastAsia" w:ascii="宋体" w:hAnsi="宋体" w:eastAsia="宋体" w:cs="宋体"/>
                <w:i w:val="0"/>
                <w:iCs w:val="0"/>
                <w:color w:val="000000"/>
                <w:sz w:val="20"/>
                <w:szCs w:val="20"/>
                <w:u w:val="none"/>
              </w:rPr>
            </w:pPr>
          </w:p>
        </w:tc>
        <w:tc>
          <w:tcPr>
            <w:tcW w:w="54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7255564">
            <w:pPr>
              <w:snapToGrid w:val="0"/>
              <w:jc w:val="center"/>
              <w:rPr>
                <w:rFonts w:hint="eastAsia" w:ascii="宋体" w:hAnsi="宋体" w:eastAsia="宋体" w:cs="宋体"/>
                <w:i w:val="0"/>
                <w:iCs w:val="0"/>
                <w:color w:val="000000"/>
                <w:sz w:val="20"/>
                <w:szCs w:val="20"/>
                <w:u w:val="none"/>
              </w:rPr>
            </w:pPr>
          </w:p>
        </w:tc>
        <w:tc>
          <w:tcPr>
            <w:tcW w:w="580" w:type="pct"/>
            <w:vMerge w:val="continue"/>
            <w:tcBorders>
              <w:top w:val="single" w:color="000000" w:sz="4" w:space="0"/>
              <w:left w:val="single" w:color="000000" w:sz="4" w:space="0"/>
              <w:bottom w:val="single" w:color="000000" w:sz="4" w:space="0"/>
              <w:right w:val="single" w:color="000000" w:sz="4" w:space="0"/>
            </w:tcBorders>
            <w:shd w:val="clear"/>
            <w:vAlign w:val="center"/>
          </w:tcPr>
          <w:p w14:paraId="5E1990EF">
            <w:pPr>
              <w:snapToGrid w:val="0"/>
              <w:jc w:val="center"/>
              <w:rPr>
                <w:rFonts w:hint="eastAsia" w:ascii="宋体" w:hAnsi="宋体" w:eastAsia="宋体" w:cs="宋体"/>
                <w:i w:val="0"/>
                <w:iCs w:val="0"/>
                <w:color w:val="000000"/>
                <w:sz w:val="20"/>
                <w:szCs w:val="20"/>
                <w:u w:val="none"/>
              </w:rPr>
            </w:pPr>
          </w:p>
        </w:tc>
        <w:tc>
          <w:tcPr>
            <w:tcW w:w="336"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37E0D3D">
            <w:pPr>
              <w:snapToGrid w:val="0"/>
              <w:jc w:val="center"/>
              <w:rPr>
                <w:rFonts w:hint="eastAsia" w:ascii="宋体" w:hAnsi="宋体" w:eastAsia="宋体" w:cs="宋体"/>
                <w:i w:val="0"/>
                <w:iCs w:val="0"/>
                <w:color w:val="000000"/>
                <w:sz w:val="20"/>
                <w:szCs w:val="20"/>
                <w:u w:val="none"/>
              </w:rPr>
            </w:pPr>
          </w:p>
        </w:tc>
        <w:tc>
          <w:tcPr>
            <w:tcW w:w="483"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680A59B">
            <w:pPr>
              <w:snapToGrid w:val="0"/>
              <w:jc w:val="center"/>
              <w:rPr>
                <w:rFonts w:hint="eastAsia" w:ascii="宋体" w:hAnsi="宋体" w:eastAsia="宋体" w:cs="宋体"/>
                <w:i w:val="0"/>
                <w:iCs w:val="0"/>
                <w:color w:val="000000"/>
                <w:sz w:val="20"/>
                <w:szCs w:val="20"/>
                <w:u w:val="none"/>
              </w:rPr>
            </w:pPr>
          </w:p>
        </w:tc>
        <w:tc>
          <w:tcPr>
            <w:tcW w:w="769" w:type="pct"/>
            <w:gridSpan w:val="2"/>
            <w:vMerge w:val="continue"/>
            <w:tcBorders>
              <w:top w:val="single" w:color="000000" w:sz="4" w:space="0"/>
              <w:left w:val="single" w:color="000000" w:sz="4" w:space="0"/>
              <w:bottom w:val="single" w:color="000000" w:sz="4" w:space="0"/>
              <w:right w:val="single" w:color="000000" w:sz="4" w:space="0"/>
            </w:tcBorders>
            <w:shd w:val="clear"/>
            <w:vAlign w:val="center"/>
          </w:tcPr>
          <w:p w14:paraId="5DA537CA">
            <w:pPr>
              <w:snapToGrid w:val="0"/>
              <w:jc w:val="center"/>
              <w:rPr>
                <w:rFonts w:hint="eastAsia" w:ascii="宋体" w:hAnsi="宋体" w:eastAsia="宋体" w:cs="宋体"/>
                <w:i w:val="0"/>
                <w:iCs w:val="0"/>
                <w:color w:val="000000"/>
                <w:sz w:val="20"/>
                <w:szCs w:val="20"/>
                <w:u w:val="none"/>
              </w:rPr>
            </w:pPr>
          </w:p>
        </w:tc>
      </w:tr>
      <w:tr w14:paraId="2C091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4" w:type="pct"/>
            <w:vMerge w:val="restart"/>
            <w:tcBorders>
              <w:top w:val="single" w:color="000000" w:sz="4" w:space="0"/>
              <w:left w:val="single" w:color="000000" w:sz="4" w:space="0"/>
              <w:bottom w:val="single" w:color="000000" w:sz="4" w:space="0"/>
              <w:right w:val="single" w:color="000000" w:sz="4" w:space="0"/>
            </w:tcBorders>
            <w:shd w:val="clear"/>
            <w:vAlign w:val="center"/>
          </w:tcPr>
          <w:p w14:paraId="44C2676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年度绩效指标完成情况</w:t>
            </w:r>
          </w:p>
        </w:tc>
        <w:tc>
          <w:tcPr>
            <w:tcW w:w="328" w:type="pct"/>
            <w:vMerge w:val="restart"/>
            <w:tcBorders>
              <w:top w:val="single" w:color="000000" w:sz="4" w:space="0"/>
              <w:left w:val="single" w:color="000000" w:sz="4" w:space="0"/>
              <w:bottom w:val="single" w:color="000000" w:sz="4" w:space="0"/>
              <w:right w:val="single" w:color="000000" w:sz="4" w:space="0"/>
            </w:tcBorders>
            <w:shd w:val="clear"/>
            <w:vAlign w:val="center"/>
          </w:tcPr>
          <w:p w14:paraId="1BABAE7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产出指标</w:t>
            </w:r>
          </w:p>
        </w:tc>
        <w:tc>
          <w:tcPr>
            <w:tcW w:w="507" w:type="pct"/>
            <w:vMerge w:val="restart"/>
            <w:tcBorders>
              <w:top w:val="single" w:color="000000" w:sz="4" w:space="0"/>
              <w:left w:val="single" w:color="000000" w:sz="4" w:space="0"/>
              <w:bottom w:val="single" w:color="000000" w:sz="4" w:space="0"/>
              <w:right w:val="single" w:color="000000" w:sz="4" w:space="0"/>
            </w:tcBorders>
            <w:shd w:val="clear"/>
            <w:vAlign w:val="center"/>
          </w:tcPr>
          <w:p w14:paraId="7D906A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数量指标</w:t>
            </w: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22B6718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发放补助人数</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7E663A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&gt;=25人</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7A79D91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=25人</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79D69A9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3BDD669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7A3FB5B5">
            <w:pPr>
              <w:snapToGrid w:val="0"/>
              <w:jc w:val="center"/>
              <w:rPr>
                <w:rFonts w:hint="eastAsia" w:ascii="宋体" w:hAnsi="宋体" w:eastAsia="宋体" w:cs="宋体"/>
                <w:i w:val="0"/>
                <w:iCs w:val="0"/>
                <w:color w:val="000000"/>
                <w:sz w:val="20"/>
                <w:szCs w:val="20"/>
                <w:u w:val="none"/>
              </w:rPr>
            </w:pPr>
          </w:p>
        </w:tc>
      </w:tr>
      <w:tr w14:paraId="74E57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13AE981">
            <w:pPr>
              <w:snapToGrid w:val="0"/>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98A6989">
            <w:pPr>
              <w:snapToGrid w:val="0"/>
              <w:jc w:val="center"/>
              <w:rPr>
                <w:rFonts w:hint="eastAsia" w:ascii="宋体" w:hAnsi="宋体" w:eastAsia="宋体" w:cs="宋体"/>
                <w:i w:val="0"/>
                <w:iCs w:val="0"/>
                <w:color w:val="000000"/>
                <w:sz w:val="20"/>
                <w:szCs w:val="20"/>
                <w:u w:val="none"/>
              </w:rPr>
            </w:pPr>
          </w:p>
        </w:tc>
        <w:tc>
          <w:tcPr>
            <w:tcW w:w="507"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E03428D">
            <w:pPr>
              <w:snapToGrid w:val="0"/>
              <w:jc w:val="center"/>
              <w:rPr>
                <w:rFonts w:hint="eastAsia" w:ascii="宋体" w:hAnsi="宋体" w:eastAsia="宋体" w:cs="宋体"/>
                <w:i w:val="0"/>
                <w:iCs w:val="0"/>
                <w:color w:val="000000"/>
                <w:sz w:val="20"/>
                <w:szCs w:val="20"/>
                <w:u w:val="none"/>
              </w:rPr>
            </w:pP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0E24A07">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发放补助次数</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26F6895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100C305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=12次</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4B90BC0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5117198">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76193671">
            <w:pPr>
              <w:snapToGrid w:val="0"/>
              <w:jc w:val="center"/>
              <w:rPr>
                <w:rFonts w:hint="eastAsia" w:ascii="宋体" w:hAnsi="宋体" w:eastAsia="宋体" w:cs="宋体"/>
                <w:i w:val="0"/>
                <w:iCs w:val="0"/>
                <w:color w:val="000000"/>
                <w:sz w:val="20"/>
                <w:szCs w:val="20"/>
                <w:u w:val="none"/>
              </w:rPr>
            </w:pPr>
          </w:p>
        </w:tc>
      </w:tr>
      <w:tr w14:paraId="2F7C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6317B046">
            <w:pPr>
              <w:snapToGrid w:val="0"/>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9EC3B93">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86B80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质量指标</w:t>
            </w: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1381D012">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发放准确率</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7BDC70B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1D14A3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188687D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1EC7C5C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45D4D80E">
            <w:pPr>
              <w:snapToGrid w:val="0"/>
              <w:jc w:val="center"/>
              <w:rPr>
                <w:rFonts w:hint="eastAsia" w:ascii="宋体" w:hAnsi="宋体" w:eastAsia="宋体" w:cs="宋体"/>
                <w:i w:val="0"/>
                <w:iCs w:val="0"/>
                <w:color w:val="000000"/>
                <w:sz w:val="20"/>
                <w:szCs w:val="20"/>
                <w:u w:val="none"/>
              </w:rPr>
            </w:pPr>
          </w:p>
        </w:tc>
      </w:tr>
      <w:tr w14:paraId="7E4FC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0B1F4FBD">
            <w:pPr>
              <w:snapToGrid w:val="0"/>
              <w:jc w:val="center"/>
              <w:rPr>
                <w:rFonts w:hint="eastAsia" w:ascii="宋体" w:hAnsi="宋体" w:eastAsia="宋体" w:cs="宋体"/>
                <w:i w:val="0"/>
                <w:iCs w:val="0"/>
                <w:color w:val="000000"/>
                <w:sz w:val="20"/>
                <w:szCs w:val="20"/>
                <w:u w:val="none"/>
              </w:rPr>
            </w:pPr>
          </w:p>
        </w:tc>
        <w:tc>
          <w:tcPr>
            <w:tcW w:w="328" w:type="pct"/>
            <w:vMerge w:val="continue"/>
            <w:tcBorders>
              <w:top w:val="single" w:color="000000" w:sz="4" w:space="0"/>
              <w:left w:val="single" w:color="000000" w:sz="4" w:space="0"/>
              <w:bottom w:val="single" w:color="000000" w:sz="4" w:space="0"/>
              <w:right w:val="single" w:color="000000" w:sz="4" w:space="0"/>
            </w:tcBorders>
            <w:shd w:val="clear"/>
            <w:vAlign w:val="center"/>
          </w:tcPr>
          <w:p w14:paraId="3D89BD00">
            <w:pPr>
              <w:snapToGrid w:val="0"/>
              <w:jc w:val="center"/>
              <w:rPr>
                <w:rFonts w:hint="eastAsia" w:ascii="宋体" w:hAnsi="宋体" w:eastAsia="宋体" w:cs="宋体"/>
                <w:i w:val="0"/>
                <w:iCs w:val="0"/>
                <w:color w:val="000000"/>
                <w:sz w:val="20"/>
                <w:szCs w:val="20"/>
                <w:u w:val="none"/>
              </w:rPr>
            </w:pP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020F6E3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时效指标</w:t>
            </w: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37FE29B1">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资金发放及时率</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0B558A5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&gt;=95%</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75D9373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435A911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101C66C9">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165AC7BC">
            <w:pPr>
              <w:snapToGrid w:val="0"/>
              <w:jc w:val="center"/>
              <w:rPr>
                <w:rFonts w:hint="eastAsia" w:ascii="宋体" w:hAnsi="宋体" w:eastAsia="宋体" w:cs="宋体"/>
                <w:i w:val="0"/>
                <w:iCs w:val="0"/>
                <w:color w:val="000000"/>
                <w:sz w:val="20"/>
                <w:szCs w:val="20"/>
                <w:u w:val="none"/>
              </w:rPr>
            </w:pPr>
          </w:p>
        </w:tc>
      </w:tr>
      <w:tr w14:paraId="48DCE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485F983D">
            <w:pPr>
              <w:snapToGrid w:val="0"/>
              <w:jc w:val="center"/>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11F1121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成本指标</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43255107">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经济成本指标</w:t>
            </w: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1989CEEB">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每次发放资金数</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7AC7414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&lt;=8.59万元</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7A93DBC3">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=8.59万元</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33EF80BF">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3AA75F4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16D253FB">
            <w:pPr>
              <w:snapToGrid w:val="0"/>
              <w:jc w:val="center"/>
              <w:rPr>
                <w:rFonts w:hint="eastAsia" w:ascii="宋体" w:hAnsi="宋体" w:eastAsia="宋体" w:cs="宋体"/>
                <w:i w:val="0"/>
                <w:iCs w:val="0"/>
                <w:color w:val="000000"/>
                <w:sz w:val="20"/>
                <w:szCs w:val="20"/>
                <w:u w:val="none"/>
              </w:rPr>
            </w:pPr>
          </w:p>
        </w:tc>
      </w:tr>
      <w:tr w14:paraId="75127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18DE30FA">
            <w:pPr>
              <w:snapToGrid w:val="0"/>
              <w:jc w:val="center"/>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0948DD9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效益指标</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397742BC">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社会效益指标</w:t>
            </w: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09D1BD36">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提高教育教学质量</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4E15CBA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有效提高</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0819F4AD">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完全达到预期</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3198CE5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178CC375">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37199C61">
            <w:pPr>
              <w:snapToGrid w:val="0"/>
              <w:jc w:val="center"/>
              <w:rPr>
                <w:rFonts w:hint="eastAsia" w:ascii="宋体" w:hAnsi="宋体" w:eastAsia="宋体" w:cs="宋体"/>
                <w:i w:val="0"/>
                <w:iCs w:val="0"/>
                <w:color w:val="000000"/>
                <w:sz w:val="20"/>
                <w:szCs w:val="20"/>
                <w:u w:val="none"/>
              </w:rPr>
            </w:pPr>
          </w:p>
        </w:tc>
      </w:tr>
      <w:tr w14:paraId="2CAA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34" w:type="pct"/>
            <w:vMerge w:val="continue"/>
            <w:tcBorders>
              <w:top w:val="single" w:color="000000" w:sz="4" w:space="0"/>
              <w:left w:val="single" w:color="000000" w:sz="4" w:space="0"/>
              <w:bottom w:val="single" w:color="000000" w:sz="4" w:space="0"/>
              <w:right w:val="single" w:color="000000" w:sz="4" w:space="0"/>
            </w:tcBorders>
            <w:shd w:val="clear"/>
            <w:vAlign w:val="center"/>
          </w:tcPr>
          <w:p w14:paraId="78C30121">
            <w:pPr>
              <w:snapToGrid w:val="0"/>
              <w:jc w:val="center"/>
              <w:rPr>
                <w:rFonts w:hint="eastAsia" w:ascii="宋体" w:hAnsi="宋体" w:eastAsia="宋体" w:cs="宋体"/>
                <w:i w:val="0"/>
                <w:iCs w:val="0"/>
                <w:color w:val="000000"/>
                <w:sz w:val="20"/>
                <w:szCs w:val="20"/>
                <w:u w:val="none"/>
              </w:rPr>
            </w:pPr>
          </w:p>
        </w:tc>
        <w:tc>
          <w:tcPr>
            <w:tcW w:w="328" w:type="pct"/>
            <w:tcBorders>
              <w:top w:val="single" w:color="000000" w:sz="4" w:space="0"/>
              <w:left w:val="single" w:color="000000" w:sz="4" w:space="0"/>
              <w:bottom w:val="single" w:color="000000" w:sz="4" w:space="0"/>
              <w:right w:val="single" w:color="000000" w:sz="4" w:space="0"/>
            </w:tcBorders>
            <w:shd w:val="clear"/>
            <w:vAlign w:val="center"/>
          </w:tcPr>
          <w:p w14:paraId="012EAE8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507" w:type="pct"/>
            <w:tcBorders>
              <w:top w:val="single" w:color="000000" w:sz="4" w:space="0"/>
              <w:left w:val="single" w:color="000000" w:sz="4" w:space="0"/>
              <w:bottom w:val="single" w:color="000000" w:sz="4" w:space="0"/>
              <w:right w:val="single" w:color="000000" w:sz="4" w:space="0"/>
            </w:tcBorders>
            <w:shd w:val="clear"/>
            <w:vAlign w:val="center"/>
          </w:tcPr>
          <w:p w14:paraId="61C8CA7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满意度指标</w:t>
            </w:r>
          </w:p>
        </w:tc>
        <w:tc>
          <w:tcPr>
            <w:tcW w:w="1117" w:type="pct"/>
            <w:tcBorders>
              <w:top w:val="single" w:color="000000" w:sz="4" w:space="0"/>
              <w:left w:val="single" w:color="000000" w:sz="4" w:space="0"/>
              <w:bottom w:val="single" w:color="000000" w:sz="4" w:space="0"/>
              <w:right w:val="single" w:color="000000" w:sz="4" w:space="0"/>
            </w:tcBorders>
            <w:shd w:val="clear"/>
            <w:noWrap/>
            <w:vAlign w:val="center"/>
          </w:tcPr>
          <w:p w14:paraId="777847AD">
            <w:pPr>
              <w:keepNext w:val="0"/>
              <w:keepLines w:val="0"/>
              <w:widowControl/>
              <w:suppressLineNumbers w:val="0"/>
              <w:snapToGrid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临聘教师满意度</w:t>
            </w:r>
          </w:p>
        </w:tc>
        <w:tc>
          <w:tcPr>
            <w:tcW w:w="544" w:type="pct"/>
            <w:tcBorders>
              <w:top w:val="single" w:color="000000" w:sz="4" w:space="0"/>
              <w:left w:val="single" w:color="000000" w:sz="4" w:space="0"/>
              <w:bottom w:val="single" w:color="000000" w:sz="4" w:space="0"/>
              <w:right w:val="single" w:color="000000" w:sz="4" w:space="0"/>
            </w:tcBorders>
            <w:shd w:val="clear"/>
            <w:vAlign w:val="center"/>
          </w:tcPr>
          <w:p w14:paraId="343756DE">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&gt;=90%</w:t>
            </w:r>
          </w:p>
        </w:tc>
        <w:tc>
          <w:tcPr>
            <w:tcW w:w="580" w:type="pct"/>
            <w:tcBorders>
              <w:top w:val="single" w:color="000000" w:sz="4" w:space="0"/>
              <w:left w:val="single" w:color="000000" w:sz="4" w:space="0"/>
              <w:bottom w:val="single" w:color="000000" w:sz="4" w:space="0"/>
              <w:right w:val="single" w:color="000000" w:sz="4" w:space="0"/>
            </w:tcBorders>
            <w:shd w:val="clear"/>
            <w:vAlign w:val="center"/>
          </w:tcPr>
          <w:p w14:paraId="7301FF6A">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=90%</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4D81B302">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4022A4F1">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05395CD6">
            <w:pPr>
              <w:snapToGrid w:val="0"/>
              <w:jc w:val="center"/>
              <w:rPr>
                <w:rFonts w:hint="eastAsia" w:ascii="宋体" w:hAnsi="宋体" w:eastAsia="宋体" w:cs="宋体"/>
                <w:i w:val="0"/>
                <w:iCs w:val="0"/>
                <w:color w:val="000000"/>
                <w:sz w:val="20"/>
                <w:szCs w:val="20"/>
                <w:u w:val="none"/>
              </w:rPr>
            </w:pPr>
          </w:p>
        </w:tc>
      </w:tr>
      <w:tr w14:paraId="4C052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0" w:hRule="atLeast"/>
          <w:jc w:val="center"/>
        </w:trPr>
        <w:tc>
          <w:tcPr>
            <w:tcW w:w="3411" w:type="pct"/>
            <w:gridSpan w:val="6"/>
            <w:tcBorders>
              <w:top w:val="single" w:color="000000" w:sz="4" w:space="0"/>
              <w:left w:val="single" w:color="000000" w:sz="4" w:space="0"/>
              <w:bottom w:val="single" w:color="000000" w:sz="4" w:space="0"/>
              <w:right w:val="single" w:color="000000" w:sz="4" w:space="0"/>
            </w:tcBorders>
            <w:shd w:val="clear"/>
            <w:vAlign w:val="center"/>
          </w:tcPr>
          <w:p w14:paraId="58923E20">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总分</w:t>
            </w:r>
          </w:p>
        </w:tc>
        <w:tc>
          <w:tcPr>
            <w:tcW w:w="336" w:type="pct"/>
            <w:tcBorders>
              <w:top w:val="single" w:color="000000" w:sz="4" w:space="0"/>
              <w:left w:val="single" w:color="000000" w:sz="4" w:space="0"/>
              <w:bottom w:val="single" w:color="000000" w:sz="4" w:space="0"/>
              <w:right w:val="single" w:color="000000" w:sz="4" w:space="0"/>
            </w:tcBorders>
            <w:shd w:val="clear"/>
            <w:vAlign w:val="center"/>
          </w:tcPr>
          <w:p w14:paraId="6EE810BB">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w:t>
            </w:r>
          </w:p>
        </w:tc>
        <w:tc>
          <w:tcPr>
            <w:tcW w:w="483" w:type="pct"/>
            <w:tcBorders>
              <w:top w:val="single" w:color="000000" w:sz="4" w:space="0"/>
              <w:left w:val="single" w:color="000000" w:sz="4" w:space="0"/>
              <w:bottom w:val="single" w:color="000000" w:sz="4" w:space="0"/>
              <w:right w:val="single" w:color="000000" w:sz="4" w:space="0"/>
            </w:tcBorders>
            <w:shd w:val="clear"/>
            <w:vAlign w:val="center"/>
          </w:tcPr>
          <w:p w14:paraId="531A1334">
            <w:pPr>
              <w:keepNext w:val="0"/>
              <w:keepLines w:val="0"/>
              <w:widowControl/>
              <w:suppressLineNumbers w:val="0"/>
              <w:snapToGrid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100.00分</w:t>
            </w:r>
          </w:p>
        </w:tc>
        <w:tc>
          <w:tcPr>
            <w:tcW w:w="769" w:type="pct"/>
            <w:gridSpan w:val="2"/>
            <w:tcBorders>
              <w:top w:val="single" w:color="000000" w:sz="4" w:space="0"/>
              <w:left w:val="single" w:color="000000" w:sz="4" w:space="0"/>
              <w:bottom w:val="single" w:color="000000" w:sz="4" w:space="0"/>
              <w:right w:val="single" w:color="000000" w:sz="4" w:space="0"/>
            </w:tcBorders>
            <w:shd w:val="clear"/>
            <w:vAlign w:val="center"/>
          </w:tcPr>
          <w:p w14:paraId="0A853504">
            <w:pPr>
              <w:snapToGrid w:val="0"/>
              <w:jc w:val="center"/>
              <w:rPr>
                <w:rFonts w:hint="eastAsia" w:ascii="宋体" w:hAnsi="宋体" w:eastAsia="宋体" w:cs="宋体"/>
                <w:i w:val="0"/>
                <w:iCs w:val="0"/>
                <w:color w:val="000000"/>
                <w:sz w:val="20"/>
                <w:szCs w:val="20"/>
                <w:u w:val="none"/>
              </w:rPr>
            </w:pPr>
          </w:p>
        </w:tc>
      </w:tr>
    </w:tbl>
    <w:p w14:paraId="7C4635BA">
      <w:pPr>
        <w:pStyle w:val="2"/>
        <w:rPr>
          <w:rFonts w:hint="default"/>
        </w:rPr>
        <w:sectPr>
          <w:pgSz w:w="11906" w:h="16838"/>
          <w:pgMar w:top="1440" w:right="1558" w:bottom="1440" w:left="1800" w:header="851" w:footer="992" w:gutter="0"/>
          <w:cols w:space="425" w:num="1"/>
          <w:docGrid w:type="lines" w:linePitch="312" w:charSpace="0"/>
        </w:sectPr>
      </w:pPr>
    </w:p>
    <w:p w14:paraId="0A4E5339">
      <w:pPr>
        <w:rPr>
          <w:rFonts w:hint="default" w:ascii="Times New Roman" w:hAnsi="Times New Roman" w:cs="Times New Roman"/>
        </w:rPr>
      </w:pPr>
    </w:p>
    <w:sectPr>
      <w:pgSz w:w="16838" w:h="11906" w:orient="landscape"/>
      <w:pgMar w:top="1800" w:right="1440" w:bottom="155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8962"/>
    </w:sdtPr>
    <w:sdtContent>
      <w:p w14:paraId="62C4E961">
        <w:pPr>
          <w:pStyle w:val="8"/>
          <w:jc w:val="center"/>
        </w:pPr>
        <w:r>
          <w:fldChar w:fldCharType="begin"/>
        </w:r>
        <w:r>
          <w:instrText xml:space="preserve">PAGE   \* MERGEFORMAT</w:instrText>
        </w:r>
        <w:r>
          <w:fldChar w:fldCharType="separate"/>
        </w:r>
        <w:r>
          <w:rPr>
            <w:lang w:val="zh-CN"/>
          </w:rPr>
          <w:t>13</w:t>
        </w:r>
        <w:r>
          <w:fldChar w:fldCharType="end"/>
        </w:r>
      </w:p>
    </w:sdtContent>
  </w:sdt>
  <w:p w14:paraId="6CE0DEE3">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CD2B0F"/>
    <w:multiLevelType w:val="singleLevel"/>
    <w:tmpl w:val="F4CD2B0F"/>
    <w:lvl w:ilvl="0" w:tentative="0">
      <w:start w:val="1"/>
      <w:numFmt w:val="decimal"/>
      <w:suff w:val="nothing"/>
      <w:lvlText w:val="（%1）"/>
      <w:lvlJc w:val="left"/>
    </w:lvl>
  </w:abstractNum>
  <w:abstractNum w:abstractNumId="1">
    <w:nsid w:val="FF9379A8"/>
    <w:multiLevelType w:val="singleLevel"/>
    <w:tmpl w:val="FF9379A8"/>
    <w:lvl w:ilvl="0" w:tentative="0">
      <w:start w:val="2"/>
      <w:numFmt w:val="chineseCounting"/>
      <w:suff w:val="nothing"/>
      <w:lvlText w:val="（%1）"/>
      <w:lvlJc w:val="left"/>
      <w:rPr>
        <w:rFonts w:hint="eastAsia"/>
      </w:rPr>
    </w:lvl>
  </w:abstractNum>
  <w:abstractNum w:abstractNumId="2">
    <w:nsid w:val="00713228"/>
    <w:multiLevelType w:val="singleLevel"/>
    <w:tmpl w:val="00713228"/>
    <w:lvl w:ilvl="0" w:tentative="0">
      <w:start w:val="2"/>
      <w:numFmt w:val="decimal"/>
      <w:lvlText w:val="%1."/>
      <w:lvlJc w:val="left"/>
      <w:pPr>
        <w:tabs>
          <w:tab w:val="left" w:pos="312"/>
        </w:tabs>
      </w:pPr>
    </w:lvl>
  </w:abstractNum>
  <w:abstractNum w:abstractNumId="3">
    <w:nsid w:val="116B29BF"/>
    <w:multiLevelType w:val="singleLevel"/>
    <w:tmpl w:val="116B29BF"/>
    <w:lvl w:ilvl="0" w:tentative="0">
      <w:start w:val="3"/>
      <w:numFmt w:val="chineseCounting"/>
      <w:suff w:val="nothing"/>
      <w:lvlText w:val="%1、"/>
      <w:lvlJc w:val="left"/>
      <w:rPr>
        <w:rFonts w:hint="eastAsia"/>
      </w:rPr>
    </w:lvl>
  </w:abstractNum>
  <w:abstractNum w:abstractNumId="4">
    <w:nsid w:val="27813159"/>
    <w:multiLevelType w:val="singleLevel"/>
    <w:tmpl w:val="27813159"/>
    <w:lvl w:ilvl="0" w:tentative="0">
      <w:start w:val="3"/>
      <w:numFmt w:val="chineseCounting"/>
      <w:suff w:val="nothing"/>
      <w:lvlText w:val="（%1）"/>
      <w:lvlJc w:val="left"/>
      <w:rPr>
        <w:rFonts w:hint="eastAsia"/>
      </w:rPr>
    </w:lvl>
  </w:abstractNum>
  <w:abstractNum w:abstractNumId="5">
    <w:nsid w:val="6FAA0AB1"/>
    <w:multiLevelType w:val="singleLevel"/>
    <w:tmpl w:val="6FAA0AB1"/>
    <w:lvl w:ilvl="0" w:tentative="0">
      <w:start w:val="2"/>
      <w:numFmt w:val="chineseCounting"/>
      <w:suff w:val="nothing"/>
      <w:lvlText w:val="（%1）"/>
      <w:lvlJc w:val="left"/>
      <w:rPr>
        <w:rFonts w:hint="eastAsia"/>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MjEyNmMyNDNiMzI0ZDc2NTkxZWFkMzYyNGUwYzEifQ=="/>
  </w:docVars>
  <w:rsids>
    <w:rsidRoot w:val="FF6C4049"/>
    <w:rsid w:val="005E3F08"/>
    <w:rsid w:val="006F7242"/>
    <w:rsid w:val="007B168A"/>
    <w:rsid w:val="008B2CFE"/>
    <w:rsid w:val="00F26FF6"/>
    <w:rsid w:val="01610122"/>
    <w:rsid w:val="02510197"/>
    <w:rsid w:val="03EC461B"/>
    <w:rsid w:val="07397B77"/>
    <w:rsid w:val="0A612CAA"/>
    <w:rsid w:val="0AD007F3"/>
    <w:rsid w:val="0E3C619F"/>
    <w:rsid w:val="0F186DB6"/>
    <w:rsid w:val="0F345CE7"/>
    <w:rsid w:val="0F4C4151"/>
    <w:rsid w:val="11170296"/>
    <w:rsid w:val="13471461"/>
    <w:rsid w:val="13B90F01"/>
    <w:rsid w:val="155E4C4D"/>
    <w:rsid w:val="17462648"/>
    <w:rsid w:val="181066D2"/>
    <w:rsid w:val="1C671E73"/>
    <w:rsid w:val="1D1125A5"/>
    <w:rsid w:val="1D322C47"/>
    <w:rsid w:val="1E8F01EF"/>
    <w:rsid w:val="23616034"/>
    <w:rsid w:val="23D4607E"/>
    <w:rsid w:val="24480FA2"/>
    <w:rsid w:val="25227A45"/>
    <w:rsid w:val="26AC3A6A"/>
    <w:rsid w:val="281178FD"/>
    <w:rsid w:val="29B823DA"/>
    <w:rsid w:val="2B9D7E25"/>
    <w:rsid w:val="2C7C7A3B"/>
    <w:rsid w:val="2D306A77"/>
    <w:rsid w:val="2DE72EC3"/>
    <w:rsid w:val="2EFC0D68"/>
    <w:rsid w:val="2F364819"/>
    <w:rsid w:val="2FD63906"/>
    <w:rsid w:val="317E0557"/>
    <w:rsid w:val="33225B1E"/>
    <w:rsid w:val="34C6351C"/>
    <w:rsid w:val="368255FB"/>
    <w:rsid w:val="37215DAE"/>
    <w:rsid w:val="38CA40DD"/>
    <w:rsid w:val="395F2B56"/>
    <w:rsid w:val="3BBA0580"/>
    <w:rsid w:val="3BECE841"/>
    <w:rsid w:val="3CDE204C"/>
    <w:rsid w:val="3D363C36"/>
    <w:rsid w:val="3E9C3F6D"/>
    <w:rsid w:val="3FA50E79"/>
    <w:rsid w:val="3FF7797D"/>
    <w:rsid w:val="41372A9F"/>
    <w:rsid w:val="46690BD8"/>
    <w:rsid w:val="49DE3EDB"/>
    <w:rsid w:val="49F70BF1"/>
    <w:rsid w:val="4B4340EE"/>
    <w:rsid w:val="4B697524"/>
    <w:rsid w:val="4BF06537"/>
    <w:rsid w:val="4C160287"/>
    <w:rsid w:val="503D507A"/>
    <w:rsid w:val="51CD4B48"/>
    <w:rsid w:val="51FA74D0"/>
    <w:rsid w:val="52AA4A52"/>
    <w:rsid w:val="57303686"/>
    <w:rsid w:val="59943D66"/>
    <w:rsid w:val="59E051FD"/>
    <w:rsid w:val="59E6355E"/>
    <w:rsid w:val="5B821531"/>
    <w:rsid w:val="5BFF6039"/>
    <w:rsid w:val="5D76A616"/>
    <w:rsid w:val="5D7F20B9"/>
    <w:rsid w:val="5DAC7D0E"/>
    <w:rsid w:val="5E7D6BFA"/>
    <w:rsid w:val="5F3562AD"/>
    <w:rsid w:val="5F98B5AF"/>
    <w:rsid w:val="5FFC15C4"/>
    <w:rsid w:val="5FFE8511"/>
    <w:rsid w:val="5FFEACE2"/>
    <w:rsid w:val="609D5BF6"/>
    <w:rsid w:val="61073070"/>
    <w:rsid w:val="610A3FAC"/>
    <w:rsid w:val="61B9080E"/>
    <w:rsid w:val="61DF3FED"/>
    <w:rsid w:val="642B176B"/>
    <w:rsid w:val="643EE26D"/>
    <w:rsid w:val="6491066E"/>
    <w:rsid w:val="656019A0"/>
    <w:rsid w:val="65F242EE"/>
    <w:rsid w:val="666D7E19"/>
    <w:rsid w:val="68376930"/>
    <w:rsid w:val="683A03B9"/>
    <w:rsid w:val="688540B6"/>
    <w:rsid w:val="68F91E38"/>
    <w:rsid w:val="69767E03"/>
    <w:rsid w:val="6B3158B9"/>
    <w:rsid w:val="6BA02A3F"/>
    <w:rsid w:val="6C1E5A53"/>
    <w:rsid w:val="6DD20F3C"/>
    <w:rsid w:val="6EFB61E4"/>
    <w:rsid w:val="6EFE1F56"/>
    <w:rsid w:val="6F5C41AC"/>
    <w:rsid w:val="6FAF6C78"/>
    <w:rsid w:val="71102527"/>
    <w:rsid w:val="716167CC"/>
    <w:rsid w:val="718A7AD1"/>
    <w:rsid w:val="72A44BC2"/>
    <w:rsid w:val="7317C656"/>
    <w:rsid w:val="734ED73F"/>
    <w:rsid w:val="73C82B32"/>
    <w:rsid w:val="73F94DAE"/>
    <w:rsid w:val="74220495"/>
    <w:rsid w:val="747D1B6F"/>
    <w:rsid w:val="749E5641"/>
    <w:rsid w:val="76271066"/>
    <w:rsid w:val="7660599B"/>
    <w:rsid w:val="76D40972"/>
    <w:rsid w:val="77FD8BE9"/>
    <w:rsid w:val="78000AED"/>
    <w:rsid w:val="79A9BD3F"/>
    <w:rsid w:val="7B42786A"/>
    <w:rsid w:val="7B776F12"/>
    <w:rsid w:val="7BFFFDD0"/>
    <w:rsid w:val="7C336E5F"/>
    <w:rsid w:val="7C8D4919"/>
    <w:rsid w:val="7D7A5F86"/>
    <w:rsid w:val="7E1B5F44"/>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semiHidden/>
    <w:unhideWhenUsed/>
    <w:qFormat/>
    <w:uiPriority w:val="9"/>
    <w:pPr>
      <w:keepNext/>
      <w:widowControl/>
      <w:spacing w:before="240" w:after="60"/>
      <w:jc w:val="left"/>
      <w:outlineLvl w:val="2"/>
    </w:pPr>
    <w:rPr>
      <w:rFonts w:asciiTheme="majorHAnsi" w:hAnsiTheme="majorHAnsi" w:eastAsiaTheme="majorEastAsia"/>
      <w:b/>
      <w:bCs/>
      <w:kern w:val="0"/>
      <w:sz w:val="26"/>
      <w:szCs w:val="26"/>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10"/>
    <w:pPr>
      <w:widowControl/>
      <w:spacing w:before="240" w:after="60"/>
      <w:jc w:val="center"/>
      <w:outlineLvl w:val="0"/>
    </w:pPr>
    <w:rPr>
      <w:rFonts w:asciiTheme="majorHAnsi" w:hAnsiTheme="majorHAnsi" w:eastAsiaTheme="majorEastAsia"/>
      <w:b/>
      <w:bCs/>
      <w:kern w:val="28"/>
      <w:sz w:val="32"/>
      <w:szCs w:val="32"/>
    </w:rPr>
  </w:style>
  <w:style w:type="paragraph" w:styleId="4">
    <w:name w:val="annotation text"/>
    <w:basedOn w:val="1"/>
    <w:link w:val="22"/>
    <w:qFormat/>
    <w:uiPriority w:val="0"/>
    <w:pPr>
      <w:jc w:val="left"/>
    </w:pPr>
  </w:style>
  <w:style w:type="paragraph" w:styleId="5">
    <w:name w:val="Body Text"/>
    <w:basedOn w:val="1"/>
    <w:qFormat/>
    <w:uiPriority w:val="0"/>
    <w:pPr>
      <w:spacing w:after="120"/>
    </w:pPr>
  </w:style>
  <w:style w:type="paragraph" w:styleId="6">
    <w:name w:val="Body Text Indent"/>
    <w:basedOn w:val="1"/>
    <w:qFormat/>
    <w:uiPriority w:val="0"/>
    <w:pPr>
      <w:spacing w:after="120"/>
      <w:ind w:left="420" w:leftChars="200"/>
    </w:pPr>
    <w:rPr>
      <w:rFonts w:ascii="Calibri" w:hAnsi="Calibri"/>
    </w:rPr>
  </w:style>
  <w:style w:type="paragraph" w:styleId="7">
    <w:name w:val="Balloon Text"/>
    <w:basedOn w:val="1"/>
    <w:link w:val="20"/>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rFonts w:ascii="Calibri" w:hAnsi="Calibri"/>
      <w:sz w:val="18"/>
      <w:szCs w:val="18"/>
    </w:rPr>
  </w:style>
  <w:style w:type="paragraph" w:styleId="9">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annotation subject"/>
    <w:basedOn w:val="4"/>
    <w:next w:val="4"/>
    <w:link w:val="23"/>
    <w:qFormat/>
    <w:uiPriority w:val="0"/>
    <w:rPr>
      <w:b/>
      <w:bCs/>
    </w:rPr>
  </w:style>
  <w:style w:type="paragraph" w:styleId="12">
    <w:name w:val="Body Text First Indent"/>
    <w:basedOn w:val="5"/>
    <w:qFormat/>
    <w:uiPriority w:val="0"/>
    <w:pPr>
      <w:spacing w:after="0"/>
      <w:ind w:firstLine="200" w:firstLineChars="200"/>
    </w:pPr>
  </w:style>
  <w:style w:type="paragraph" w:styleId="13">
    <w:name w:val="Body Text First Indent 2"/>
    <w:basedOn w:val="6"/>
    <w:qFormat/>
    <w:uiPriority w:val="0"/>
    <w:pPr>
      <w:ind w:firstLine="420" w:firstLineChars="200"/>
    </w:pPr>
  </w:style>
  <w:style w:type="character" w:styleId="16">
    <w:name w:val="Strong"/>
    <w:basedOn w:val="15"/>
    <w:qFormat/>
    <w:uiPriority w:val="0"/>
    <w:rPr>
      <w:b/>
      <w:bCs/>
    </w:rPr>
  </w:style>
  <w:style w:type="character" w:styleId="17">
    <w:name w:val="annotation reference"/>
    <w:basedOn w:val="15"/>
    <w:qFormat/>
    <w:uiPriority w:val="0"/>
    <w:rPr>
      <w:sz w:val="21"/>
      <w:szCs w:val="21"/>
    </w:rPr>
  </w:style>
  <w:style w:type="character" w:customStyle="1" w:styleId="18">
    <w:name w:val="fontstyle01"/>
    <w:qFormat/>
    <w:uiPriority w:val="0"/>
    <w:rPr>
      <w:rFonts w:ascii="仿宋_GB2312" w:hAnsi="仿宋_GB2312" w:eastAsia="仿宋_GB2312" w:cs="仿宋_GB2312"/>
      <w:color w:val="000000"/>
      <w:sz w:val="32"/>
      <w:szCs w:val="32"/>
    </w:rPr>
  </w:style>
  <w:style w:type="paragraph" w:customStyle="1" w:styleId="19">
    <w:name w:val="闻政-正文段落文字"/>
    <w:basedOn w:val="1"/>
    <w:qFormat/>
    <w:uiPriority w:val="3"/>
    <w:pPr>
      <w:spacing w:line="500" w:lineRule="exact"/>
      <w:ind w:firstLine="200"/>
    </w:pPr>
    <w:rPr>
      <w:kern w:val="0"/>
      <w:szCs w:val="28"/>
    </w:rPr>
  </w:style>
  <w:style w:type="character" w:customStyle="1" w:styleId="20">
    <w:name w:val="批注框文本 字符"/>
    <w:basedOn w:val="15"/>
    <w:link w:val="7"/>
    <w:qFormat/>
    <w:uiPriority w:val="0"/>
    <w:rPr>
      <w:rFonts w:ascii="Times New Roman" w:hAnsi="Times New Roman" w:eastAsia="宋体" w:cs="Times New Roman"/>
      <w:kern w:val="2"/>
      <w:sz w:val="18"/>
      <w:szCs w:val="18"/>
    </w:rPr>
  </w:style>
  <w:style w:type="character" w:customStyle="1" w:styleId="21">
    <w:name w:val="页眉 字符"/>
    <w:basedOn w:val="15"/>
    <w:link w:val="9"/>
    <w:qFormat/>
    <w:uiPriority w:val="0"/>
    <w:rPr>
      <w:rFonts w:ascii="Times New Roman" w:hAnsi="Times New Roman" w:eastAsia="宋体" w:cs="Times New Roman"/>
      <w:kern w:val="2"/>
      <w:sz w:val="18"/>
      <w:szCs w:val="18"/>
    </w:rPr>
  </w:style>
  <w:style w:type="character" w:customStyle="1" w:styleId="22">
    <w:name w:val="批注文字 字符"/>
    <w:basedOn w:val="15"/>
    <w:link w:val="4"/>
    <w:qFormat/>
    <w:uiPriority w:val="0"/>
    <w:rPr>
      <w:rFonts w:ascii="Times New Roman" w:hAnsi="Times New Roman" w:eastAsia="宋体" w:cs="Times New Roman"/>
      <w:kern w:val="2"/>
      <w:sz w:val="21"/>
      <w:szCs w:val="24"/>
    </w:rPr>
  </w:style>
  <w:style w:type="character" w:customStyle="1" w:styleId="23">
    <w:name w:val="批注主题 字符"/>
    <w:basedOn w:val="22"/>
    <w:link w:val="11"/>
    <w:qFormat/>
    <w:uiPriority w:val="0"/>
    <w:rPr>
      <w:rFonts w:ascii="Times New Roman" w:hAnsi="Times New Roman" w:eastAsia="宋体" w:cs="Times New Roman"/>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26</Pages>
  <Words>9754</Words>
  <Characters>10077</Characters>
  <Lines>58</Lines>
  <Paragraphs>16</Paragraphs>
  <TotalTime>1</TotalTime>
  <ScaleCrop>false</ScaleCrop>
  <LinksUpToDate>false</LinksUpToDate>
  <CharactersWithSpaces>10094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2023-03-08T13:13:00Z</dcterms:created>
  <dc:creator>审核人</dc:creator>
  <cp:lastModifiedBy>小糖豆</cp:lastModifiedBy>
  <dcterms:modified xsi:type="dcterms:W3CDTF">2025-11-26T08:48:30Z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EC99773F21B349659AE205148812517A_13</vt:lpwstr>
  </property>
  <property fmtid="{D5CDD505-2E9C-101B-9397-08002B2CF9AE}" pid="4" name="KSOTemplateDocerSaveRecord">
    <vt:lpwstr>eyJoZGlkIjoiOGFkNmZiY2VjMDdjZjNhYjcxMzg2NTlkY2FmMDAzYzIiLCJ1c2VySWQiOiIzMTEwOTcwNTkifQ==</vt:lpwstr>
  </property>
</Properties>
</file>