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EFBA24">
      <w:pPr>
        <w:spacing w:line="540" w:lineRule="exact"/>
        <w:jc w:val="center"/>
        <w:rPr>
          <w:rFonts w:hint="default" w:ascii="Times New Roman" w:hAnsi="Times New Roman" w:eastAsia="华文中宋" w:cs="Times New Roman"/>
          <w:b/>
          <w:kern w:val="0"/>
          <w:sz w:val="52"/>
          <w:szCs w:val="52"/>
        </w:rPr>
      </w:pPr>
    </w:p>
    <w:p w14:paraId="09DF2F60">
      <w:pPr>
        <w:spacing w:line="540" w:lineRule="exact"/>
        <w:rPr>
          <w:rFonts w:hint="default" w:ascii="Times New Roman" w:hAnsi="Times New Roman" w:eastAsia="华文中宋" w:cs="Times New Roman"/>
          <w:b/>
          <w:kern w:val="0"/>
          <w:sz w:val="52"/>
          <w:szCs w:val="52"/>
        </w:rPr>
      </w:pPr>
    </w:p>
    <w:p w14:paraId="484F4FA3">
      <w:pPr>
        <w:spacing w:line="540" w:lineRule="exact"/>
        <w:jc w:val="center"/>
        <w:rPr>
          <w:rFonts w:hint="default" w:ascii="Times New Roman" w:hAnsi="Times New Roman" w:eastAsia="华文中宋" w:cs="Times New Roman"/>
          <w:b/>
          <w:kern w:val="0"/>
          <w:sz w:val="52"/>
          <w:szCs w:val="52"/>
        </w:rPr>
      </w:pPr>
    </w:p>
    <w:p w14:paraId="29361C1D">
      <w:pPr>
        <w:spacing w:line="540" w:lineRule="exact"/>
        <w:jc w:val="center"/>
        <w:rPr>
          <w:rFonts w:hint="default" w:ascii="Times New Roman" w:hAnsi="Times New Roman" w:eastAsia="方正小标宋_GBK" w:cs="Times New Roman"/>
          <w:kern w:val="0"/>
          <w:sz w:val="48"/>
          <w:szCs w:val="48"/>
        </w:rPr>
      </w:pPr>
    </w:p>
    <w:p w14:paraId="37AD2C72">
      <w:pPr>
        <w:spacing w:line="540" w:lineRule="exact"/>
        <w:jc w:val="center"/>
        <w:rPr>
          <w:rFonts w:hint="default" w:ascii="Times New Roman" w:hAnsi="Times New Roman" w:eastAsia="方正小标宋_GBK" w:cs="Times New Roman"/>
          <w:kern w:val="0"/>
          <w:sz w:val="48"/>
          <w:szCs w:val="48"/>
        </w:rPr>
      </w:pPr>
      <w:r>
        <w:rPr>
          <w:rFonts w:hint="default" w:ascii="Times New Roman" w:hAnsi="Times New Roman" w:eastAsia="方正小标宋_GBK" w:cs="Times New Roman"/>
          <w:kern w:val="0"/>
          <w:sz w:val="48"/>
          <w:szCs w:val="48"/>
        </w:rPr>
        <w:fldChar w:fldCharType="begin"/>
      </w:r>
      <w:r>
        <w:rPr>
          <w:rFonts w:hint="default" w:ascii="Times New Roman" w:hAnsi="Times New Roman" w:eastAsia="方正小标宋_GBK" w:cs="Times New Roman"/>
          <w:kern w:val="0"/>
          <w:sz w:val="48"/>
          <w:szCs w:val="48"/>
        </w:rPr>
        <w:instrText xml:space="preserve"> HYPERLINK "http://10.44.38.116:9601/bappr/?key=DE0BFC7E568621D2E80524C5ACCDA3E2&amp;_key=DE0BFC7E568621D2E80524C5ACCDA3E2&amp;pserver=http://appsqglzx.xj.mof/fjczl/authorizen.do&amp;appCode=wlmqsybkqysjxglxt&amp;userGuid=172565&amp;JSESSIONID=835B334B8AC513F0C4210713E14D75A2" \l "/javascript:;" </w:instrText>
      </w:r>
      <w:r>
        <w:rPr>
          <w:rFonts w:hint="default" w:ascii="Times New Roman" w:hAnsi="Times New Roman" w:eastAsia="方正小标宋_GBK" w:cs="Times New Roman"/>
          <w:kern w:val="0"/>
          <w:sz w:val="48"/>
          <w:szCs w:val="48"/>
        </w:rPr>
        <w:fldChar w:fldCharType="separate"/>
      </w:r>
      <w:r>
        <w:rPr>
          <w:rFonts w:hint="default" w:ascii="Times New Roman" w:hAnsi="Times New Roman" w:eastAsia="方正小标宋_GBK" w:cs="Times New Roman"/>
          <w:kern w:val="0"/>
          <w:sz w:val="48"/>
          <w:szCs w:val="48"/>
        </w:rPr>
        <w:t>开展九家湾、雅山中路片区区域控制性详细规划编制工作经费</w:t>
      </w:r>
      <w:r>
        <w:rPr>
          <w:rFonts w:hint="default" w:ascii="Times New Roman" w:hAnsi="Times New Roman" w:eastAsia="方正小标宋_GBK" w:cs="Times New Roman"/>
          <w:kern w:val="0"/>
          <w:sz w:val="48"/>
          <w:szCs w:val="48"/>
        </w:rPr>
        <w:fldChar w:fldCharType="end"/>
      </w:r>
      <w:r>
        <w:rPr>
          <w:rFonts w:hint="eastAsia" w:ascii="Times New Roman" w:hAnsi="Times New Roman" w:eastAsia="方正小标宋_GBK" w:cs="Times New Roman"/>
          <w:kern w:val="0"/>
          <w:sz w:val="48"/>
          <w:szCs w:val="48"/>
          <w:lang w:eastAsia="zh-CN"/>
        </w:rPr>
        <w:t>及</w:t>
      </w:r>
      <w:r>
        <w:rPr>
          <w:rFonts w:hint="default" w:ascii="Times New Roman" w:hAnsi="Times New Roman" w:eastAsia="方正小标宋_GBK" w:cs="Times New Roman"/>
          <w:kern w:val="0"/>
          <w:sz w:val="48"/>
          <w:szCs w:val="48"/>
        </w:rPr>
        <w:fldChar w:fldCharType="begin"/>
      </w:r>
      <w:r>
        <w:rPr>
          <w:rFonts w:hint="default" w:ascii="Times New Roman" w:hAnsi="Times New Roman" w:eastAsia="方正小标宋_GBK" w:cs="Times New Roman"/>
          <w:kern w:val="0"/>
          <w:sz w:val="48"/>
          <w:szCs w:val="48"/>
        </w:rPr>
        <w:instrText xml:space="preserve"> HYPERLINK "http://10.44.38.116:9601/bappr/?key=DE0BFC7E568621D2E80524C5ACCDA3E2&amp;_key=DE0BFC7E568621D2E80524C5ACCDA3E2&amp;pserver=http://appsqglzx.xj.mof/fjczl/authorizen.do&amp;appCode=wlmqsybkqysjxglxt&amp;userGuid=172565&amp;JSESSIONID=835B334B8AC513F0C4210713E14D75A2" \l "/javascript:;" </w:instrText>
      </w:r>
      <w:r>
        <w:rPr>
          <w:rFonts w:hint="default" w:ascii="Times New Roman" w:hAnsi="Times New Roman" w:eastAsia="方正小标宋_GBK" w:cs="Times New Roman"/>
          <w:kern w:val="0"/>
          <w:sz w:val="48"/>
          <w:szCs w:val="48"/>
        </w:rPr>
        <w:fldChar w:fldCharType="separate"/>
      </w:r>
      <w:r>
        <w:rPr>
          <w:rFonts w:hint="default" w:ascii="Times New Roman" w:hAnsi="Times New Roman" w:eastAsia="方正小标宋_GBK" w:cs="Times New Roman"/>
          <w:kern w:val="0"/>
          <w:sz w:val="48"/>
          <w:szCs w:val="48"/>
        </w:rPr>
        <w:t>办公室设备物资经费</w:t>
      </w:r>
      <w:r>
        <w:rPr>
          <w:rFonts w:hint="default" w:ascii="Times New Roman" w:hAnsi="Times New Roman" w:eastAsia="方正小标宋_GBK" w:cs="Times New Roman"/>
          <w:kern w:val="0"/>
          <w:sz w:val="48"/>
          <w:szCs w:val="48"/>
        </w:rPr>
        <w:fldChar w:fldCharType="end"/>
      </w:r>
      <w:r>
        <w:rPr>
          <w:rFonts w:hint="default" w:ascii="Times New Roman" w:hAnsi="Times New Roman" w:eastAsia="方正小标宋_GBK" w:cs="Times New Roman"/>
          <w:kern w:val="0"/>
          <w:sz w:val="48"/>
          <w:szCs w:val="48"/>
        </w:rPr>
        <w:t>支出绩效评价报告</w:t>
      </w:r>
    </w:p>
    <w:p w14:paraId="5A93B49B">
      <w:pPr>
        <w:spacing w:line="540" w:lineRule="exact"/>
        <w:jc w:val="center"/>
        <w:rPr>
          <w:rFonts w:hint="default" w:ascii="Times New Roman" w:hAnsi="Times New Roman" w:eastAsia="华文中宋" w:cs="Times New Roman"/>
          <w:b/>
          <w:kern w:val="0"/>
          <w:sz w:val="52"/>
          <w:szCs w:val="52"/>
        </w:rPr>
      </w:pPr>
    </w:p>
    <w:p w14:paraId="1706DDC1">
      <w:pPr>
        <w:spacing w:line="540" w:lineRule="exact"/>
        <w:jc w:val="center"/>
        <w:rPr>
          <w:rFonts w:hint="default" w:ascii="Times New Roman" w:hAnsi="Times New Roman" w:eastAsia="仿宋_GB2312" w:cs="Times New Roman"/>
          <w:kern w:val="0"/>
          <w:sz w:val="36"/>
          <w:szCs w:val="36"/>
        </w:rPr>
      </w:pPr>
      <w:r>
        <w:rPr>
          <w:rFonts w:hint="default" w:ascii="Times New Roman" w:hAnsi="Times New Roman" w:eastAsia="仿宋_GB2312" w:cs="Times New Roman"/>
          <w:kern w:val="0"/>
          <w:sz w:val="36"/>
          <w:szCs w:val="36"/>
        </w:rPr>
        <w:t>（202</w:t>
      </w:r>
      <w:r>
        <w:rPr>
          <w:rFonts w:hint="default" w:ascii="Times New Roman" w:hAnsi="Times New Roman" w:eastAsia="仿宋_GB2312" w:cs="Times New Roman"/>
          <w:kern w:val="0"/>
          <w:sz w:val="36"/>
          <w:szCs w:val="36"/>
          <w:lang w:val="en-US" w:eastAsia="zh-CN"/>
        </w:rPr>
        <w:t>4</w:t>
      </w:r>
      <w:r>
        <w:rPr>
          <w:rFonts w:hint="default" w:ascii="Times New Roman" w:hAnsi="Times New Roman" w:eastAsia="仿宋_GB2312" w:cs="Times New Roman"/>
          <w:kern w:val="0"/>
          <w:sz w:val="36"/>
          <w:szCs w:val="36"/>
        </w:rPr>
        <w:t>年度）</w:t>
      </w:r>
    </w:p>
    <w:p w14:paraId="2F32F083">
      <w:pPr>
        <w:spacing w:line="540" w:lineRule="exact"/>
        <w:jc w:val="center"/>
        <w:rPr>
          <w:rFonts w:hint="default" w:ascii="Times New Roman" w:hAnsi="Times New Roman" w:eastAsia="仿宋_GB2312" w:cs="Times New Roman"/>
          <w:kern w:val="0"/>
          <w:sz w:val="30"/>
          <w:szCs w:val="30"/>
        </w:rPr>
      </w:pPr>
    </w:p>
    <w:p w14:paraId="24E9B36A">
      <w:pPr>
        <w:spacing w:line="540" w:lineRule="exact"/>
        <w:jc w:val="center"/>
        <w:rPr>
          <w:rFonts w:hint="default" w:ascii="Times New Roman" w:hAnsi="Times New Roman" w:eastAsia="仿宋_GB2312" w:cs="Times New Roman"/>
          <w:kern w:val="0"/>
          <w:sz w:val="30"/>
          <w:szCs w:val="30"/>
        </w:rPr>
      </w:pPr>
    </w:p>
    <w:p w14:paraId="79778226">
      <w:pPr>
        <w:spacing w:line="540" w:lineRule="exact"/>
        <w:jc w:val="center"/>
        <w:rPr>
          <w:rFonts w:hint="default" w:ascii="Times New Roman" w:hAnsi="Times New Roman" w:eastAsia="仿宋_GB2312" w:cs="Times New Roman"/>
          <w:kern w:val="0"/>
          <w:sz w:val="30"/>
          <w:szCs w:val="30"/>
        </w:rPr>
      </w:pPr>
    </w:p>
    <w:p w14:paraId="16B9E8D5">
      <w:pPr>
        <w:pStyle w:val="11"/>
        <w:rPr>
          <w:rFonts w:hint="default" w:ascii="Times New Roman" w:hAnsi="Times New Roman" w:cs="Times New Roman"/>
        </w:rPr>
      </w:pPr>
    </w:p>
    <w:p w14:paraId="37638294">
      <w:pPr>
        <w:spacing w:line="540" w:lineRule="exact"/>
        <w:jc w:val="center"/>
        <w:rPr>
          <w:rFonts w:hint="default" w:ascii="Times New Roman" w:hAnsi="Times New Roman" w:eastAsia="仿宋_GB2312" w:cs="Times New Roman"/>
          <w:kern w:val="0"/>
          <w:sz w:val="30"/>
          <w:szCs w:val="30"/>
        </w:rPr>
      </w:pPr>
    </w:p>
    <w:p w14:paraId="6F48779D">
      <w:pPr>
        <w:spacing w:line="540" w:lineRule="exact"/>
        <w:rPr>
          <w:rFonts w:hint="default" w:ascii="Times New Roman" w:hAnsi="Times New Roman" w:eastAsia="仿宋_GB2312" w:cs="Times New Roman"/>
          <w:kern w:val="0"/>
          <w:sz w:val="30"/>
          <w:szCs w:val="30"/>
        </w:rPr>
      </w:pPr>
    </w:p>
    <w:p w14:paraId="0698CF6F">
      <w:pPr>
        <w:spacing w:line="700" w:lineRule="exact"/>
        <w:ind w:firstLine="1440" w:firstLineChars="400"/>
        <w:jc w:val="left"/>
        <w:rPr>
          <w:rFonts w:hint="eastAsia" w:ascii="Times New Roman" w:hAnsi="Times New Roman" w:eastAsia="宋体" w:cs="Times New Roman"/>
          <w:kern w:val="0"/>
          <w:sz w:val="36"/>
          <w:szCs w:val="36"/>
          <w:lang w:eastAsia="zh-CN"/>
        </w:rPr>
      </w:pPr>
      <w:r>
        <w:rPr>
          <w:rFonts w:hint="default" w:ascii="Times New Roman" w:hAnsi="Times New Roman" w:eastAsia="仿宋_GB2312" w:cs="Times New Roman"/>
          <w:kern w:val="0"/>
          <w:sz w:val="36"/>
          <w:szCs w:val="36"/>
        </w:rPr>
        <w:t>项目名称：</w:t>
      </w:r>
      <w:r>
        <w:rPr>
          <w:rFonts w:hint="default" w:ascii="Times New Roman" w:hAnsi="Times New Roman" w:eastAsia="仿宋_GB2312" w:cs="Times New Roman"/>
          <w:kern w:val="0"/>
          <w:sz w:val="36"/>
          <w:szCs w:val="36"/>
        </w:rPr>
        <w:fldChar w:fldCharType="begin"/>
      </w:r>
      <w:r>
        <w:rPr>
          <w:rFonts w:hint="default" w:ascii="Times New Roman" w:hAnsi="Times New Roman" w:eastAsia="仿宋_GB2312" w:cs="Times New Roman"/>
          <w:kern w:val="0"/>
          <w:sz w:val="36"/>
          <w:szCs w:val="36"/>
        </w:rPr>
        <w:instrText xml:space="preserve"> HYPERLINK "http://10.44.38.116:9601/bappr/?key=DE0BFC7E568621D2E80524C5ACCDA3E2&amp;_key=DE0BFC7E568621D2E80524C5ACCDA3E2&amp;pserver=http://appsqglzx.xj.mof/fjczl/authorizen.do&amp;appCode=wlmqsybkqysjxglxt&amp;userGuid=172565&amp;JSESSIONID=835B334B8AC513F0C4210713E14D75A2" \l "/javascript:;" </w:instrText>
      </w:r>
      <w:r>
        <w:rPr>
          <w:rFonts w:hint="default" w:ascii="Times New Roman" w:hAnsi="Times New Roman" w:eastAsia="仿宋_GB2312" w:cs="Times New Roman"/>
          <w:kern w:val="0"/>
          <w:sz w:val="36"/>
          <w:szCs w:val="36"/>
        </w:rPr>
        <w:fldChar w:fldCharType="separate"/>
      </w:r>
      <w:r>
        <w:rPr>
          <w:rFonts w:hint="default" w:ascii="Times New Roman" w:hAnsi="Times New Roman" w:eastAsia="仿宋_GB2312" w:cs="Times New Roman"/>
          <w:kern w:val="0"/>
          <w:sz w:val="36"/>
          <w:szCs w:val="36"/>
        </w:rPr>
        <w:t>开展九家湾、雅山中路片区区域控制性详细规划编制工作经费</w:t>
      </w:r>
      <w:r>
        <w:rPr>
          <w:rFonts w:hint="default" w:ascii="Times New Roman" w:hAnsi="Times New Roman" w:eastAsia="仿宋_GB2312" w:cs="Times New Roman"/>
          <w:kern w:val="0"/>
          <w:sz w:val="36"/>
          <w:szCs w:val="36"/>
        </w:rPr>
        <w:fldChar w:fldCharType="end"/>
      </w:r>
    </w:p>
    <w:p w14:paraId="0C5064CA">
      <w:pPr>
        <w:spacing w:line="700" w:lineRule="exact"/>
        <w:ind w:firstLine="1440" w:firstLineChars="400"/>
        <w:jc w:val="left"/>
        <w:rPr>
          <w:rFonts w:hint="eastAsia" w:eastAsia="仿宋_GB2312" w:cs="Times New Roman"/>
          <w:kern w:val="0"/>
          <w:sz w:val="36"/>
          <w:szCs w:val="36"/>
          <w:lang w:eastAsia="zh-CN"/>
        </w:rPr>
      </w:pPr>
      <w:r>
        <w:rPr>
          <w:rFonts w:hint="default" w:ascii="Times New Roman" w:hAnsi="Times New Roman" w:eastAsia="仿宋_GB2312" w:cs="Times New Roman"/>
          <w:kern w:val="0"/>
          <w:sz w:val="36"/>
          <w:szCs w:val="36"/>
        </w:rPr>
        <w:t>实施单位（公章）：</w:t>
      </w:r>
      <w:r>
        <w:rPr>
          <w:rFonts w:hint="eastAsia" w:eastAsia="仿宋_GB2312" w:cs="Times New Roman"/>
          <w:kern w:val="0"/>
          <w:sz w:val="36"/>
          <w:szCs w:val="36"/>
          <w:lang w:eastAsia="zh-CN"/>
        </w:rPr>
        <w:t>沙区人民政府办公室</w:t>
      </w:r>
    </w:p>
    <w:p w14:paraId="0325B5BE">
      <w:pPr>
        <w:spacing w:line="700" w:lineRule="exact"/>
        <w:ind w:firstLine="1440" w:firstLineChars="400"/>
        <w:jc w:val="left"/>
        <w:rPr>
          <w:rFonts w:hint="default" w:ascii="Times New Roman" w:hAnsi="Times New Roman" w:eastAsia="仿宋_GB2312" w:cs="Times New Roman"/>
          <w:kern w:val="0"/>
          <w:sz w:val="36"/>
          <w:szCs w:val="36"/>
        </w:rPr>
      </w:pPr>
      <w:r>
        <w:rPr>
          <w:rFonts w:hint="default" w:ascii="Times New Roman" w:hAnsi="Times New Roman" w:eastAsia="仿宋_GB2312" w:cs="Times New Roman"/>
          <w:kern w:val="0"/>
          <w:sz w:val="36"/>
          <w:szCs w:val="36"/>
        </w:rPr>
        <w:t>主管部门（公章）：</w:t>
      </w:r>
      <w:r>
        <w:rPr>
          <w:rFonts w:hint="eastAsia" w:eastAsia="仿宋_GB2312" w:cs="Times New Roman"/>
          <w:kern w:val="0"/>
          <w:sz w:val="36"/>
          <w:szCs w:val="36"/>
          <w:lang w:eastAsia="zh-CN"/>
        </w:rPr>
        <w:t>沙区人民政府办公室</w:t>
      </w:r>
    </w:p>
    <w:p w14:paraId="3836E36E">
      <w:pPr>
        <w:spacing w:line="700" w:lineRule="exact"/>
        <w:ind w:firstLine="1440" w:firstLineChars="400"/>
        <w:jc w:val="left"/>
        <w:rPr>
          <w:rFonts w:hint="eastAsia" w:ascii="Times New Roman" w:hAnsi="Times New Roman" w:eastAsia="仿宋_GB2312" w:cs="Times New Roman"/>
          <w:kern w:val="0"/>
          <w:sz w:val="36"/>
          <w:szCs w:val="36"/>
          <w:lang w:eastAsia="zh-CN"/>
        </w:rPr>
      </w:pPr>
      <w:r>
        <w:rPr>
          <w:rFonts w:hint="default" w:ascii="Times New Roman" w:hAnsi="Times New Roman" w:eastAsia="仿宋_GB2312" w:cs="Times New Roman"/>
          <w:kern w:val="0"/>
          <w:sz w:val="36"/>
          <w:szCs w:val="36"/>
        </w:rPr>
        <w:t>项目负责人（签章）：</w:t>
      </w:r>
      <w:r>
        <w:rPr>
          <w:rFonts w:hint="eastAsia" w:eastAsia="仿宋_GB2312" w:cs="Times New Roman"/>
          <w:kern w:val="0"/>
          <w:sz w:val="36"/>
          <w:szCs w:val="36"/>
          <w:lang w:eastAsia="zh-CN"/>
        </w:rPr>
        <w:t>赵娜</w:t>
      </w:r>
    </w:p>
    <w:p w14:paraId="181AD777">
      <w:pPr>
        <w:spacing w:line="700" w:lineRule="exact"/>
        <w:ind w:firstLine="1440" w:firstLineChars="400"/>
        <w:jc w:val="left"/>
        <w:rPr>
          <w:rFonts w:hint="default" w:ascii="Times New Roman" w:hAnsi="Times New Roman" w:eastAsia="仿宋_GB2312" w:cs="Times New Roman"/>
          <w:kern w:val="0"/>
          <w:sz w:val="36"/>
          <w:szCs w:val="36"/>
        </w:rPr>
      </w:pPr>
      <w:r>
        <w:rPr>
          <w:rFonts w:hint="default" w:ascii="Times New Roman" w:hAnsi="Times New Roman" w:eastAsia="仿宋_GB2312" w:cs="Times New Roman"/>
          <w:kern w:val="0"/>
          <w:sz w:val="36"/>
          <w:szCs w:val="36"/>
        </w:rPr>
        <w:t>填报时间：</w:t>
      </w:r>
      <w:r>
        <w:rPr>
          <w:rFonts w:hint="eastAsia" w:eastAsia="仿宋_GB2312" w:cs="Times New Roman"/>
          <w:kern w:val="0"/>
          <w:sz w:val="36"/>
          <w:szCs w:val="36"/>
          <w:lang w:val="en-US" w:eastAsia="zh-CN"/>
        </w:rPr>
        <w:t>2025</w:t>
      </w:r>
      <w:r>
        <w:rPr>
          <w:rFonts w:hint="default" w:ascii="Times New Roman" w:hAnsi="Times New Roman" w:eastAsia="仿宋_GB2312" w:cs="Times New Roman"/>
          <w:kern w:val="0"/>
          <w:sz w:val="36"/>
          <w:szCs w:val="36"/>
        </w:rPr>
        <w:t>年</w:t>
      </w:r>
      <w:r>
        <w:rPr>
          <w:rFonts w:hint="eastAsia" w:eastAsia="仿宋_GB2312" w:cs="Times New Roman"/>
          <w:kern w:val="0"/>
          <w:sz w:val="36"/>
          <w:szCs w:val="36"/>
          <w:lang w:val="en-US" w:eastAsia="zh-CN"/>
        </w:rPr>
        <w:t>4</w:t>
      </w:r>
      <w:r>
        <w:rPr>
          <w:rFonts w:hint="default" w:ascii="Times New Roman" w:hAnsi="Times New Roman" w:eastAsia="仿宋_GB2312" w:cs="Times New Roman"/>
          <w:kern w:val="0"/>
          <w:sz w:val="36"/>
          <w:szCs w:val="36"/>
        </w:rPr>
        <w:t>月</w:t>
      </w:r>
      <w:r>
        <w:rPr>
          <w:rFonts w:hint="eastAsia" w:eastAsia="仿宋_GB2312" w:cs="Times New Roman"/>
          <w:kern w:val="0"/>
          <w:sz w:val="36"/>
          <w:szCs w:val="36"/>
          <w:lang w:val="en-US" w:eastAsia="zh-CN"/>
        </w:rPr>
        <w:t>1</w:t>
      </w:r>
      <w:r>
        <w:rPr>
          <w:rFonts w:hint="default" w:ascii="Times New Roman" w:hAnsi="Times New Roman" w:eastAsia="仿宋_GB2312" w:cs="Times New Roman"/>
          <w:kern w:val="0"/>
          <w:sz w:val="36"/>
          <w:szCs w:val="36"/>
        </w:rPr>
        <w:t>日</w:t>
      </w:r>
    </w:p>
    <w:p w14:paraId="44EE4D71">
      <w:pPr>
        <w:spacing w:line="540" w:lineRule="exact"/>
        <w:jc w:val="center"/>
        <w:rPr>
          <w:rFonts w:hint="default" w:ascii="Times New Roman" w:hAnsi="Times New Roman" w:eastAsia="仿宋_GB2312" w:cs="Times New Roman"/>
          <w:kern w:val="0"/>
          <w:sz w:val="30"/>
          <w:szCs w:val="30"/>
        </w:rPr>
      </w:pPr>
    </w:p>
    <w:p w14:paraId="307EA8E7">
      <w:pPr>
        <w:spacing w:line="540" w:lineRule="exact"/>
        <w:rPr>
          <w:rStyle w:val="17"/>
          <w:rFonts w:hint="default" w:ascii="Times New Roman" w:hAnsi="Times New Roman" w:eastAsia="黑体" w:cs="Times New Roman"/>
          <w:b w:val="0"/>
          <w:spacing w:val="-4"/>
          <w:sz w:val="32"/>
          <w:szCs w:val="32"/>
        </w:rPr>
      </w:pPr>
    </w:p>
    <w:p w14:paraId="1D70A0B0">
      <w:pPr>
        <w:spacing w:line="560" w:lineRule="exact"/>
        <w:rPr>
          <w:rFonts w:hint="default" w:ascii="Times New Roman" w:hAnsi="Times New Roman" w:eastAsia="黑体" w:cs="Times New Roman"/>
          <w:bCs/>
          <w:sz w:val="32"/>
          <w:szCs w:val="32"/>
        </w:rPr>
        <w:sectPr>
          <w:pgSz w:w="11906" w:h="16838"/>
          <w:pgMar w:top="1440" w:right="1558" w:bottom="1440" w:left="1800" w:header="851" w:footer="992" w:gutter="0"/>
          <w:cols w:space="425" w:num="1"/>
          <w:docGrid w:type="lines" w:linePitch="312" w:charSpace="0"/>
        </w:sectPr>
      </w:pPr>
    </w:p>
    <w:p w14:paraId="3CA0E4DB">
      <w:pPr>
        <w:spacing w:line="560" w:lineRule="exact"/>
        <w:ind w:firstLine="640" w:firstLineChars="200"/>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一、基本情况</w:t>
      </w:r>
    </w:p>
    <w:p w14:paraId="0A7DCB72">
      <w:pPr>
        <w:spacing w:line="560" w:lineRule="exact"/>
        <w:ind w:firstLine="643" w:firstLineChars="200"/>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（一）项目概况</w:t>
      </w:r>
    </w:p>
    <w:p w14:paraId="3645C67F">
      <w:pPr>
        <w:spacing w:line="56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1</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sz w:val="32"/>
          <w:szCs w:val="32"/>
        </w:rPr>
        <w:t>项目背景</w:t>
      </w:r>
    </w:p>
    <w:p w14:paraId="1251D66C">
      <w:pPr>
        <w:spacing w:line="560" w:lineRule="exact"/>
        <w:ind w:firstLine="600" w:firstLineChars="200"/>
        <w:rPr>
          <w:rFonts w:hint="default" w:ascii="Times New Roman" w:hAnsi="Times New Roman" w:eastAsia="仿宋_GB2312" w:cs="Times New Roman"/>
          <w:sz w:val="30"/>
          <w:szCs w:val="30"/>
          <w:highlight w:val="none"/>
          <w:lang w:val="en-US" w:eastAsia="zh-CN"/>
        </w:rPr>
      </w:pPr>
      <w:r>
        <w:rPr>
          <w:rFonts w:hint="eastAsia" w:ascii="Times New Roman" w:hAnsi="Times New Roman" w:eastAsia="仿宋_GB2312" w:cs="Times New Roman"/>
          <w:sz w:val="30"/>
          <w:szCs w:val="30"/>
          <w:highlight w:val="none"/>
          <w:lang w:val="en-US" w:eastAsia="zh-CN"/>
        </w:rPr>
        <w:t>根据《中华人民共和国城乡规划法》《城市规划编制办法》等法律法规要求，城市（镇）规划区内的开发建设必须依据控制性详细规划（以下简称“控规”）实施，以确保土地科学利用、空间合理布局和设施配套完善。</w:t>
      </w:r>
      <w:r>
        <w:rPr>
          <w:rFonts w:hint="eastAsia" w:eastAsia="仿宋_GB2312" w:cs="Times New Roman"/>
          <w:sz w:val="30"/>
          <w:szCs w:val="30"/>
          <w:highlight w:val="none"/>
          <w:lang w:val="en-US" w:eastAsia="zh-CN"/>
        </w:rPr>
        <w:t>为</w:t>
      </w:r>
      <w:r>
        <w:rPr>
          <w:rFonts w:hint="eastAsia" w:ascii="Times New Roman" w:hAnsi="Times New Roman" w:eastAsia="仿宋_GB2312" w:cs="Times New Roman"/>
          <w:sz w:val="30"/>
          <w:szCs w:val="30"/>
          <w:highlight w:val="none"/>
          <w:lang w:val="en-US" w:eastAsia="zh-CN"/>
        </w:rPr>
        <w:t>落实国家及省级层面关于“多规合一”“国土空间规划体系”等改革要求，需加快控规编制（或修编）工作，实现与总体规划、专项规划的衔接。</w:t>
      </w:r>
      <w:r>
        <w:rPr>
          <w:rFonts w:hint="eastAsia" w:eastAsia="仿宋_GB2312" w:cs="Times New Roman"/>
          <w:sz w:val="30"/>
          <w:szCs w:val="30"/>
          <w:highlight w:val="none"/>
          <w:lang w:val="en-US" w:eastAsia="zh-CN"/>
        </w:rPr>
        <w:t>我单位设立此项目。</w:t>
      </w:r>
    </w:p>
    <w:p w14:paraId="126F63CA">
      <w:pPr>
        <w:pStyle w:val="11"/>
        <w:numPr>
          <w:ilvl w:val="0"/>
          <w:numId w:val="0"/>
        </w:numPr>
        <w:spacing w:before="0" w:after="0" w:line="560" w:lineRule="exact"/>
        <w:ind w:firstLine="643" w:firstLineChars="200"/>
        <w:jc w:val="both"/>
        <w:rPr>
          <w:rFonts w:hint="default" w:ascii="Times New Roman" w:hAnsi="Times New Roman" w:eastAsia="仿宋_GB2312" w:cs="Times New Roman"/>
          <w:kern w:val="2"/>
        </w:rPr>
      </w:pPr>
      <w:r>
        <w:rPr>
          <w:rFonts w:hint="default" w:ascii="Times New Roman" w:hAnsi="Times New Roman" w:eastAsia="仿宋_GB2312" w:cs="Times New Roman"/>
          <w:kern w:val="2"/>
          <w:lang w:val="en-US" w:eastAsia="zh-CN"/>
        </w:rPr>
        <w:t>2.</w:t>
      </w:r>
      <w:r>
        <w:rPr>
          <w:rFonts w:hint="default" w:ascii="Times New Roman" w:hAnsi="Times New Roman" w:eastAsia="仿宋_GB2312" w:cs="Times New Roman"/>
          <w:kern w:val="2"/>
        </w:rPr>
        <w:t>项目主要内容：</w:t>
      </w:r>
    </w:p>
    <w:p w14:paraId="3CA68017">
      <w:pPr>
        <w:spacing w:line="560" w:lineRule="exact"/>
        <w:ind w:firstLine="600" w:firstLineChars="200"/>
        <w:rPr>
          <w:rFonts w:hint="default" w:ascii="Times New Roman" w:hAnsi="Times New Roman" w:eastAsia="仿宋_GB2312" w:cs="Times New Roman"/>
          <w:sz w:val="30"/>
          <w:szCs w:val="30"/>
          <w:highlight w:val="none"/>
          <w:lang w:val="en-US" w:eastAsia="zh-CN"/>
        </w:rPr>
      </w:pPr>
      <w:r>
        <w:rPr>
          <w:rFonts w:hint="default" w:ascii="Times New Roman" w:hAnsi="Times New Roman" w:eastAsia="仿宋_GB2312" w:cs="Times New Roman"/>
          <w:sz w:val="30"/>
          <w:szCs w:val="30"/>
          <w:highlight w:val="none"/>
          <w:lang w:val="en-US" w:eastAsia="zh-CN"/>
        </w:rPr>
        <w:t>项目主要内容：</w:t>
      </w:r>
      <w:r>
        <w:rPr>
          <w:rFonts w:hint="eastAsia" w:ascii="Times New Roman" w:hAnsi="Times New Roman" w:eastAsia="仿宋_GB2312" w:cs="Times New Roman"/>
          <w:sz w:val="30"/>
          <w:szCs w:val="30"/>
          <w:highlight w:val="none"/>
          <w:lang w:val="en-US" w:eastAsia="zh-CN"/>
        </w:rPr>
        <w:t>开展九家湾、雅山中路片区区域控制性详细规划编制工作经费，项目资金及时支付，按时完成</w:t>
      </w:r>
      <w:r>
        <w:rPr>
          <w:rFonts w:hint="eastAsia" w:eastAsia="仿宋_GB2312" w:cs="Times New Roman"/>
          <w:sz w:val="30"/>
          <w:szCs w:val="30"/>
          <w:highlight w:val="none"/>
          <w:lang w:val="en-US" w:eastAsia="zh-CN"/>
        </w:rPr>
        <w:t>,</w:t>
      </w:r>
      <w:r>
        <w:rPr>
          <w:rFonts w:hint="eastAsia" w:ascii="Times New Roman" w:hAnsi="Times New Roman" w:eastAsia="仿宋_GB2312" w:cs="Times New Roman"/>
          <w:sz w:val="30"/>
          <w:szCs w:val="30"/>
          <w:highlight w:val="none"/>
          <w:lang w:val="en-US" w:eastAsia="zh-CN"/>
        </w:rPr>
        <w:t>保障该项目圆满完成，验收合格率100%。</w:t>
      </w:r>
    </w:p>
    <w:p w14:paraId="750102FE">
      <w:pPr>
        <w:spacing w:line="560" w:lineRule="exact"/>
        <w:ind w:firstLine="640" w:firstLineChars="200"/>
        <w:rPr>
          <w:rFonts w:hint="default" w:ascii="Times New Roman" w:hAnsi="Times New Roman" w:cs="Times New Roman"/>
        </w:rPr>
      </w:pPr>
      <w:r>
        <w:rPr>
          <w:rFonts w:hint="default" w:ascii="Times New Roman" w:hAnsi="Times New Roman" w:eastAsia="仿宋_GB2312" w:cs="Times New Roman"/>
          <w:sz w:val="32"/>
          <w:szCs w:val="32"/>
        </w:rPr>
        <w:t>项目实施情况：</w:t>
      </w:r>
      <w:r>
        <w:rPr>
          <w:rFonts w:hint="eastAsia" w:ascii="Times New Roman" w:hAnsi="Times New Roman" w:eastAsia="仿宋_GB2312" w:cs="Times New Roman"/>
          <w:sz w:val="32"/>
          <w:szCs w:val="32"/>
        </w:rPr>
        <w:t>此项目为年中新增追加预算项目，用于开展九家湾、雅山中路片区区域控制性详细规划编制工作经费，</w:t>
      </w:r>
      <w:r>
        <w:rPr>
          <w:rFonts w:hint="eastAsia" w:eastAsia="仿宋_GB2312" w:cs="Times New Roman"/>
          <w:sz w:val="32"/>
          <w:szCs w:val="32"/>
          <w:lang w:val="en-US" w:eastAsia="zh-CN"/>
        </w:rPr>
        <w:t>截止2024年底该项目已全部完成，</w:t>
      </w:r>
      <w:r>
        <w:rPr>
          <w:rFonts w:hint="eastAsia" w:ascii="Times New Roman" w:hAnsi="Times New Roman" w:eastAsia="仿宋_GB2312" w:cs="Times New Roman"/>
          <w:sz w:val="32"/>
          <w:szCs w:val="32"/>
        </w:rPr>
        <w:t>项目资金及时支付，按时完成，开展九家湾、雅山中路片区区域控制性详细规划编制完成</w:t>
      </w:r>
      <w:r>
        <w:rPr>
          <w:rFonts w:hint="eastAsia" w:eastAsia="仿宋_GB2312" w:cs="Times New Roman"/>
          <w:sz w:val="32"/>
          <w:szCs w:val="32"/>
          <w:lang w:val="en-US" w:eastAsia="zh-CN"/>
        </w:rPr>
        <w:t>1次，</w:t>
      </w:r>
      <w:r>
        <w:rPr>
          <w:rFonts w:hint="eastAsia" w:ascii="Times New Roman" w:hAnsi="Times New Roman" w:eastAsia="仿宋_GB2312" w:cs="Times New Roman"/>
          <w:sz w:val="32"/>
          <w:szCs w:val="32"/>
        </w:rPr>
        <w:t>保障该项目圆满完成，验收合格率100%。</w:t>
      </w:r>
    </w:p>
    <w:p w14:paraId="6F6CCE8E">
      <w:pPr>
        <w:spacing w:line="56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3</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sz w:val="32"/>
          <w:szCs w:val="32"/>
        </w:rPr>
        <w:t>资金投入和使用情况</w:t>
      </w:r>
    </w:p>
    <w:p w14:paraId="459DEAC5">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（1）资金投入情况</w:t>
      </w:r>
    </w:p>
    <w:p w14:paraId="6C1DF7EA">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该项目年初预算数</w:t>
      </w:r>
      <w:r>
        <w:rPr>
          <w:rFonts w:hint="eastAsia" w:eastAsia="仿宋_GB2312" w:cs="Times New Roman"/>
          <w:sz w:val="32"/>
          <w:szCs w:val="32"/>
          <w:highlight w:val="none"/>
          <w:lang w:val="en-US" w:eastAsia="zh-CN"/>
        </w:rPr>
        <w:t>85</w:t>
      </w:r>
      <w:r>
        <w:rPr>
          <w:rFonts w:hint="default" w:ascii="Times New Roman" w:hAnsi="Times New Roman" w:eastAsia="仿宋_GB2312" w:cs="Times New Roman"/>
          <w:sz w:val="32"/>
          <w:szCs w:val="32"/>
          <w:highlight w:val="none"/>
          <w:lang w:val="en-US" w:eastAsia="zh-CN"/>
        </w:rPr>
        <w:t>万元，全年预算数</w:t>
      </w:r>
      <w:r>
        <w:rPr>
          <w:rFonts w:hint="eastAsia" w:eastAsia="仿宋_GB2312" w:cs="Times New Roman"/>
          <w:sz w:val="32"/>
          <w:szCs w:val="32"/>
          <w:highlight w:val="none"/>
          <w:lang w:val="en-US" w:eastAsia="zh-CN"/>
        </w:rPr>
        <w:t>80.6</w:t>
      </w:r>
      <w:r>
        <w:rPr>
          <w:rFonts w:hint="default" w:ascii="Times New Roman" w:hAnsi="Times New Roman" w:eastAsia="仿宋_GB2312" w:cs="Times New Roman"/>
          <w:sz w:val="32"/>
          <w:szCs w:val="32"/>
          <w:highlight w:val="none"/>
          <w:lang w:val="en-US" w:eastAsia="zh-CN"/>
        </w:rPr>
        <w:t>万元，该项目资金已全部落实到位，资金来源为</w:t>
      </w:r>
      <w:r>
        <w:rPr>
          <w:rFonts w:hint="eastAsia" w:ascii="Times New Roman" w:hAnsi="Times New Roman" w:eastAsia="仿宋_GB2312" w:cs="Times New Roman"/>
          <w:sz w:val="32"/>
          <w:szCs w:val="32"/>
          <w:highlight w:val="none"/>
          <w:lang w:val="en-US" w:eastAsia="zh-CN"/>
        </w:rPr>
        <w:t>财政拨款</w:t>
      </w:r>
      <w:r>
        <w:rPr>
          <w:rFonts w:hint="default" w:ascii="Times New Roman" w:hAnsi="Times New Roman" w:eastAsia="仿宋_GB2312" w:cs="Times New Roman"/>
          <w:sz w:val="32"/>
          <w:szCs w:val="32"/>
          <w:highlight w:val="none"/>
          <w:lang w:val="en-US" w:eastAsia="zh-CN"/>
        </w:rPr>
        <w:t>。</w:t>
      </w:r>
    </w:p>
    <w:p w14:paraId="3AD5283F">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（2）资金使用情况</w:t>
      </w:r>
    </w:p>
    <w:p w14:paraId="54760EF5">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该项目年</w:t>
      </w:r>
      <w:r>
        <w:rPr>
          <w:rFonts w:hint="default" w:ascii="Times New Roman" w:hAnsi="Times New Roman" w:eastAsia="仿宋_GB2312" w:cs="Times New Roman"/>
          <w:sz w:val="32"/>
          <w:szCs w:val="32"/>
          <w:lang w:val="en-US" w:eastAsia="zh-CN"/>
        </w:rPr>
        <w:t>初预算数</w:t>
      </w:r>
      <w:r>
        <w:rPr>
          <w:rFonts w:hint="eastAsia" w:eastAsia="仿宋_GB2312" w:cs="Times New Roman"/>
          <w:sz w:val="32"/>
          <w:szCs w:val="32"/>
          <w:lang w:val="en-US" w:eastAsia="zh-CN"/>
        </w:rPr>
        <w:t>85</w:t>
      </w:r>
      <w:r>
        <w:rPr>
          <w:rFonts w:hint="default" w:ascii="Times New Roman" w:hAnsi="Times New Roman" w:eastAsia="仿宋_GB2312" w:cs="Times New Roman"/>
          <w:sz w:val="32"/>
          <w:szCs w:val="32"/>
          <w:lang w:val="en-US" w:eastAsia="zh-CN"/>
        </w:rPr>
        <w:t>万元，全年预算数</w:t>
      </w:r>
      <w:r>
        <w:rPr>
          <w:rFonts w:hint="eastAsia" w:eastAsia="仿宋_GB2312" w:cs="Times New Roman"/>
          <w:sz w:val="32"/>
          <w:szCs w:val="32"/>
          <w:lang w:val="en-US" w:eastAsia="zh-CN"/>
        </w:rPr>
        <w:t>80.6</w:t>
      </w:r>
      <w:r>
        <w:rPr>
          <w:rFonts w:hint="default" w:ascii="Times New Roman" w:hAnsi="Times New Roman" w:eastAsia="仿宋_GB2312" w:cs="Times New Roman"/>
          <w:sz w:val="32"/>
          <w:szCs w:val="32"/>
          <w:lang w:val="en-US" w:eastAsia="zh-CN"/>
        </w:rPr>
        <w:t>万元，全年执行数</w:t>
      </w:r>
      <w:r>
        <w:rPr>
          <w:rFonts w:hint="eastAsia" w:eastAsia="仿宋_GB2312" w:cs="Times New Roman"/>
          <w:sz w:val="32"/>
          <w:szCs w:val="32"/>
          <w:lang w:val="en-US" w:eastAsia="zh-CN"/>
        </w:rPr>
        <w:t>80.6</w:t>
      </w:r>
      <w:r>
        <w:rPr>
          <w:rFonts w:hint="default" w:ascii="Times New Roman" w:hAnsi="Times New Roman" w:eastAsia="仿宋_GB2312" w:cs="Times New Roman"/>
          <w:sz w:val="32"/>
          <w:szCs w:val="32"/>
          <w:lang w:val="en-US" w:eastAsia="zh-CN"/>
        </w:rPr>
        <w:t>万元，预算执行率为</w:t>
      </w:r>
      <w:r>
        <w:rPr>
          <w:rFonts w:hint="eastAsia"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lang w:val="en-US" w:eastAsia="zh-CN"/>
        </w:rPr>
        <w:t>%，主要用于：</w:t>
      </w:r>
      <w:r>
        <w:rPr>
          <w:rFonts w:hint="eastAsia" w:ascii="Times New Roman" w:hAnsi="Times New Roman" w:eastAsia="仿宋_GB2312" w:cs="Times New Roman"/>
          <w:sz w:val="32"/>
          <w:szCs w:val="32"/>
        </w:rPr>
        <w:t>此项目为年中新增追加预算项目，用于开展九家湾、雅山中路片区区域控制性详细规划编制工作经费，项目资金及时支付，按时完成，保障该项目圆满完成，验收合格率100%。</w:t>
      </w:r>
    </w:p>
    <w:p w14:paraId="26F502D5">
      <w:pPr>
        <w:spacing w:line="560" w:lineRule="exact"/>
        <w:ind w:firstLine="643" w:firstLineChars="200"/>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（二）项目绩效目标</w:t>
      </w:r>
    </w:p>
    <w:p w14:paraId="3AD0FE34">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sz w:val="32"/>
          <w:szCs w:val="32"/>
        </w:rPr>
        <w:t>总体目标</w:t>
      </w:r>
    </w:p>
    <w:p w14:paraId="423B491D">
      <w:pPr>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此项目为年中新增追加预算项目，用于开展九家湾、雅山中路片区区域控制性详细规划编制工作经费，项目资金及时支付，按时完成，保障该项目圆满完成，验收合格率100%。</w:t>
      </w:r>
    </w:p>
    <w:p w14:paraId="0A33931D">
      <w:pPr>
        <w:numPr>
          <w:ilvl w:val="0"/>
          <w:numId w:val="1"/>
        </w:numPr>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阶段性目标</w:t>
      </w:r>
    </w:p>
    <w:p w14:paraId="5DB50CB5">
      <w:pPr>
        <w:numPr>
          <w:ilvl w:val="0"/>
          <w:numId w:val="2"/>
        </w:numPr>
        <w:spacing w:line="560" w:lineRule="exact"/>
        <w:ind w:firstLine="640" w:firstLineChars="200"/>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前期准备：通过制定项目实施方案，经项目负责人 审核通过后，有序开展后续工作。</w:t>
      </w:r>
    </w:p>
    <w:p w14:paraId="66FC80D6">
      <w:pPr>
        <w:numPr>
          <w:ilvl w:val="0"/>
          <w:numId w:val="2"/>
        </w:numPr>
        <w:spacing w:line="560" w:lineRule="exact"/>
        <w:ind w:firstLine="640" w:firstLineChars="200"/>
        <w:rPr>
          <w:rFonts w:hint="default"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rPr>
        <w:t>组织实施：资金一到位，立即根据项目要求实施项 目。项目责任人按照项目实施方案要求逐一进行项目部署安 排，提高项目质量及效率性。</w:t>
      </w:r>
      <w:r>
        <w:rPr>
          <w:rFonts w:hint="eastAsia" w:eastAsia="仿宋_GB2312" w:cs="Times New Roman"/>
          <w:sz w:val="32"/>
          <w:szCs w:val="32"/>
          <w:highlight w:val="none"/>
          <w:lang w:val="en-US" w:eastAsia="zh-CN"/>
        </w:rPr>
        <w:t>2024年我单位预计完</w:t>
      </w:r>
      <w:r>
        <w:rPr>
          <w:rFonts w:hint="eastAsia" w:ascii="Times New Roman" w:hAnsi="Times New Roman" w:eastAsia="仿宋_GB2312" w:cs="Times New Roman"/>
          <w:sz w:val="32"/>
          <w:szCs w:val="32"/>
          <w:highlight w:val="none"/>
          <w:lang w:val="en-US" w:eastAsia="zh-CN"/>
        </w:rPr>
        <w:t>成九家湾、雅山中路片区区域控制性详细规划编制1个</w:t>
      </w:r>
      <w:r>
        <w:rPr>
          <w:rFonts w:hint="eastAsia" w:eastAsia="仿宋_GB2312" w:cs="Times New Roman"/>
          <w:sz w:val="32"/>
          <w:szCs w:val="32"/>
          <w:highlight w:val="none"/>
          <w:lang w:val="en-US" w:eastAsia="zh-CN"/>
        </w:rPr>
        <w:t>，确保该项目按时、保质保量完成</w:t>
      </w:r>
    </w:p>
    <w:p w14:paraId="37453D2D">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二、绩效评价工作开展情况</w:t>
      </w:r>
    </w:p>
    <w:p w14:paraId="6D4D0C93">
      <w:pPr>
        <w:spacing w:line="560" w:lineRule="exact"/>
        <w:ind w:firstLine="643" w:firstLineChars="200"/>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（一）绩效评价目的、对象和范围</w:t>
      </w:r>
    </w:p>
    <w:p w14:paraId="736C3BDF">
      <w:pPr>
        <w:pStyle w:val="11"/>
        <w:widowControl w:val="0"/>
        <w:spacing w:before="0" w:after="0" w:line="560" w:lineRule="exact"/>
        <w:ind w:firstLine="640" w:firstLineChars="200"/>
        <w:jc w:val="both"/>
        <w:outlineLvl w:val="9"/>
        <w:rPr>
          <w:rFonts w:hint="default" w:ascii="Times New Roman" w:hAnsi="Times New Roman" w:eastAsia="仿宋_GB2312" w:cs="Times New Roman"/>
          <w:b w:val="0"/>
          <w:bCs w:val="0"/>
          <w:highlight w:val="none"/>
          <w:lang w:val="en-US" w:eastAsia="zh-CN"/>
        </w:rPr>
      </w:pPr>
      <w:r>
        <w:rPr>
          <w:rFonts w:hint="default" w:ascii="Times New Roman" w:hAnsi="Times New Roman" w:eastAsia="仿宋_GB2312" w:cs="Times New Roman"/>
          <w:b w:val="0"/>
          <w:bCs w:val="0"/>
          <w:highlight w:val="none"/>
          <w:lang w:val="en-US" w:eastAsia="zh-CN"/>
        </w:rPr>
        <w:t>1.绩效评价完整性</w:t>
      </w:r>
    </w:p>
    <w:p w14:paraId="2D896D57">
      <w:pPr>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本项目预算绩效评价报告在编制过程中，严格遵循相关法规与标准，确保评价内容的全面性与准确性。报告涵盖了项目从预算编制、执行到完成的全过程，对项目的各项绩效指标进行了细致的梳理与评估。</w:t>
      </w:r>
    </w:p>
    <w:p w14:paraId="4A55D105">
      <w:pPr>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在评价指标体系的构建上，充分考虑了项目的性质、目标以及预期成果，选取了具有代表性和可衡量性的关键指标，涵盖了社会效益</w:t>
      </w:r>
      <w:r>
        <w:rPr>
          <w:rFonts w:hint="eastAsia" w:eastAsia="仿宋_GB2312" w:cs="Times New Roman"/>
          <w:sz w:val="32"/>
          <w:szCs w:val="32"/>
          <w:highlight w:val="none"/>
          <w:lang w:val="en-US" w:eastAsia="zh-CN"/>
        </w:rPr>
        <w:t>指标</w:t>
      </w:r>
      <w:r>
        <w:rPr>
          <w:rFonts w:hint="default" w:ascii="Times New Roman" w:hAnsi="Times New Roman" w:eastAsia="仿宋_GB2312" w:cs="Times New Roman"/>
          <w:sz w:val="32"/>
          <w:szCs w:val="32"/>
          <w:highlight w:val="none"/>
          <w:lang w:val="en-US" w:eastAsia="zh-CN"/>
        </w:rPr>
        <w:t>，力求全方位反映项目的绩效状况。同时，对于每个指标的评价标准和数据来源均进行了明确说明，确保评价结果的客观性和可追溯性。</w:t>
      </w:r>
    </w:p>
    <w:p w14:paraId="1CAA7905">
      <w:pPr>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在数据收集与分析环节，采用了多种科学合理的方法，如实地调研、问卷调查、数据分析等，广泛收集了与项目相关的各类数据，并运用专业的统计分析工具对数据进行深入挖掘，以确保评价结论的科学性和可靠性。此外，还对数据的质量和完整性进行了严格把控，对于缺失或异常的数据进行了合理的处理和说明，保证了评价数据的真实性和有效性。</w:t>
      </w:r>
    </w:p>
    <w:p w14:paraId="52D55A6B">
      <w:pPr>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在报告的撰写结构上，按照统一的格式和规范进行编排，内容层次分明、条理清晰。首先对项目的背景、目标和预算安排进行了简要介绍，为后续的绩效评价提供了必要的背景信息；接着详细阐述了绩效评价的指标体系、评价方法和数据来源，为评价过程的透明性和可复现性奠定了基础；然后对各项绩效指标的完成情况进行了逐一分析和评价，指出了项目在实施过程中存在的问题和不足，并提出了相应的改进建议；最后对整个项目的绩效状况进行了综合总结，给出了明确的评价结论和后续工作的建议，为项目的持续改进和决策提供了有力支持。</w:t>
      </w:r>
    </w:p>
    <w:p w14:paraId="37F3C71A">
      <w:pPr>
        <w:spacing w:line="560" w:lineRule="exact"/>
        <w:ind w:firstLine="640"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本项目预算绩效评价报告在内容、方法和数据等方面均具备较高的完整性，能够真实、客观地反映项目的绩效情况，为项目管理决策提供了有价值的参考依据。在未来的工作中，我们将继续完善绩效评价体系，不断提升评价工作的质量和水平，以更好地服务于项目的管理和优化。</w:t>
      </w:r>
    </w:p>
    <w:p w14:paraId="2241E588">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绩效评价的目的</w:t>
      </w:r>
    </w:p>
    <w:p w14:paraId="5F92B8E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（1）评估项目实施效果</w:t>
      </w:r>
    </w:p>
    <w:p w14:paraId="25790FE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通过对项目预算执行情况及各项绩效目标达成程度的系统性分析，全面、客观地评估项目在预定周期内的实施效果，包括社会效益指标，为项目后续的改进与优化提供科学依据。</w:t>
      </w:r>
    </w:p>
    <w:p w14:paraId="6CA6841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（2）提升资源利用效率</w:t>
      </w:r>
    </w:p>
    <w:p w14:paraId="5613A21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深入剖析项目预算资金的投入与产出关系，识别资金使用过程中的冗余环节与低效领域，挖掘潜在的资源优化配置空间，推动项目在有限的预算资源下实现更高的绩效产出，提升整体资源利用效率，确保财政资金的合理、高效运用。</w:t>
      </w:r>
    </w:p>
    <w:p w14:paraId="191D306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（3）强化项目管理责任</w:t>
      </w:r>
    </w:p>
    <w:p w14:paraId="301A532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明确项目各参与主体在预算绩效管理中的职责与任务，借助绩效评价结果对项目管理过程进行监督与问责，促使项目管理者增强责任意识，主动优化管理流程，完善内部控制机制，提高项目管理水平与执行力，保障项目按计划、高质量推进。</w:t>
      </w:r>
    </w:p>
    <w:p w14:paraId="52AEC13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（4）为决策提供支持</w:t>
      </w:r>
    </w:p>
    <w:p w14:paraId="36F9AB6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为项目主管部门、财政部门及相关决策层提供详实、准确的绩效评价信息，辅助其在项目审批、预算安排、政策调整等关键决策环节做出更加科学、合理的判断，促进项目资源的合理分配与有效整合，推动项目管理体系的不断完善与升级，提升公共资源配置的精准度与有效性。</w:t>
      </w:r>
    </w:p>
    <w:p w14:paraId="4E061FE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（5）促进项目持续改进</w:t>
      </w:r>
    </w:p>
    <w:p w14:paraId="1A2770F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基于绩效评价发现的问题与不足，提出针对性的改进建议与措施，引导项目团队聚焦关键环节，持续优化项目实施方案，加强过程监控与质量把控，形成项目绩效持续改进的良性循环，不断提升项目整体绩效水平，实现项目长期稳定发展的目标。</w:t>
      </w:r>
    </w:p>
    <w:p w14:paraId="053496A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仿宋_GB2312" w:cs="Times New Roman"/>
          <w:sz w:val="32"/>
          <w:szCs w:val="32"/>
          <w:highlight w:val="none"/>
        </w:rPr>
        <w:t>本项目预算绩效评价报告的编制以提升项目绩效为核心，旨在通过科学、严谨的评价工作，为项目管理与决策提供全方位、深层次的支持，推动项目在预算约束下实现高质量、可持续发展，充分发挥财政资金的经济效益与社会效益。</w:t>
      </w:r>
    </w:p>
    <w:p w14:paraId="1B8C433D">
      <w:pPr>
        <w:pStyle w:val="11"/>
        <w:widowControl w:val="0"/>
        <w:spacing w:before="0" w:after="0" w:line="560" w:lineRule="exact"/>
        <w:ind w:firstLine="640" w:firstLineChars="200"/>
        <w:jc w:val="both"/>
        <w:outlineLvl w:val="9"/>
        <w:rPr>
          <w:rFonts w:hint="default" w:ascii="Times New Roman" w:hAnsi="Times New Roman" w:eastAsia="仿宋_GB2312" w:cs="Times New Roman"/>
          <w:b w:val="0"/>
          <w:bCs w:val="0"/>
        </w:rPr>
      </w:pPr>
      <w:r>
        <w:rPr>
          <w:rFonts w:hint="default" w:ascii="Times New Roman" w:hAnsi="Times New Roman" w:eastAsia="仿宋_GB2312" w:cs="Times New Roman"/>
          <w:b w:val="0"/>
          <w:bCs w:val="0"/>
          <w:lang w:val="en-US" w:eastAsia="zh-CN"/>
        </w:rPr>
        <w:t>3</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val="0"/>
          <w:bCs w:val="0"/>
        </w:rPr>
        <w:t>绩效评价的对象</w:t>
      </w:r>
    </w:p>
    <w:p w14:paraId="569294CC">
      <w:pPr>
        <w:numPr>
          <w:ilvl w:val="0"/>
          <w:numId w:val="0"/>
        </w:numPr>
        <w:spacing w:line="560" w:lineRule="exact"/>
        <w:ind w:firstLine="640" w:firstLineChars="200"/>
        <w:rPr>
          <w:rFonts w:hint="default" w:ascii="Times New Roman" w:hAnsi="Times New Roman" w:eastAsia="仿宋_GB2312" w:cs="Times New Roman"/>
          <w:b w:val="0"/>
          <w:bCs w:val="0"/>
          <w:kern w:val="28"/>
          <w:sz w:val="32"/>
          <w:szCs w:val="32"/>
          <w:lang w:val="en-US" w:eastAsia="zh-CN" w:bidi="ar-SA"/>
        </w:rPr>
      </w:pPr>
      <w:r>
        <w:rPr>
          <w:rFonts w:hint="default" w:ascii="Times New Roman" w:hAnsi="Times New Roman" w:eastAsia="仿宋_GB2312" w:cs="Times New Roman"/>
          <w:b w:val="0"/>
          <w:bCs w:val="0"/>
          <w:kern w:val="28"/>
          <w:sz w:val="32"/>
          <w:szCs w:val="32"/>
          <w:lang w:val="en-US" w:eastAsia="zh-CN" w:bidi="ar-SA"/>
        </w:rPr>
        <w:t>本项目预算绩效评价报告的评价对象是</w:t>
      </w:r>
      <w:r>
        <w:rPr>
          <w:rFonts w:hint="eastAsia" w:ascii="Times New Roman" w:hAnsi="Times New Roman" w:eastAsia="仿宋_GB2312" w:cs="Times New Roman"/>
          <w:b w:val="0"/>
          <w:bCs w:val="0"/>
          <w:kern w:val="28"/>
          <w:sz w:val="32"/>
          <w:szCs w:val="32"/>
          <w:lang w:val="en-US" w:eastAsia="zh-CN" w:bidi="ar-SA"/>
        </w:rPr>
        <w:t>开展九家湾、雅山中路片区区域控制性详细规划编制工作经费和办公室设备物资经费</w:t>
      </w:r>
      <w:r>
        <w:rPr>
          <w:rFonts w:hint="default" w:ascii="Times New Roman" w:hAnsi="Times New Roman" w:eastAsia="仿宋_GB2312" w:cs="Times New Roman"/>
          <w:b w:val="0"/>
          <w:bCs w:val="0"/>
          <w:kern w:val="28"/>
          <w:sz w:val="32"/>
          <w:szCs w:val="32"/>
          <w:lang w:val="en-US" w:eastAsia="zh-CN" w:bidi="ar-SA"/>
        </w:rPr>
        <w:t>及其预算执行情况。该项目由</w:t>
      </w:r>
      <w:r>
        <w:rPr>
          <w:rFonts w:hint="eastAsia" w:ascii="Times New Roman" w:hAnsi="Times New Roman" w:eastAsia="仿宋_GB2312" w:cs="Times New Roman"/>
          <w:b w:val="0"/>
          <w:bCs w:val="0"/>
          <w:kern w:val="28"/>
          <w:sz w:val="32"/>
          <w:szCs w:val="32"/>
          <w:lang w:val="en-US" w:eastAsia="zh-CN" w:bidi="ar-SA"/>
        </w:rPr>
        <w:t>沙区人民政府办公室</w:t>
      </w:r>
      <w:r>
        <w:rPr>
          <w:rFonts w:hint="default" w:ascii="Times New Roman" w:hAnsi="Times New Roman" w:eastAsia="仿宋_GB2312" w:cs="Times New Roman"/>
          <w:b w:val="0"/>
          <w:bCs w:val="0"/>
          <w:kern w:val="28"/>
          <w:sz w:val="32"/>
          <w:szCs w:val="32"/>
          <w:lang w:val="en-US" w:eastAsia="zh-CN" w:bidi="ar-SA"/>
        </w:rPr>
        <w:t>负责实施，旨在</w:t>
      </w:r>
      <w:r>
        <w:rPr>
          <w:rFonts w:hint="eastAsia" w:ascii="Times New Roman" w:hAnsi="Times New Roman" w:eastAsia="仿宋_GB2312" w:cs="Times New Roman"/>
          <w:b w:val="0"/>
          <w:bCs w:val="0"/>
          <w:kern w:val="28"/>
          <w:sz w:val="32"/>
          <w:szCs w:val="32"/>
          <w:lang w:val="en-US" w:eastAsia="zh-CN" w:bidi="ar-SA"/>
        </w:rPr>
        <w:t>此项目为年中新增追加预算项目，用于开展九家湾、雅山中路片区区域控制性详细规划编制工作经费，项目资金及时支付，按时完成，保障该项目圆满完成，验收合格率100%。</w:t>
      </w:r>
      <w:r>
        <w:rPr>
          <w:rFonts w:hint="default" w:ascii="Times New Roman" w:hAnsi="Times New Roman" w:eastAsia="仿宋_GB2312" w:cs="Times New Roman"/>
          <w:b w:val="0"/>
          <w:bCs w:val="0"/>
          <w:kern w:val="28"/>
          <w:sz w:val="32"/>
          <w:szCs w:val="32"/>
          <w:lang w:val="en-US" w:eastAsia="zh-CN" w:bidi="ar-SA"/>
        </w:rPr>
        <w:t>项目预算涵盖从</w:t>
      </w:r>
      <w:r>
        <w:rPr>
          <w:rFonts w:hint="eastAsia" w:ascii="Times New Roman" w:hAnsi="Times New Roman" w:eastAsia="仿宋_GB2312" w:cs="Times New Roman"/>
          <w:b w:val="0"/>
          <w:bCs w:val="0"/>
          <w:kern w:val="28"/>
          <w:sz w:val="32"/>
          <w:szCs w:val="32"/>
          <w:lang w:val="en-US" w:eastAsia="zh-CN" w:bidi="ar-SA"/>
        </w:rPr>
        <w:t>2024年1月1日</w:t>
      </w:r>
      <w:r>
        <w:rPr>
          <w:rFonts w:hint="default" w:ascii="Times New Roman" w:hAnsi="Times New Roman" w:eastAsia="仿宋_GB2312" w:cs="Times New Roman"/>
          <w:b w:val="0"/>
          <w:bCs w:val="0"/>
          <w:kern w:val="28"/>
          <w:sz w:val="32"/>
          <w:szCs w:val="32"/>
          <w:lang w:val="en-US" w:eastAsia="zh-CN" w:bidi="ar-SA"/>
        </w:rPr>
        <w:t>至</w:t>
      </w:r>
      <w:r>
        <w:rPr>
          <w:rFonts w:hint="eastAsia" w:ascii="Times New Roman" w:hAnsi="Times New Roman" w:eastAsia="仿宋_GB2312" w:cs="Times New Roman"/>
          <w:b w:val="0"/>
          <w:bCs w:val="0"/>
          <w:kern w:val="28"/>
          <w:sz w:val="32"/>
          <w:szCs w:val="32"/>
          <w:lang w:val="en-US" w:eastAsia="zh-CN" w:bidi="ar-SA"/>
        </w:rPr>
        <w:t>2024年12月31日</w:t>
      </w:r>
      <w:r>
        <w:rPr>
          <w:rFonts w:hint="default" w:ascii="Times New Roman" w:hAnsi="Times New Roman" w:eastAsia="仿宋_GB2312" w:cs="Times New Roman"/>
          <w:b w:val="0"/>
          <w:bCs w:val="0"/>
          <w:kern w:val="28"/>
          <w:sz w:val="32"/>
          <w:szCs w:val="32"/>
          <w:lang w:val="en-US" w:eastAsia="zh-CN" w:bidi="ar-SA"/>
        </w:rPr>
        <w:t>的全部资金投入与支出，涉及资金总额为</w:t>
      </w:r>
      <w:r>
        <w:rPr>
          <w:rFonts w:hint="eastAsia" w:eastAsia="仿宋_GB2312" w:cs="Times New Roman"/>
          <w:b w:val="0"/>
          <w:bCs w:val="0"/>
          <w:kern w:val="28"/>
          <w:sz w:val="32"/>
          <w:szCs w:val="32"/>
          <w:lang w:val="en-US" w:eastAsia="zh-CN" w:bidi="ar-SA"/>
        </w:rPr>
        <w:t>80.6</w:t>
      </w:r>
      <w:r>
        <w:rPr>
          <w:rFonts w:hint="default" w:ascii="Times New Roman" w:hAnsi="Times New Roman" w:eastAsia="仿宋_GB2312" w:cs="Times New Roman"/>
          <w:b w:val="0"/>
          <w:bCs w:val="0"/>
          <w:kern w:val="28"/>
          <w:sz w:val="32"/>
          <w:szCs w:val="32"/>
          <w:lang w:val="en-US" w:eastAsia="zh-CN" w:bidi="ar-SA"/>
        </w:rPr>
        <w:t>万元。</w:t>
      </w:r>
    </w:p>
    <w:p w14:paraId="6760BBA9">
      <w:pPr>
        <w:pStyle w:val="11"/>
        <w:widowControl w:val="0"/>
        <w:spacing w:before="0" w:after="0" w:line="560" w:lineRule="exact"/>
        <w:ind w:firstLine="640" w:firstLineChars="200"/>
        <w:jc w:val="both"/>
        <w:outlineLvl w:val="9"/>
        <w:rPr>
          <w:rFonts w:hint="default" w:ascii="Times New Roman" w:hAnsi="Times New Roman" w:eastAsia="仿宋_GB2312" w:cs="Times New Roman"/>
          <w:b w:val="0"/>
          <w:bCs w:val="0"/>
        </w:rPr>
      </w:pPr>
      <w:r>
        <w:rPr>
          <w:rFonts w:hint="default" w:ascii="Times New Roman" w:hAnsi="Times New Roman" w:eastAsia="仿宋_GB2312" w:cs="Times New Roman"/>
          <w:b w:val="0"/>
          <w:bCs w:val="0"/>
          <w:lang w:val="en-US" w:eastAsia="zh-CN"/>
        </w:rPr>
        <w:t>4.</w:t>
      </w:r>
      <w:r>
        <w:rPr>
          <w:rFonts w:hint="default" w:ascii="Times New Roman" w:hAnsi="Times New Roman" w:eastAsia="仿宋_GB2312" w:cs="Times New Roman"/>
          <w:b w:val="0"/>
          <w:bCs w:val="0"/>
        </w:rPr>
        <w:t>绩效评价的范围</w:t>
      </w:r>
    </w:p>
    <w:p w14:paraId="1C54E521">
      <w:pPr>
        <w:pStyle w:val="11"/>
        <w:widowControl w:val="0"/>
        <w:spacing w:before="0" w:after="0" w:line="560" w:lineRule="exact"/>
        <w:ind w:firstLine="640" w:firstLineChars="200"/>
        <w:jc w:val="both"/>
        <w:outlineLvl w:val="9"/>
        <w:rPr>
          <w:rFonts w:hint="default" w:ascii="Times New Roman" w:hAnsi="Times New Roman" w:eastAsia="仿宋_GB2312" w:cs="Times New Roman"/>
          <w:b w:val="0"/>
          <w:bCs w:val="0"/>
          <w:highlight w:val="none"/>
        </w:rPr>
      </w:pPr>
      <w:r>
        <w:rPr>
          <w:rFonts w:hint="default" w:ascii="Times New Roman" w:hAnsi="Times New Roman" w:eastAsia="仿宋_GB2312" w:cs="Times New Roman"/>
          <w:b w:val="0"/>
          <w:bCs w:val="0"/>
          <w:highlight w:val="none"/>
        </w:rPr>
        <w:t>本项目预算绩效评价报告的评价范围广泛而全面，涵盖了从项目立项至评价时点期间的所有关键预算活动和财务流程。具体而言，评价范围包括但不限于以下几个方面：</w:t>
      </w:r>
    </w:p>
    <w:p w14:paraId="45178A3D">
      <w:pPr>
        <w:pStyle w:val="11"/>
        <w:widowControl w:val="0"/>
        <w:numPr>
          <w:ilvl w:val="0"/>
          <w:numId w:val="3"/>
        </w:numPr>
        <w:spacing w:before="0" w:after="0" w:line="560" w:lineRule="exact"/>
        <w:ind w:firstLine="640" w:firstLineChars="200"/>
        <w:jc w:val="both"/>
        <w:outlineLvl w:val="9"/>
        <w:rPr>
          <w:rFonts w:hint="default" w:ascii="Times New Roman" w:hAnsi="Times New Roman" w:eastAsia="仿宋_GB2312" w:cs="Times New Roman"/>
          <w:b w:val="0"/>
          <w:bCs w:val="0"/>
          <w:highlight w:val="none"/>
        </w:rPr>
      </w:pPr>
      <w:r>
        <w:rPr>
          <w:rFonts w:hint="default" w:ascii="Times New Roman" w:hAnsi="Times New Roman" w:eastAsia="仿宋_GB2312" w:cs="Times New Roman"/>
          <w:b w:val="0"/>
          <w:bCs w:val="0"/>
          <w:highlight w:val="none"/>
        </w:rPr>
        <w:t>项目预算编制与执行：全面审视项目预算的编制依据、合理性、科学性以及实际执行情况，包括预算调整的原因和效果。</w:t>
      </w:r>
    </w:p>
    <w:p w14:paraId="734A20BD">
      <w:pPr>
        <w:pStyle w:val="11"/>
        <w:widowControl w:val="0"/>
        <w:numPr>
          <w:ilvl w:val="0"/>
          <w:numId w:val="3"/>
        </w:numPr>
        <w:spacing w:before="0" w:after="0" w:line="560" w:lineRule="exact"/>
        <w:ind w:firstLine="640" w:firstLineChars="200"/>
        <w:jc w:val="both"/>
        <w:outlineLvl w:val="9"/>
        <w:rPr>
          <w:rFonts w:hint="default" w:ascii="Times New Roman" w:hAnsi="Times New Roman" w:eastAsia="仿宋_GB2312" w:cs="Times New Roman"/>
          <w:b w:val="0"/>
          <w:bCs w:val="0"/>
          <w:highlight w:val="none"/>
          <w:lang w:eastAsia="zh-CN"/>
        </w:rPr>
      </w:pPr>
      <w:r>
        <w:rPr>
          <w:rFonts w:hint="default" w:ascii="Times New Roman" w:hAnsi="Times New Roman" w:eastAsia="仿宋_GB2312" w:cs="Times New Roman"/>
          <w:b w:val="0"/>
          <w:bCs w:val="0"/>
          <w:highlight w:val="none"/>
        </w:rPr>
        <w:t>资金管理：深入分析项目资金的分配、使用和监管情况，确保资金使用的合规性、高效性和透明度。</w:t>
      </w:r>
    </w:p>
    <w:p w14:paraId="5A69609A">
      <w:pPr>
        <w:pStyle w:val="11"/>
        <w:widowControl w:val="0"/>
        <w:numPr>
          <w:ilvl w:val="0"/>
          <w:numId w:val="3"/>
        </w:numPr>
        <w:spacing w:before="0" w:after="0" w:line="560" w:lineRule="exact"/>
        <w:ind w:firstLine="640" w:firstLineChars="200"/>
        <w:jc w:val="both"/>
        <w:outlineLvl w:val="9"/>
        <w:rPr>
          <w:rFonts w:hint="default" w:ascii="Times New Roman" w:hAnsi="Times New Roman" w:eastAsia="仿宋_GB2312" w:cs="Times New Roman"/>
          <w:b w:val="0"/>
          <w:bCs w:val="0"/>
          <w:highlight w:val="none"/>
          <w:lang w:eastAsia="zh-CN"/>
        </w:rPr>
      </w:pPr>
      <w:r>
        <w:rPr>
          <w:rFonts w:hint="default" w:ascii="Times New Roman" w:hAnsi="Times New Roman" w:eastAsia="仿宋_GB2312" w:cs="Times New Roman"/>
          <w:b w:val="0"/>
          <w:bCs w:val="0"/>
          <w:highlight w:val="none"/>
        </w:rPr>
        <w:t>项目实施进度与产出：评估项目是否按照既定计划顺利推进，各项任务是否按时完成，以及项目产出的数量、质量和时效性是否符合预期。</w:t>
      </w:r>
    </w:p>
    <w:p w14:paraId="1DFAAC8D">
      <w:pPr>
        <w:pStyle w:val="11"/>
        <w:widowControl w:val="0"/>
        <w:numPr>
          <w:ilvl w:val="0"/>
          <w:numId w:val="3"/>
        </w:numPr>
        <w:spacing w:before="0" w:after="0" w:line="560" w:lineRule="exact"/>
        <w:ind w:firstLine="640" w:firstLineChars="200"/>
        <w:jc w:val="both"/>
        <w:outlineLvl w:val="9"/>
        <w:rPr>
          <w:rFonts w:hint="default" w:ascii="Times New Roman" w:hAnsi="Times New Roman" w:eastAsia="仿宋_GB2312" w:cs="Times New Roman"/>
          <w:b w:val="0"/>
          <w:bCs w:val="0"/>
          <w:highlight w:val="none"/>
          <w:lang w:eastAsia="zh-CN"/>
        </w:rPr>
      </w:pPr>
      <w:r>
        <w:rPr>
          <w:rFonts w:hint="default" w:ascii="Times New Roman" w:hAnsi="Times New Roman" w:eastAsia="仿宋_GB2312" w:cs="Times New Roman"/>
          <w:b w:val="0"/>
          <w:bCs w:val="0"/>
          <w:highlight w:val="none"/>
        </w:rPr>
        <w:t>社会影响：考察项目对社会方面的综合影响。</w:t>
      </w:r>
    </w:p>
    <w:p w14:paraId="1AA0EF80">
      <w:pPr>
        <w:spacing w:line="560" w:lineRule="exact"/>
        <w:ind w:firstLine="643" w:firstLineChars="200"/>
        <w:rPr>
          <w:rFonts w:hint="default" w:ascii="Times New Roman" w:hAnsi="Times New Roman" w:cs="Times New Roman"/>
        </w:rPr>
      </w:pPr>
      <w:r>
        <w:rPr>
          <w:rFonts w:hint="default" w:ascii="Times New Roman" w:hAnsi="Times New Roman" w:eastAsia="楷体_GB2312" w:cs="Times New Roman"/>
          <w:b/>
          <w:bCs/>
          <w:sz w:val="32"/>
          <w:szCs w:val="32"/>
        </w:rPr>
        <w:t>（二）绩效评价原则、评价指标体系（详情见表1）、评价方法、评价标准。</w:t>
      </w:r>
    </w:p>
    <w:p w14:paraId="51BA9BC7">
      <w:pPr>
        <w:pStyle w:val="11"/>
        <w:widowControl w:val="0"/>
        <w:spacing w:before="0" w:after="0" w:line="560" w:lineRule="exact"/>
        <w:ind w:firstLine="640" w:firstLineChars="200"/>
        <w:jc w:val="both"/>
        <w:outlineLvl w:val="9"/>
        <w:rPr>
          <w:rFonts w:hint="default" w:ascii="Times New Roman" w:hAnsi="Times New Roman" w:eastAsia="仿宋_GB2312" w:cs="Times New Roman"/>
          <w:b w:val="0"/>
          <w:bCs w:val="0"/>
        </w:rPr>
      </w:pPr>
      <w:r>
        <w:rPr>
          <w:rFonts w:hint="default" w:ascii="Times New Roman" w:hAnsi="Times New Roman" w:eastAsia="仿宋_GB2312" w:cs="Times New Roman"/>
          <w:b w:val="0"/>
          <w:bCs w:val="0"/>
        </w:rPr>
        <w:t>1</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val="0"/>
          <w:bCs w:val="0"/>
        </w:rPr>
        <w:t>绩效评价原则</w:t>
      </w:r>
    </w:p>
    <w:p w14:paraId="1D53C73C">
      <w:pPr>
        <w:spacing w:line="56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本次项目绩效评价遵循以下基本原则：</w:t>
      </w:r>
    </w:p>
    <w:p w14:paraId="16561149">
      <w:pPr>
        <w:pStyle w:val="11"/>
        <w:spacing w:before="0" w:after="0" w:line="560" w:lineRule="exact"/>
        <w:ind w:firstLine="640" w:firstLineChars="200"/>
        <w:jc w:val="both"/>
        <w:outlineLvl w:val="9"/>
        <w:rPr>
          <w:rFonts w:hint="default" w:ascii="Times New Roman" w:hAnsi="Times New Roman" w:eastAsia="仿宋_GB2312" w:cs="Times New Roman"/>
          <w:b w:val="0"/>
          <w:bCs w:val="0"/>
        </w:rPr>
      </w:pPr>
      <w:r>
        <w:rPr>
          <w:rFonts w:hint="default" w:ascii="Times New Roman" w:hAnsi="Times New Roman" w:eastAsia="仿宋_GB2312" w:cs="Times New Roman"/>
          <w:b w:val="0"/>
          <w:bCs w:val="0"/>
        </w:rPr>
        <w:t>（1）科学公正。绩效评价应当运用科学合理的方法，按照规范的程序，对项目绩效进行客观、公正的反映。</w:t>
      </w:r>
    </w:p>
    <w:p w14:paraId="46B0D3C2">
      <w:pPr>
        <w:pStyle w:val="11"/>
        <w:spacing w:before="0" w:after="0" w:line="560" w:lineRule="exact"/>
        <w:ind w:firstLine="640" w:firstLineChars="200"/>
        <w:jc w:val="both"/>
        <w:outlineLvl w:val="9"/>
        <w:rPr>
          <w:rFonts w:hint="default" w:ascii="Times New Roman" w:hAnsi="Times New Roman" w:eastAsia="仿宋_GB2312" w:cs="Times New Roman"/>
          <w:b w:val="0"/>
          <w:bCs w:val="0"/>
        </w:rPr>
      </w:pPr>
      <w:r>
        <w:rPr>
          <w:rFonts w:hint="default" w:ascii="Times New Roman" w:hAnsi="Times New Roman" w:eastAsia="仿宋_GB2312" w:cs="Times New Roman"/>
          <w:b w:val="0"/>
          <w:bCs w:val="0"/>
        </w:rPr>
        <w:t>（2）统筹兼顾。单位自评、部门评价和财政评价应职责明确，各有侧重，相互衔接。单位自评应由项目单位自主实施，即“谁支出、谁自评”。部门评价和财政评价应在单位自评的基础上开展。</w:t>
      </w:r>
    </w:p>
    <w:p w14:paraId="4D9D5C46">
      <w:pPr>
        <w:pStyle w:val="11"/>
        <w:spacing w:before="0" w:after="0" w:line="560" w:lineRule="exact"/>
        <w:ind w:firstLine="640" w:firstLineChars="200"/>
        <w:jc w:val="both"/>
        <w:outlineLvl w:val="9"/>
        <w:rPr>
          <w:rFonts w:hint="default" w:ascii="Times New Roman" w:hAnsi="Times New Roman" w:eastAsia="仿宋_GB2312" w:cs="Times New Roman"/>
          <w:b w:val="0"/>
          <w:bCs w:val="0"/>
        </w:rPr>
      </w:pPr>
      <w:r>
        <w:rPr>
          <w:rFonts w:hint="default" w:ascii="Times New Roman" w:hAnsi="Times New Roman" w:eastAsia="仿宋_GB2312" w:cs="Times New Roman"/>
          <w:b w:val="0"/>
          <w:bCs w:val="0"/>
        </w:rPr>
        <w:t>（3）激励约束。绩效评价结果应与预算安排、政策调整、改进管理实质性挂钩，体现奖优罚劣和激励相容导向，有效要安排、低效要压减、无效要问责。</w:t>
      </w:r>
    </w:p>
    <w:p w14:paraId="7ECB78E1">
      <w:pPr>
        <w:pStyle w:val="11"/>
        <w:spacing w:before="0" w:after="0" w:line="560" w:lineRule="exact"/>
        <w:ind w:firstLine="640" w:firstLineChars="200"/>
        <w:jc w:val="both"/>
        <w:outlineLvl w:val="9"/>
        <w:rPr>
          <w:rFonts w:hint="default" w:ascii="Times New Roman" w:hAnsi="Times New Roman" w:eastAsia="仿宋_GB2312" w:cs="Times New Roman"/>
          <w:b w:val="0"/>
          <w:bCs w:val="0"/>
        </w:rPr>
      </w:pPr>
      <w:r>
        <w:rPr>
          <w:rFonts w:hint="default" w:ascii="Times New Roman" w:hAnsi="Times New Roman" w:eastAsia="仿宋_GB2312" w:cs="Times New Roman"/>
          <w:b w:val="0"/>
          <w:bCs w:val="0"/>
        </w:rPr>
        <w:t>（4）公开透明。绩效评价结果应依法依规公开，并自觉接受社会监督。</w:t>
      </w:r>
    </w:p>
    <w:p w14:paraId="5E95F7E0">
      <w:pPr>
        <w:pStyle w:val="11"/>
        <w:widowControl w:val="0"/>
        <w:spacing w:before="0" w:after="0" w:line="560" w:lineRule="exact"/>
        <w:ind w:firstLine="640" w:firstLineChars="200"/>
        <w:jc w:val="both"/>
        <w:outlineLvl w:val="9"/>
        <w:rPr>
          <w:rFonts w:hint="default" w:ascii="Times New Roman" w:hAnsi="Times New Roman" w:eastAsia="仿宋_GB2312" w:cs="Times New Roman"/>
          <w:b w:val="0"/>
          <w:bCs w:val="0"/>
        </w:rPr>
      </w:pPr>
      <w:r>
        <w:rPr>
          <w:rFonts w:hint="default" w:ascii="Times New Roman" w:hAnsi="Times New Roman" w:eastAsia="仿宋_GB2312" w:cs="Times New Roman"/>
          <w:b w:val="0"/>
          <w:bCs w:val="0"/>
        </w:rPr>
        <w:t>2</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val="0"/>
          <w:bCs w:val="0"/>
        </w:rPr>
        <w:t>评价指标体系</w:t>
      </w:r>
    </w:p>
    <w:p w14:paraId="79ED321A">
      <w:pPr>
        <w:spacing w:line="560" w:lineRule="exact"/>
        <w:ind w:firstLine="708" w:firstLineChars="200"/>
        <w:rPr>
          <w:rFonts w:hint="default" w:ascii="Times New Roman" w:hAnsi="Times New Roman" w:cs="Times New Roman"/>
          <w:color w:val="000000"/>
          <w:spacing w:val="17"/>
          <w:sz w:val="32"/>
          <w:szCs w:val="32"/>
        </w:rPr>
      </w:pPr>
      <w:r>
        <w:rPr>
          <w:rFonts w:hint="default" w:ascii="Times New Roman" w:hAnsi="Times New Roman" w:eastAsia="仿宋_GB2312" w:cs="Times New Roman"/>
          <w:color w:val="000000"/>
          <w:spacing w:val="17"/>
          <w:sz w:val="32"/>
          <w:szCs w:val="32"/>
        </w:rPr>
        <w:t>绩效评价框架是开展绩效评价的核心。绩效评价框架包括评价准则、关键评价问题、评价指标、数据来源、数据收集方法等。指标体系建立过程如下：</w:t>
      </w:r>
    </w:p>
    <w:p w14:paraId="5E6665EC">
      <w:pPr>
        <w:spacing w:line="560" w:lineRule="exact"/>
        <w:ind w:firstLine="708" w:firstLineChars="200"/>
        <w:rPr>
          <w:rFonts w:hint="default" w:ascii="Times New Roman" w:hAnsi="Times New Roman" w:eastAsia="仿宋_GB2312" w:cs="Times New Roman"/>
          <w:color w:val="000000"/>
          <w:spacing w:val="17"/>
          <w:sz w:val="32"/>
          <w:szCs w:val="32"/>
        </w:rPr>
      </w:pPr>
      <w:r>
        <w:rPr>
          <w:rFonts w:hint="default" w:ascii="Times New Roman" w:hAnsi="Times New Roman" w:eastAsia="仿宋_GB2312" w:cs="Times New Roman"/>
          <w:color w:val="000000"/>
          <w:spacing w:val="17"/>
          <w:sz w:val="32"/>
          <w:szCs w:val="32"/>
        </w:rPr>
        <w:t>（1）确定评价指标</w:t>
      </w:r>
    </w:p>
    <w:p w14:paraId="686C24BE">
      <w:pPr>
        <w:spacing w:line="560" w:lineRule="exact"/>
        <w:ind w:firstLine="708" w:firstLineChars="200"/>
        <w:rPr>
          <w:rFonts w:hint="default" w:ascii="Times New Roman" w:hAnsi="Times New Roman" w:eastAsia="仿宋_GB2312" w:cs="Times New Roman"/>
          <w:color w:val="000000"/>
          <w:spacing w:val="17"/>
          <w:sz w:val="32"/>
          <w:szCs w:val="32"/>
        </w:rPr>
      </w:pPr>
      <w:r>
        <w:rPr>
          <w:rFonts w:hint="default" w:ascii="Times New Roman" w:hAnsi="Times New Roman" w:eastAsia="仿宋_GB2312" w:cs="Times New Roman"/>
          <w:color w:val="000000"/>
          <w:spacing w:val="17"/>
          <w:sz w:val="32"/>
          <w:szCs w:val="32"/>
        </w:rPr>
        <w:t>采用层次分析法，建立评价指标体系。绩效评价将指标分为项目决策指标、项目过程指标、项目产出指标、项目效益指标四个维度，最终形成一个由多个相互联系的指标组成的多层次指标体系。</w:t>
      </w:r>
    </w:p>
    <w:p w14:paraId="000D9B94">
      <w:pPr>
        <w:spacing w:line="560" w:lineRule="exact"/>
        <w:ind w:firstLine="708" w:firstLineChars="200"/>
        <w:rPr>
          <w:rFonts w:hint="default" w:ascii="Times New Roman" w:hAnsi="Times New Roman" w:eastAsia="仿宋_GB2312" w:cs="Times New Roman"/>
          <w:color w:val="000000"/>
          <w:spacing w:val="17"/>
          <w:sz w:val="32"/>
          <w:szCs w:val="32"/>
        </w:rPr>
      </w:pPr>
      <w:r>
        <w:rPr>
          <w:rFonts w:hint="default" w:ascii="Times New Roman" w:hAnsi="Times New Roman" w:eastAsia="仿宋_GB2312" w:cs="Times New Roman"/>
          <w:color w:val="000000"/>
          <w:spacing w:val="17"/>
          <w:sz w:val="32"/>
          <w:szCs w:val="32"/>
        </w:rPr>
        <w:t>（2）确定权重</w:t>
      </w:r>
    </w:p>
    <w:p w14:paraId="07120955">
      <w:pPr>
        <w:spacing w:line="560" w:lineRule="exact"/>
        <w:ind w:firstLine="708" w:firstLineChars="200"/>
        <w:rPr>
          <w:rFonts w:hint="default" w:ascii="Times New Roman" w:hAnsi="Times New Roman" w:eastAsia="仿宋_GB2312" w:cs="Times New Roman"/>
          <w:color w:val="FF0000"/>
          <w:spacing w:val="17"/>
          <w:sz w:val="32"/>
          <w:szCs w:val="32"/>
          <w:lang w:eastAsia="zh-CN"/>
        </w:rPr>
      </w:pPr>
      <w:r>
        <w:rPr>
          <w:rFonts w:hint="default" w:ascii="Times New Roman" w:hAnsi="Times New Roman" w:eastAsia="仿宋_GB2312" w:cs="Times New Roman"/>
          <w:color w:val="000000"/>
          <w:spacing w:val="17"/>
          <w:sz w:val="32"/>
          <w:szCs w:val="32"/>
        </w:rPr>
        <w:t>确定各个指标相对于项目总体绩效的权重分值。在绩效评价指标体系中，项目决策权重为20分，项目过程权重为</w:t>
      </w:r>
      <w:r>
        <w:rPr>
          <w:rFonts w:hint="eastAsia" w:eastAsia="仿宋_GB2312" w:cs="Times New Roman"/>
          <w:color w:val="000000"/>
          <w:spacing w:val="17"/>
          <w:sz w:val="32"/>
          <w:szCs w:val="32"/>
          <w:lang w:val="en-US" w:eastAsia="zh-CN"/>
        </w:rPr>
        <w:t>20</w:t>
      </w:r>
      <w:r>
        <w:rPr>
          <w:rFonts w:hint="default" w:ascii="Times New Roman" w:hAnsi="Times New Roman" w:eastAsia="仿宋_GB2312" w:cs="Times New Roman"/>
          <w:color w:val="000000"/>
          <w:spacing w:val="17"/>
          <w:sz w:val="32"/>
          <w:szCs w:val="32"/>
        </w:rPr>
        <w:t>分，项目产出权重为40分，项目效益权重为</w:t>
      </w:r>
      <w:r>
        <w:rPr>
          <w:rFonts w:hint="eastAsia" w:eastAsia="仿宋_GB2312" w:cs="Times New Roman"/>
          <w:color w:val="000000"/>
          <w:spacing w:val="17"/>
          <w:sz w:val="32"/>
          <w:szCs w:val="32"/>
          <w:lang w:val="en-US" w:eastAsia="zh-CN"/>
        </w:rPr>
        <w:t>2</w:t>
      </w:r>
      <w:r>
        <w:rPr>
          <w:rFonts w:hint="default" w:ascii="Times New Roman" w:hAnsi="Times New Roman" w:eastAsia="仿宋_GB2312" w:cs="Times New Roman"/>
          <w:color w:val="000000"/>
          <w:spacing w:val="17"/>
          <w:sz w:val="32"/>
          <w:szCs w:val="32"/>
        </w:rPr>
        <w:t>0分。</w:t>
      </w:r>
    </w:p>
    <w:p w14:paraId="3F2C0267">
      <w:pPr>
        <w:spacing w:line="560" w:lineRule="exact"/>
        <w:ind w:firstLine="708" w:firstLineChars="200"/>
        <w:rPr>
          <w:rFonts w:hint="default" w:ascii="Times New Roman" w:hAnsi="Times New Roman" w:eastAsia="仿宋_GB2312" w:cs="Times New Roman"/>
          <w:color w:val="000000"/>
          <w:spacing w:val="17"/>
          <w:sz w:val="32"/>
          <w:szCs w:val="32"/>
        </w:rPr>
      </w:pPr>
      <w:r>
        <w:rPr>
          <w:rFonts w:hint="default" w:ascii="Times New Roman" w:hAnsi="Times New Roman" w:eastAsia="仿宋_GB2312" w:cs="Times New Roman"/>
          <w:color w:val="000000"/>
          <w:spacing w:val="17"/>
          <w:sz w:val="32"/>
          <w:szCs w:val="32"/>
        </w:rPr>
        <w:t>（3）确定指标标准值</w:t>
      </w:r>
    </w:p>
    <w:p w14:paraId="6E6F0FE7">
      <w:pPr>
        <w:spacing w:line="560" w:lineRule="exact"/>
        <w:ind w:firstLine="708" w:firstLineChars="200"/>
        <w:rPr>
          <w:rFonts w:hint="default" w:ascii="Times New Roman" w:hAnsi="Times New Roman" w:eastAsia="仿宋_GB2312" w:cs="Times New Roman"/>
          <w:color w:val="000000"/>
          <w:spacing w:val="17"/>
          <w:sz w:val="32"/>
          <w:szCs w:val="32"/>
        </w:rPr>
      </w:pPr>
      <w:r>
        <w:rPr>
          <w:rFonts w:hint="default" w:ascii="Times New Roman" w:hAnsi="Times New Roman" w:eastAsia="仿宋_GB2312" w:cs="Times New Roman"/>
          <w:color w:val="000000"/>
          <w:spacing w:val="17"/>
          <w:sz w:val="32"/>
          <w:szCs w:val="32"/>
        </w:rPr>
        <w:t>指标标准值是绩效评价指标的尺度，既要反映同类项目的先进水平，又要符合项目的实际绩效水平。具体采用计划标准等确定此次绩效评价指标标准值。</w:t>
      </w:r>
    </w:p>
    <w:p w14:paraId="465ABAC5">
      <w:pPr>
        <w:pStyle w:val="11"/>
        <w:spacing w:before="0" w:after="0" w:line="560" w:lineRule="exact"/>
        <w:ind w:firstLine="708" w:firstLineChars="200"/>
        <w:jc w:val="both"/>
        <w:rPr>
          <w:rFonts w:hint="default" w:ascii="Times New Roman" w:hAnsi="Times New Roman" w:eastAsia="仿宋_GB2312" w:cs="Times New Roman"/>
          <w:b w:val="0"/>
          <w:bCs w:val="0"/>
          <w:color w:val="000000"/>
          <w:spacing w:val="17"/>
          <w:kern w:val="2"/>
        </w:rPr>
      </w:pPr>
      <w:r>
        <w:rPr>
          <w:rFonts w:hint="default" w:ascii="Times New Roman" w:hAnsi="Times New Roman" w:eastAsia="仿宋_GB2312" w:cs="Times New Roman"/>
          <w:b w:val="0"/>
          <w:bCs w:val="0"/>
          <w:color w:val="000000"/>
          <w:spacing w:val="17"/>
          <w:kern w:val="2"/>
        </w:rPr>
        <w:t>绩效评价总分值100分，根据综合评分结果，90（含）-100分为优、80（含）-90分为良、60（含）-80分为中、60分以下为差。</w:t>
      </w:r>
    </w:p>
    <w:p w14:paraId="6B7E2851">
      <w:pPr>
        <w:pStyle w:val="11"/>
        <w:widowControl w:val="0"/>
        <w:spacing w:before="0" w:after="0" w:line="560" w:lineRule="exact"/>
        <w:ind w:firstLine="708" w:firstLineChars="200"/>
        <w:jc w:val="both"/>
        <w:outlineLvl w:val="9"/>
        <w:rPr>
          <w:rFonts w:hint="default" w:ascii="Times New Roman" w:hAnsi="Times New Roman" w:eastAsia="仿宋_GB2312" w:cs="Times New Roman"/>
          <w:b w:val="0"/>
          <w:bCs w:val="0"/>
          <w:color w:val="000000"/>
          <w:spacing w:val="17"/>
        </w:rPr>
      </w:pPr>
      <w:r>
        <w:rPr>
          <w:rFonts w:hint="default" w:ascii="Times New Roman" w:hAnsi="Times New Roman" w:eastAsia="仿宋_GB2312" w:cs="Times New Roman"/>
          <w:b w:val="0"/>
          <w:bCs w:val="0"/>
          <w:color w:val="000000"/>
          <w:spacing w:val="17"/>
        </w:rPr>
        <w:t>具体评价指标体系详情见附件1</w:t>
      </w:r>
    </w:p>
    <w:p w14:paraId="16975ACC">
      <w:pPr>
        <w:pStyle w:val="11"/>
        <w:widowControl w:val="0"/>
        <w:spacing w:before="0" w:after="0" w:line="560" w:lineRule="exact"/>
        <w:ind w:firstLine="640" w:firstLineChars="200"/>
        <w:jc w:val="both"/>
        <w:outlineLvl w:val="9"/>
        <w:rPr>
          <w:rFonts w:hint="default" w:ascii="Times New Roman" w:hAnsi="Times New Roman" w:eastAsia="仿宋_GB2312" w:cs="Times New Roman"/>
          <w:b w:val="0"/>
          <w:bCs w:val="0"/>
        </w:rPr>
      </w:pPr>
      <w:r>
        <w:rPr>
          <w:rFonts w:hint="default" w:ascii="Times New Roman" w:hAnsi="Times New Roman" w:eastAsia="仿宋_GB2312" w:cs="Times New Roman"/>
          <w:b w:val="0"/>
          <w:bCs w:val="0"/>
        </w:rPr>
        <w:t>3</w:t>
      </w:r>
      <w:r>
        <w:rPr>
          <w:rFonts w:hint="default" w:ascii="Times New Roman" w:hAnsi="Times New Roman" w:eastAsia="仿宋_GB2312" w:cs="Times New Roman"/>
          <w:b w:val="0"/>
          <w:bCs w:val="0"/>
          <w:lang w:val="en-US" w:eastAsia="zh-CN"/>
        </w:rPr>
        <w:t>.</w:t>
      </w:r>
      <w:r>
        <w:rPr>
          <w:rFonts w:hint="default" w:ascii="Times New Roman" w:hAnsi="Times New Roman" w:eastAsia="仿宋_GB2312" w:cs="Times New Roman"/>
          <w:b w:val="0"/>
          <w:bCs w:val="0"/>
        </w:rPr>
        <w:t>绩效评价方法</w:t>
      </w:r>
    </w:p>
    <w:p w14:paraId="720B81EA">
      <w:pPr>
        <w:spacing w:line="560" w:lineRule="exact"/>
        <w:ind w:firstLine="708" w:firstLineChars="200"/>
        <w:rPr>
          <w:rFonts w:hint="default" w:ascii="Times New Roman" w:hAnsi="Times New Roman" w:eastAsia="仿宋_GB2312" w:cs="Times New Roman"/>
          <w:color w:val="000000"/>
          <w:spacing w:val="17"/>
          <w:sz w:val="32"/>
          <w:szCs w:val="32"/>
        </w:rPr>
      </w:pPr>
      <w:r>
        <w:rPr>
          <w:rFonts w:hint="default" w:ascii="Times New Roman" w:hAnsi="Times New Roman" w:eastAsia="仿宋_GB2312" w:cs="Times New Roman"/>
          <w:color w:val="000000"/>
          <w:spacing w:val="17"/>
          <w:sz w:val="32"/>
          <w:szCs w:val="32"/>
        </w:rPr>
        <w:t>绩效评价从项目决策、项目过程、项目产出、项目效益四个维度进行评价。评价对象为项目目标实施情况，评价核心为资金的支出完成情况和项目的产出效益。</w:t>
      </w:r>
    </w:p>
    <w:p w14:paraId="45E86340">
      <w:pPr>
        <w:spacing w:line="560" w:lineRule="exact"/>
        <w:ind w:firstLine="708" w:firstLineChars="200"/>
        <w:rPr>
          <w:rFonts w:hint="default" w:ascii="Times New Roman" w:hAnsi="Times New Roman" w:eastAsia="仿宋_GB2312" w:cs="Times New Roman"/>
          <w:color w:val="000000"/>
          <w:spacing w:val="17"/>
          <w:sz w:val="32"/>
          <w:szCs w:val="32"/>
        </w:rPr>
      </w:pPr>
      <w:r>
        <w:rPr>
          <w:rFonts w:hint="default" w:ascii="Times New Roman" w:hAnsi="Times New Roman" w:eastAsia="仿宋_GB2312" w:cs="Times New Roman"/>
          <w:color w:val="000000"/>
          <w:spacing w:val="17"/>
          <w:sz w:val="32"/>
          <w:szCs w:val="32"/>
        </w:rPr>
        <w:t>本次评价指标中，既有定性指标又有定量指标，各类指标因考核内容不同和客观标准不同存在较大差异，因此核定具体指标时采用了不同方法，具体评价方法如下：</w:t>
      </w:r>
    </w:p>
    <w:p w14:paraId="785ACCE5">
      <w:pPr>
        <w:spacing w:line="560" w:lineRule="exact"/>
        <w:ind w:firstLine="708" w:firstLineChars="200"/>
        <w:rPr>
          <w:rFonts w:hint="default" w:ascii="Times New Roman" w:hAnsi="Times New Roman" w:eastAsia="仿宋_GB2312" w:cs="Times New Roman"/>
          <w:color w:val="000000"/>
          <w:spacing w:val="17"/>
          <w:sz w:val="32"/>
          <w:szCs w:val="32"/>
          <w:highlight w:val="none"/>
        </w:rPr>
      </w:pPr>
      <w:r>
        <w:rPr>
          <w:rFonts w:hint="default" w:ascii="Times New Roman" w:hAnsi="Times New Roman" w:eastAsia="仿宋_GB2312" w:cs="Times New Roman"/>
          <w:color w:val="000000"/>
          <w:spacing w:val="17"/>
          <w:sz w:val="32"/>
          <w:szCs w:val="32"/>
          <w:highlight w:val="none"/>
        </w:rPr>
        <w:t xml:space="preserve">（一）成本效益分析法。是指将投入与产出、效益进行关联性分析的方法。 </w:t>
      </w:r>
    </w:p>
    <w:p w14:paraId="67287F7E">
      <w:pPr>
        <w:spacing w:line="560" w:lineRule="exact"/>
        <w:ind w:firstLine="708" w:firstLineChars="200"/>
        <w:rPr>
          <w:rFonts w:hint="default" w:ascii="Times New Roman" w:hAnsi="Times New Roman" w:eastAsia="仿宋_GB2312" w:cs="Times New Roman"/>
          <w:color w:val="000000"/>
          <w:spacing w:val="17"/>
          <w:sz w:val="32"/>
          <w:szCs w:val="32"/>
          <w:highlight w:val="none"/>
        </w:rPr>
      </w:pPr>
      <w:r>
        <w:rPr>
          <w:rFonts w:hint="default" w:ascii="Times New Roman" w:hAnsi="Times New Roman" w:eastAsia="仿宋_GB2312" w:cs="Times New Roman"/>
          <w:color w:val="000000"/>
          <w:spacing w:val="17"/>
          <w:sz w:val="32"/>
          <w:szCs w:val="32"/>
          <w:highlight w:val="none"/>
        </w:rPr>
        <w:t>（二）比较法。是指将实施情况与绩效目标、历史情况、不同部门和地区同类支出情况进行比较的方法。</w:t>
      </w:r>
    </w:p>
    <w:p w14:paraId="5606F7AF">
      <w:pPr>
        <w:spacing w:line="560" w:lineRule="exact"/>
        <w:ind w:firstLine="708" w:firstLineChars="200"/>
        <w:rPr>
          <w:rFonts w:hint="default" w:ascii="Times New Roman" w:hAnsi="Times New Roman" w:eastAsia="仿宋_GB2312" w:cs="Times New Roman"/>
          <w:color w:val="000000"/>
          <w:spacing w:val="17"/>
          <w:sz w:val="32"/>
          <w:szCs w:val="32"/>
          <w:highlight w:val="none"/>
        </w:rPr>
      </w:pPr>
      <w:r>
        <w:rPr>
          <w:rFonts w:hint="default" w:ascii="Times New Roman" w:hAnsi="Times New Roman" w:eastAsia="仿宋_GB2312" w:cs="Times New Roman"/>
          <w:color w:val="000000"/>
          <w:spacing w:val="17"/>
          <w:sz w:val="32"/>
          <w:szCs w:val="32"/>
          <w:highlight w:val="none"/>
        </w:rPr>
        <w:t>（三）因素分析法。是指综合分析影响绩效目标实现、实施效果的内外部因素的方法。</w:t>
      </w:r>
    </w:p>
    <w:p w14:paraId="6BBDC2BE">
      <w:pPr>
        <w:pStyle w:val="11"/>
        <w:widowControl w:val="0"/>
        <w:spacing w:before="0" w:after="0" w:line="560" w:lineRule="exact"/>
        <w:ind w:firstLine="640" w:firstLineChars="200"/>
        <w:jc w:val="both"/>
        <w:outlineLvl w:val="9"/>
        <w:rPr>
          <w:rFonts w:hint="default" w:ascii="Times New Roman" w:hAnsi="Times New Roman" w:eastAsia="仿宋_GB2312" w:cs="Times New Roman"/>
          <w:b w:val="0"/>
          <w:bCs w:val="0"/>
        </w:rPr>
      </w:pPr>
      <w:r>
        <w:rPr>
          <w:rFonts w:hint="default" w:ascii="Times New Roman" w:hAnsi="Times New Roman" w:eastAsia="仿宋_GB2312" w:cs="Times New Roman"/>
          <w:b w:val="0"/>
          <w:bCs w:val="0"/>
        </w:rPr>
        <w:t>4</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val="0"/>
          <w:bCs w:val="0"/>
        </w:rPr>
        <w:t>评价标准</w:t>
      </w:r>
    </w:p>
    <w:p w14:paraId="3F0A8A70">
      <w:pPr>
        <w:pStyle w:val="11"/>
        <w:widowControl w:val="0"/>
        <w:spacing w:before="0" w:after="0" w:line="560" w:lineRule="exact"/>
        <w:ind w:firstLine="640" w:firstLineChars="200"/>
        <w:jc w:val="both"/>
        <w:outlineLvl w:val="9"/>
        <w:rPr>
          <w:rFonts w:hint="default" w:ascii="Times New Roman" w:hAnsi="Times New Roman" w:eastAsia="仿宋_GB2312" w:cs="Times New Roman"/>
          <w:b w:val="0"/>
          <w:bCs w:val="0"/>
          <w:lang w:eastAsia="zh-CN"/>
        </w:rPr>
      </w:pPr>
      <w:r>
        <w:rPr>
          <w:rFonts w:hint="default" w:ascii="Times New Roman" w:hAnsi="Times New Roman" w:eastAsia="仿宋_GB2312" w:cs="Times New Roman"/>
          <w:b w:val="0"/>
          <w:bCs w:val="0"/>
        </w:rPr>
        <w:t>绩效评价标准通常包括计划标准、行业标准、历史标准等，用于对绩效指标完成情况进行比较、分析、评价。本次评价主要采</w:t>
      </w:r>
      <w:r>
        <w:rPr>
          <w:rFonts w:hint="default" w:ascii="Times New Roman" w:hAnsi="Times New Roman" w:eastAsia="仿宋_GB2312" w:cs="Times New Roman"/>
          <w:b w:val="0"/>
          <w:bCs w:val="0"/>
          <w:highlight w:val="none"/>
        </w:rPr>
        <w:t>用了</w:t>
      </w:r>
      <w:r>
        <w:rPr>
          <w:rFonts w:hint="eastAsia" w:ascii="Times New Roman" w:hAnsi="Times New Roman" w:eastAsia="仿宋_GB2312" w:cs="Times New Roman"/>
          <w:b w:val="0"/>
          <w:bCs w:val="0"/>
          <w:highlight w:val="none"/>
          <w:lang w:val="en-US" w:eastAsia="zh-CN"/>
        </w:rPr>
        <w:t>计划</w:t>
      </w:r>
      <w:r>
        <w:rPr>
          <w:rFonts w:hint="default" w:ascii="Times New Roman" w:hAnsi="Times New Roman" w:eastAsia="仿宋_GB2312" w:cs="Times New Roman"/>
          <w:b w:val="0"/>
          <w:bCs w:val="0"/>
          <w:highlight w:val="none"/>
        </w:rPr>
        <w:t>标</w:t>
      </w:r>
      <w:r>
        <w:rPr>
          <w:rFonts w:hint="default" w:ascii="Times New Roman" w:hAnsi="Times New Roman" w:eastAsia="仿宋_GB2312" w:cs="Times New Roman"/>
          <w:b w:val="0"/>
          <w:bCs w:val="0"/>
        </w:rPr>
        <w:t>准。</w:t>
      </w:r>
    </w:p>
    <w:p w14:paraId="10D16BD7">
      <w:pPr>
        <w:pStyle w:val="11"/>
        <w:widowControl w:val="0"/>
        <w:spacing w:before="0" w:after="0" w:line="560" w:lineRule="exact"/>
        <w:ind w:firstLine="640" w:firstLineChars="200"/>
        <w:jc w:val="both"/>
        <w:outlineLvl w:val="9"/>
        <w:rPr>
          <w:rFonts w:hint="default" w:ascii="Times New Roman" w:hAnsi="Times New Roman" w:eastAsia="仿宋_GB2312" w:cs="Times New Roman"/>
          <w:b w:val="0"/>
          <w:bCs w:val="0"/>
        </w:rPr>
      </w:pPr>
      <w:r>
        <w:rPr>
          <w:rFonts w:hint="default" w:ascii="Times New Roman" w:hAnsi="Times New Roman" w:eastAsia="仿宋_GB2312" w:cs="Times New Roman"/>
          <w:b w:val="0"/>
          <w:bCs w:val="0"/>
          <w:lang w:eastAsia="zh-CN"/>
        </w:rPr>
        <w:t>（</w:t>
      </w:r>
      <w:r>
        <w:rPr>
          <w:rFonts w:hint="default" w:ascii="Times New Roman" w:hAnsi="Times New Roman" w:eastAsia="仿宋_GB2312" w:cs="Times New Roman"/>
          <w:b w:val="0"/>
          <w:bCs w:val="0"/>
          <w:lang w:val="en-US" w:eastAsia="zh-CN"/>
        </w:rPr>
        <w:t>1</w:t>
      </w:r>
      <w:r>
        <w:rPr>
          <w:rFonts w:hint="default" w:ascii="Times New Roman" w:hAnsi="Times New Roman" w:eastAsia="仿宋_GB2312" w:cs="Times New Roman"/>
          <w:b w:val="0"/>
          <w:bCs w:val="0"/>
          <w:lang w:eastAsia="zh-CN"/>
        </w:rPr>
        <w:t>）</w:t>
      </w:r>
      <w:r>
        <w:rPr>
          <w:rFonts w:hint="default" w:ascii="Times New Roman" w:hAnsi="Times New Roman" w:eastAsia="仿宋_GB2312" w:cs="Times New Roman"/>
          <w:b w:val="0"/>
          <w:bCs w:val="0"/>
        </w:rPr>
        <w:t>计划标准。指以预先制定的目标、计划、预算、定额等作为评价标准。</w:t>
      </w:r>
    </w:p>
    <w:p w14:paraId="0A394268">
      <w:pPr>
        <w:pStyle w:val="11"/>
        <w:numPr>
          <w:ilvl w:val="0"/>
          <w:numId w:val="4"/>
        </w:numPr>
        <w:spacing w:before="0" w:after="0" w:line="560" w:lineRule="exact"/>
        <w:ind w:firstLine="711" w:firstLineChars="200"/>
        <w:jc w:val="both"/>
        <w:rPr>
          <w:rFonts w:hint="default" w:ascii="Times New Roman" w:hAnsi="Times New Roman" w:eastAsia="楷体" w:cs="Times New Roman"/>
          <w:color w:val="000000"/>
          <w:spacing w:val="17"/>
        </w:rPr>
      </w:pPr>
      <w:r>
        <w:rPr>
          <w:rFonts w:hint="default" w:ascii="Times New Roman" w:hAnsi="Times New Roman" w:eastAsia="楷体" w:cs="Times New Roman"/>
          <w:color w:val="000000"/>
          <w:spacing w:val="17"/>
        </w:rPr>
        <w:t>绩效评价工作过程</w:t>
      </w:r>
    </w:p>
    <w:p w14:paraId="3DACF3D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前期准备与规划</w:t>
      </w:r>
    </w:p>
    <w:p w14:paraId="33A7BAE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在项目绩效评价工作启动之初，成立了专门的评价工作小组，小组成员由财务</w:t>
      </w:r>
      <w:r>
        <w:rPr>
          <w:rFonts w:hint="eastAsia" w:eastAsia="仿宋_GB2312" w:cs="Times New Roman"/>
          <w:sz w:val="32"/>
          <w:szCs w:val="32"/>
          <w:highlight w:val="none"/>
          <w:lang w:eastAsia="zh-CN"/>
        </w:rPr>
        <w:t>人员</w:t>
      </w:r>
      <w:r>
        <w:rPr>
          <w:rFonts w:hint="default" w:ascii="Times New Roman" w:hAnsi="Times New Roman" w:eastAsia="仿宋_GB2312" w:cs="Times New Roman"/>
          <w:sz w:val="32"/>
          <w:szCs w:val="32"/>
          <w:highlight w:val="none"/>
        </w:rPr>
        <w:t>、项目管理专业人员组成，确保从多角度、全方位对项目绩效进行评价。同时，明确了评价工作的目标、范围、重点及时间安排，制定了详细的工作计划，为评价工作的顺利开展奠定了坚实基础。</w:t>
      </w:r>
    </w:p>
    <w:p w14:paraId="1E69F00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lang w:eastAsia="zh-CN"/>
        </w:rPr>
        <w:t>）指标体系构建</w:t>
      </w:r>
    </w:p>
    <w:p w14:paraId="71F0A44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依据项目的性质、目标以及预期成果，构建了科学合理的绩效评价指标体系。该指标体系涵盖了</w:t>
      </w:r>
      <w:r>
        <w:rPr>
          <w:rFonts w:hint="default" w:ascii="Times New Roman" w:hAnsi="Times New Roman" w:eastAsia="仿宋_GB2312" w:cs="Times New Roman"/>
          <w:color w:val="000000"/>
          <w:spacing w:val="17"/>
          <w:sz w:val="32"/>
          <w:szCs w:val="32"/>
          <w:highlight w:val="none"/>
        </w:rPr>
        <w:t>项目决策、项目过程、项目产出、项目效益四个维度</w:t>
      </w:r>
      <w:r>
        <w:rPr>
          <w:rFonts w:hint="default" w:ascii="Times New Roman" w:hAnsi="Times New Roman" w:eastAsia="仿宋_GB2312" w:cs="Times New Roman"/>
          <w:sz w:val="32"/>
          <w:szCs w:val="32"/>
          <w:highlight w:val="none"/>
          <w:lang w:eastAsia="zh-CN"/>
        </w:rPr>
        <w:t>，选取了具有代表性和可衡量性的关键指标，并为每个指标设定了明确的评价标准与权重，确保评价结果能够全面、准确地反映项目的绩效状况。</w:t>
      </w:r>
    </w:p>
    <w:p w14:paraId="6487B4E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lang w:eastAsia="zh-CN"/>
        </w:rPr>
        <w:t>）数据收集与整理</w:t>
      </w:r>
    </w:p>
    <w:p w14:paraId="3102948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广泛收集与项目相关的各类数据，包括财务报表、项目文档、业务数据等。在数据收集过程中，注重数据的质量与完整性，对缺失或异常的数据进行了合理的处理和补充。随后，对收集到的数据进行了系统的整理与分类，为后续的数据分析提供了有力支持。</w:t>
      </w:r>
    </w:p>
    <w:p w14:paraId="4584993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lang w:eastAsia="zh-CN"/>
        </w:rPr>
        <w:t>）数据分析与评估</w:t>
      </w:r>
    </w:p>
    <w:p w14:paraId="366FBFB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对收集到的数据进行了深入挖掘与分析。通过对各项绩效指标的实际完成情况与预期目标进行对比，计算出指标的达成率，并结合指标权重进行综合评分，从而得出项目的整体绩效评价结果。在分析过程中，注重数据之间的关联性与逻辑性，深入剖析项目绩效背后的原因，识别出项目实施过程中的优势与不足，为提出有针对性的改进建议提供了依据。</w:t>
      </w:r>
    </w:p>
    <w:p w14:paraId="048AD56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lang w:eastAsia="zh-CN"/>
        </w:rPr>
        <w:t>）报告撰写与反馈</w:t>
      </w:r>
    </w:p>
    <w:p w14:paraId="6638283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根据数据分析与评估的结果，按照统一的格式和规范撰写项目预算绩效评价报告。报告内容包括项目背景、评价目的、评价指标体系、数据收集与分析方法、绩效评价结果、存在问题与改进建议等多个部分，力求条理清晰、重点突出、语言简洁明了。在报告撰写完成后，及时向项目实施主体及相关利益相关者进行反馈，充分听取各方意见与建议，对报告内容进行进一步的完善与优化，确保评价报告的质量与实用性。</w:t>
      </w:r>
    </w:p>
    <w:p w14:paraId="35F0689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lang w:eastAsia="zh-CN"/>
        </w:rPr>
        <w:t>）后续跟踪与改进</w:t>
      </w:r>
    </w:p>
    <w:p w14:paraId="5BABB76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在评价报告提交后，我们将持续跟踪项目的改进措施落实情况，定期对项目绩效进行复查与评估，确保项目能够根据评价结果及时调整与优化，实现绩效的持续提升。同时，根据项目实施过程中出现的新情况、新问题，适时调整绩效评价指标体系与方法，保持评价工作的适应性与前瞻性，为项目的长期稳定发展提供有力保障。</w:t>
      </w:r>
    </w:p>
    <w:p w14:paraId="4925222E">
      <w:pPr>
        <w:numPr>
          <w:ilvl w:val="0"/>
          <w:numId w:val="5"/>
        </w:num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综合评价情况及评价结论（附相关评分表）</w:t>
      </w:r>
    </w:p>
    <w:p w14:paraId="4E6C22CB">
      <w:pPr>
        <w:pStyle w:val="11"/>
        <w:keepNext w:val="0"/>
        <w:keepLines w:val="0"/>
        <w:pageBreakBefore w:val="0"/>
        <w:widowControl/>
        <w:kinsoku/>
        <w:wordWrap/>
        <w:overflowPunct/>
        <w:topLinePunct w:val="0"/>
        <w:autoSpaceDE/>
        <w:autoSpaceDN/>
        <w:bidi w:val="0"/>
        <w:adjustRightInd/>
        <w:snapToGrid/>
        <w:spacing w:before="0" w:after="0" w:line="560" w:lineRule="exact"/>
        <w:ind w:firstLine="643" w:firstLineChars="200"/>
        <w:jc w:val="both"/>
        <w:textAlignment w:val="auto"/>
        <w:rPr>
          <w:rFonts w:hint="default" w:ascii="Times New Roman" w:hAnsi="Times New Roman" w:eastAsia="楷体_GB2312" w:cs="Times New Roman"/>
          <w:lang w:val="en-US" w:eastAsia="zh-CN"/>
        </w:rPr>
      </w:pPr>
      <w:r>
        <w:rPr>
          <w:rFonts w:hint="default" w:ascii="Times New Roman" w:hAnsi="Times New Roman" w:eastAsia="楷体_GB2312" w:cs="Times New Roman"/>
          <w:lang w:eastAsia="zh-CN"/>
        </w:rPr>
        <w:t>（</w:t>
      </w:r>
      <w:r>
        <w:rPr>
          <w:rFonts w:hint="default" w:ascii="Times New Roman" w:hAnsi="Times New Roman" w:eastAsia="楷体_GB2312" w:cs="Times New Roman"/>
          <w:lang w:val="en-US" w:eastAsia="zh-CN"/>
        </w:rPr>
        <w:t>一</w:t>
      </w:r>
      <w:r>
        <w:rPr>
          <w:rFonts w:hint="default" w:ascii="Times New Roman" w:hAnsi="Times New Roman" w:eastAsia="楷体_GB2312" w:cs="Times New Roman"/>
          <w:lang w:eastAsia="zh-CN"/>
        </w:rPr>
        <w:t>）</w:t>
      </w:r>
      <w:r>
        <w:rPr>
          <w:rFonts w:hint="default" w:ascii="Times New Roman" w:hAnsi="Times New Roman" w:eastAsia="楷体_GB2312" w:cs="Times New Roman"/>
          <w:lang w:val="en-US" w:eastAsia="zh-CN"/>
        </w:rPr>
        <w:t>评价情况</w:t>
      </w:r>
    </w:p>
    <w:p w14:paraId="17C567E3">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b w:val="0"/>
          <w:bCs w:val="0"/>
          <w:kern w:val="28"/>
          <w:sz w:val="32"/>
          <w:szCs w:val="32"/>
          <w:lang w:val="en-US" w:eastAsia="zh-CN" w:bidi="ar-SA"/>
        </w:rPr>
      </w:pPr>
      <w:r>
        <w:rPr>
          <w:rFonts w:hint="default" w:ascii="Times New Roman" w:hAnsi="Times New Roman" w:eastAsia="仿宋_GB2312" w:cs="Times New Roman"/>
          <w:b w:val="0"/>
          <w:bCs w:val="0"/>
          <w:kern w:val="28"/>
          <w:sz w:val="32"/>
          <w:szCs w:val="32"/>
          <w:lang w:val="en-US" w:eastAsia="zh-CN" w:bidi="ar-SA"/>
        </w:rPr>
        <w:t>本项目的综合评价基于对项目各方面绩效的深入分析与评估。从项目目标的达成情况来看，</w:t>
      </w:r>
      <w:r>
        <w:rPr>
          <w:rFonts w:hint="eastAsia" w:ascii="Times New Roman" w:hAnsi="Times New Roman" w:eastAsia="仿宋_GB2312" w:cs="Times New Roman"/>
          <w:b w:val="0"/>
          <w:bCs w:val="0"/>
          <w:kern w:val="28"/>
          <w:sz w:val="32"/>
          <w:szCs w:val="32"/>
          <w:lang w:val="en-US" w:eastAsia="zh-CN" w:bidi="ar-SA"/>
        </w:rPr>
        <w:t>开展九家湾、雅山中路片区区域控制性详细规划编制工作经费</w:t>
      </w:r>
      <w:r>
        <w:rPr>
          <w:rFonts w:hint="default" w:ascii="Times New Roman" w:hAnsi="Times New Roman" w:eastAsia="仿宋_GB2312" w:cs="Times New Roman"/>
          <w:b w:val="0"/>
          <w:bCs w:val="0"/>
          <w:kern w:val="28"/>
          <w:sz w:val="32"/>
          <w:szCs w:val="32"/>
          <w:lang w:val="en-US" w:eastAsia="zh-CN" w:bidi="ar-SA"/>
        </w:rPr>
        <w:t>及其预算执行情况在</w:t>
      </w:r>
      <w:r>
        <w:rPr>
          <w:rFonts w:hint="eastAsia" w:ascii="Times New Roman" w:hAnsi="Times New Roman" w:eastAsia="仿宋_GB2312" w:cs="Times New Roman"/>
          <w:b w:val="0"/>
          <w:bCs w:val="0"/>
          <w:kern w:val="28"/>
          <w:sz w:val="32"/>
          <w:szCs w:val="32"/>
          <w:lang w:val="en-US" w:eastAsia="zh-CN" w:bidi="ar-SA"/>
        </w:rPr>
        <w:t>用于开展九家湾、雅山中路片区区域控制性详细规划编制工作经费，项目资金及时支付，按时完成，保障该项目圆满完成，项目资金已及时支付，按时完成，保障政府办公室各科室工作任务正常开展并圆满完成。</w:t>
      </w:r>
      <w:r>
        <w:rPr>
          <w:rFonts w:hint="default" w:ascii="Times New Roman" w:hAnsi="Times New Roman" w:eastAsia="仿宋_GB2312" w:cs="Times New Roman"/>
          <w:b w:val="0"/>
          <w:bCs w:val="0"/>
          <w:kern w:val="28"/>
          <w:sz w:val="32"/>
          <w:szCs w:val="32"/>
          <w:lang w:val="en-US" w:eastAsia="zh-CN" w:bidi="ar-SA"/>
        </w:rPr>
        <w:t>等方面表现出色，达到了预期的标准与要求。</w:t>
      </w:r>
    </w:p>
    <w:p w14:paraId="37A622FC">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b w:val="0"/>
          <w:bCs w:val="0"/>
          <w:kern w:val="28"/>
          <w:sz w:val="32"/>
          <w:szCs w:val="32"/>
          <w:lang w:val="en-US" w:eastAsia="zh-CN" w:bidi="ar-SA"/>
        </w:rPr>
      </w:pPr>
      <w:r>
        <w:rPr>
          <w:rFonts w:hint="default" w:ascii="Times New Roman" w:hAnsi="Times New Roman" w:eastAsia="仿宋_GB2312" w:cs="Times New Roman"/>
          <w:b w:val="0"/>
          <w:bCs w:val="0"/>
          <w:kern w:val="28"/>
          <w:sz w:val="32"/>
          <w:szCs w:val="32"/>
          <w:lang w:val="en-US" w:eastAsia="zh-CN" w:bidi="ar-SA"/>
        </w:rPr>
        <w:t>在项目管理方面，</w:t>
      </w:r>
      <w:r>
        <w:rPr>
          <w:rFonts w:hint="eastAsia" w:ascii="Times New Roman" w:hAnsi="Times New Roman" w:eastAsia="仿宋_GB2312" w:cs="Times New Roman"/>
          <w:b w:val="0"/>
          <w:bCs w:val="0"/>
          <w:kern w:val="28"/>
          <w:sz w:val="32"/>
          <w:szCs w:val="32"/>
          <w:lang w:val="en-US" w:eastAsia="zh-CN" w:bidi="ar-SA"/>
        </w:rPr>
        <w:t>沙区人民政府办公室</w:t>
      </w:r>
      <w:r>
        <w:rPr>
          <w:rFonts w:hint="default" w:ascii="Times New Roman" w:hAnsi="Times New Roman" w:eastAsia="仿宋_GB2312" w:cs="Times New Roman"/>
          <w:b w:val="0"/>
          <w:bCs w:val="0"/>
          <w:kern w:val="28"/>
          <w:sz w:val="32"/>
          <w:szCs w:val="32"/>
          <w:lang w:val="en-US" w:eastAsia="zh-CN" w:bidi="ar-SA"/>
        </w:rPr>
        <w:t>通过有效的规划、组织与协调，项目得以顺利实施，并在预算与时间上保持了良好的控制。</w:t>
      </w:r>
    </w:p>
    <w:p w14:paraId="6D4A6BA0">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b w:val="0"/>
          <w:bCs w:val="0"/>
          <w:kern w:val="28"/>
          <w:sz w:val="32"/>
          <w:szCs w:val="32"/>
          <w:lang w:val="en-US" w:eastAsia="zh-CN" w:bidi="ar-SA"/>
        </w:rPr>
      </w:pPr>
      <w:r>
        <w:rPr>
          <w:rFonts w:hint="default" w:ascii="Times New Roman" w:hAnsi="Times New Roman" w:eastAsia="仿宋_GB2312" w:cs="Times New Roman"/>
          <w:b w:val="0"/>
          <w:bCs w:val="0"/>
          <w:kern w:val="28"/>
          <w:sz w:val="32"/>
          <w:szCs w:val="32"/>
          <w:lang w:val="en-US" w:eastAsia="zh-CN" w:bidi="ar-SA"/>
        </w:rPr>
        <w:t>从项目效益的角度来看，本项目不仅实现了预期的社会效益方面产生了积极的影响。具体而言，</w:t>
      </w:r>
      <w:r>
        <w:rPr>
          <w:rFonts w:hint="eastAsia" w:ascii="Times New Roman" w:hAnsi="Times New Roman" w:eastAsia="仿宋_GB2312" w:cs="Times New Roman"/>
          <w:b w:val="0"/>
          <w:bCs w:val="0"/>
          <w:kern w:val="28"/>
          <w:sz w:val="32"/>
          <w:szCs w:val="32"/>
          <w:lang w:val="en-US" w:eastAsia="zh-CN" w:bidi="ar-SA"/>
        </w:rPr>
        <w:t>保障开展九家湾、雅山中路片区区域控制性详细规划编制工作正常开展</w:t>
      </w:r>
      <w:r>
        <w:rPr>
          <w:rFonts w:hint="default" w:ascii="Times New Roman" w:hAnsi="Times New Roman" w:eastAsia="仿宋_GB2312" w:cs="Times New Roman"/>
          <w:b w:val="0"/>
          <w:bCs w:val="0"/>
          <w:kern w:val="28"/>
          <w:sz w:val="32"/>
          <w:szCs w:val="32"/>
          <w:lang w:val="en-US" w:eastAsia="zh-CN" w:bidi="ar-SA"/>
        </w:rPr>
        <w:t>等方面的提升，为项目的利益相关者带来了实实在在的利益。</w:t>
      </w:r>
    </w:p>
    <w:p w14:paraId="0D493447">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b w:val="0"/>
          <w:bCs w:val="0"/>
          <w:kern w:val="28"/>
          <w:sz w:val="32"/>
          <w:szCs w:val="32"/>
          <w:lang w:val="en-US" w:eastAsia="zh-CN" w:bidi="ar-SA"/>
        </w:rPr>
      </w:pPr>
      <w:r>
        <w:rPr>
          <w:rFonts w:hint="default" w:ascii="Times New Roman" w:hAnsi="Times New Roman" w:eastAsia="仿宋_GB2312" w:cs="Times New Roman"/>
          <w:b w:val="0"/>
          <w:bCs w:val="0"/>
          <w:kern w:val="28"/>
          <w:sz w:val="32"/>
          <w:szCs w:val="32"/>
          <w:lang w:val="en-US" w:eastAsia="zh-CN" w:bidi="ar-SA"/>
        </w:rPr>
        <w:t>综上所述，</w:t>
      </w:r>
      <w:r>
        <w:rPr>
          <w:rFonts w:hint="eastAsia" w:ascii="Times New Roman" w:hAnsi="Times New Roman" w:eastAsia="仿宋_GB2312" w:cs="Times New Roman"/>
          <w:b w:val="0"/>
          <w:bCs w:val="0"/>
          <w:kern w:val="28"/>
          <w:sz w:val="32"/>
          <w:szCs w:val="32"/>
          <w:lang w:val="en-US" w:eastAsia="zh-CN" w:bidi="ar-SA"/>
        </w:rPr>
        <w:t>开展九家湾、雅山中路片区区域控制性详细规划编制工作经费</w:t>
      </w:r>
      <w:r>
        <w:rPr>
          <w:rFonts w:hint="default" w:ascii="Times New Roman" w:hAnsi="Times New Roman" w:eastAsia="仿宋_GB2312" w:cs="Times New Roman"/>
          <w:b w:val="0"/>
          <w:bCs w:val="0"/>
          <w:kern w:val="28"/>
          <w:sz w:val="32"/>
          <w:szCs w:val="32"/>
          <w:lang w:val="en-US" w:eastAsia="zh-CN" w:bidi="ar-SA"/>
        </w:rPr>
        <w:t>及其预算执行情况在绩效评价中表现出色，达到了项目的预期目标，并在多个方面取得了显著的成效。</w:t>
      </w:r>
    </w:p>
    <w:p w14:paraId="66A48188">
      <w:pPr>
        <w:pStyle w:val="11"/>
        <w:keepNext w:val="0"/>
        <w:keepLines w:val="0"/>
        <w:pageBreakBefore w:val="0"/>
        <w:widowControl/>
        <w:kinsoku/>
        <w:wordWrap/>
        <w:overflowPunct/>
        <w:topLinePunct w:val="0"/>
        <w:autoSpaceDE/>
        <w:autoSpaceDN/>
        <w:bidi w:val="0"/>
        <w:adjustRightInd/>
        <w:snapToGrid/>
        <w:spacing w:before="0" w:after="0" w:line="560" w:lineRule="exact"/>
        <w:ind w:firstLine="643" w:firstLineChars="200"/>
        <w:jc w:val="both"/>
        <w:textAlignment w:val="auto"/>
        <w:rPr>
          <w:rFonts w:hint="default" w:ascii="Times New Roman" w:hAnsi="Times New Roman" w:eastAsia="楷体_GB2312" w:cs="Times New Roman"/>
          <w:lang w:val="en-US" w:eastAsia="zh-CN"/>
        </w:rPr>
      </w:pPr>
      <w:r>
        <w:rPr>
          <w:rFonts w:hint="default" w:ascii="Times New Roman" w:hAnsi="Times New Roman" w:eastAsia="楷体_GB2312" w:cs="Times New Roman"/>
          <w:lang w:eastAsia="zh-CN"/>
        </w:rPr>
        <w:t>（</w:t>
      </w:r>
      <w:r>
        <w:rPr>
          <w:rFonts w:hint="default" w:ascii="Times New Roman" w:hAnsi="Times New Roman" w:eastAsia="楷体_GB2312" w:cs="Times New Roman"/>
          <w:lang w:val="en-US" w:eastAsia="zh-CN"/>
        </w:rPr>
        <w:t>二</w:t>
      </w:r>
      <w:r>
        <w:rPr>
          <w:rFonts w:hint="default" w:ascii="Times New Roman" w:hAnsi="Times New Roman" w:eastAsia="楷体_GB2312" w:cs="Times New Roman"/>
          <w:lang w:eastAsia="zh-CN"/>
        </w:rPr>
        <w:t>）</w:t>
      </w:r>
      <w:r>
        <w:rPr>
          <w:rFonts w:hint="default" w:ascii="Times New Roman" w:hAnsi="Times New Roman" w:eastAsia="楷体_GB2312" w:cs="Times New Roman"/>
          <w:lang w:val="en-US" w:eastAsia="zh-CN"/>
        </w:rPr>
        <w:t>评价结论</w:t>
      </w:r>
    </w:p>
    <w:p w14:paraId="7909D52D">
      <w:pPr>
        <w:pStyle w:val="11"/>
        <w:widowControl w:val="0"/>
        <w:spacing w:before="0" w:after="0" w:line="560" w:lineRule="exact"/>
        <w:ind w:firstLine="640" w:firstLineChars="200"/>
        <w:jc w:val="both"/>
        <w:outlineLvl w:val="9"/>
        <w:rPr>
          <w:rFonts w:hint="default" w:ascii="Times New Roman" w:hAnsi="Times New Roman" w:eastAsia="仿宋_GB2312" w:cs="Times New Roman"/>
          <w:b w:val="0"/>
          <w:bCs w:val="0"/>
          <w:lang w:eastAsia="zh-CN"/>
        </w:rPr>
      </w:pPr>
      <w:r>
        <w:rPr>
          <w:rFonts w:hint="default" w:ascii="Times New Roman" w:hAnsi="Times New Roman" w:eastAsia="仿宋_GB2312" w:cs="Times New Roman"/>
          <w:b w:val="0"/>
          <w:bCs w:val="0"/>
        </w:rPr>
        <w:t xml:space="preserve">运用绩效评价组制定的评价指标体系以及财政部《项目支出绩效评价管理办法》（财预〔2020〕10号）文件的评分标准，通过数据采集、问卷调查及访谈等方式，对本项目进行客观评价，最终评分结果：总得分为 </w:t>
      </w:r>
      <w:r>
        <w:rPr>
          <w:rFonts w:hint="eastAsia" w:ascii="Times New Roman" w:hAnsi="Times New Roman" w:eastAsia="仿宋_GB2312" w:cs="Times New Roman"/>
          <w:b w:val="0"/>
          <w:bCs w:val="0"/>
          <w:lang w:val="en-US" w:eastAsia="zh-CN"/>
        </w:rPr>
        <w:t>100</w:t>
      </w:r>
      <w:r>
        <w:rPr>
          <w:rFonts w:hint="default" w:ascii="Times New Roman" w:hAnsi="Times New Roman" w:eastAsia="仿宋_GB2312" w:cs="Times New Roman"/>
          <w:b w:val="0"/>
          <w:bCs w:val="0"/>
        </w:rPr>
        <w:t xml:space="preserve">分，属于“优”。其中，项目决策类指标权重为20分，得分为 </w:t>
      </w:r>
      <w:r>
        <w:rPr>
          <w:rFonts w:hint="eastAsia" w:ascii="Times New Roman" w:hAnsi="Times New Roman" w:eastAsia="仿宋_GB2312" w:cs="Times New Roman"/>
          <w:b w:val="0"/>
          <w:bCs w:val="0"/>
          <w:lang w:val="en-US" w:eastAsia="zh-CN"/>
        </w:rPr>
        <w:t>20</w:t>
      </w:r>
      <w:r>
        <w:rPr>
          <w:rFonts w:hint="default" w:ascii="Times New Roman" w:hAnsi="Times New Roman" w:eastAsia="仿宋_GB2312" w:cs="Times New Roman"/>
          <w:b w:val="0"/>
          <w:bCs w:val="0"/>
        </w:rPr>
        <w:t xml:space="preserve">分，得分率为 </w:t>
      </w:r>
      <w:r>
        <w:rPr>
          <w:rFonts w:hint="eastAsia" w:ascii="Times New Roman" w:hAnsi="Times New Roman" w:eastAsia="仿宋_GB2312" w:cs="Times New Roman"/>
          <w:b w:val="0"/>
          <w:bCs w:val="0"/>
          <w:lang w:val="en-US" w:eastAsia="zh-CN"/>
        </w:rPr>
        <w:t>100</w:t>
      </w:r>
      <w:r>
        <w:rPr>
          <w:rFonts w:hint="default" w:ascii="Times New Roman" w:hAnsi="Times New Roman" w:eastAsia="仿宋_GB2312" w:cs="Times New Roman"/>
          <w:b w:val="0"/>
          <w:bCs w:val="0"/>
        </w:rPr>
        <w:t>%。项目过程类指标权重为20分，得分为</w:t>
      </w:r>
      <w:r>
        <w:rPr>
          <w:rFonts w:hint="eastAsia" w:ascii="Times New Roman" w:hAnsi="Times New Roman" w:eastAsia="仿宋_GB2312" w:cs="Times New Roman"/>
          <w:b w:val="0"/>
          <w:bCs w:val="0"/>
          <w:lang w:val="en-US" w:eastAsia="zh-CN"/>
        </w:rPr>
        <w:t>20</w:t>
      </w:r>
      <w:r>
        <w:rPr>
          <w:rFonts w:hint="default" w:ascii="Times New Roman" w:hAnsi="Times New Roman" w:eastAsia="仿宋_GB2312" w:cs="Times New Roman"/>
          <w:b w:val="0"/>
          <w:bCs w:val="0"/>
        </w:rPr>
        <w:t xml:space="preserve">分，得分率为 </w:t>
      </w:r>
      <w:r>
        <w:rPr>
          <w:rFonts w:hint="eastAsia" w:ascii="Times New Roman" w:hAnsi="Times New Roman" w:eastAsia="仿宋_GB2312" w:cs="Times New Roman"/>
          <w:b w:val="0"/>
          <w:bCs w:val="0"/>
          <w:lang w:val="en-US" w:eastAsia="zh-CN"/>
        </w:rPr>
        <w:t>100</w:t>
      </w:r>
      <w:r>
        <w:rPr>
          <w:rFonts w:hint="default" w:ascii="Times New Roman" w:hAnsi="Times New Roman" w:eastAsia="仿宋_GB2312" w:cs="Times New Roman"/>
          <w:b w:val="0"/>
          <w:bCs w:val="0"/>
        </w:rPr>
        <w:t>%。项目产出类指标权重为40分，得分为</w:t>
      </w:r>
      <w:r>
        <w:rPr>
          <w:rFonts w:hint="eastAsia" w:ascii="Times New Roman" w:hAnsi="Times New Roman" w:eastAsia="仿宋_GB2312" w:cs="Times New Roman"/>
          <w:b w:val="0"/>
          <w:bCs w:val="0"/>
          <w:lang w:val="en-US" w:eastAsia="zh-CN"/>
        </w:rPr>
        <w:t>40</w:t>
      </w:r>
      <w:r>
        <w:rPr>
          <w:rFonts w:hint="default" w:ascii="Times New Roman" w:hAnsi="Times New Roman" w:eastAsia="仿宋_GB2312" w:cs="Times New Roman"/>
          <w:b w:val="0"/>
          <w:bCs w:val="0"/>
        </w:rPr>
        <w:t xml:space="preserve">分，得分率为 </w:t>
      </w:r>
      <w:r>
        <w:rPr>
          <w:rFonts w:hint="eastAsia" w:ascii="Times New Roman" w:hAnsi="Times New Roman" w:eastAsia="仿宋_GB2312" w:cs="Times New Roman"/>
          <w:b w:val="0"/>
          <w:bCs w:val="0"/>
          <w:lang w:val="en-US" w:eastAsia="zh-CN"/>
        </w:rPr>
        <w:t>100</w:t>
      </w:r>
      <w:r>
        <w:rPr>
          <w:rFonts w:hint="default" w:ascii="Times New Roman" w:hAnsi="Times New Roman" w:eastAsia="仿宋_GB2312" w:cs="Times New Roman"/>
          <w:b w:val="0"/>
          <w:bCs w:val="0"/>
        </w:rPr>
        <w:t>%。项目效益类指标权重为20分，得分为</w:t>
      </w:r>
      <w:r>
        <w:rPr>
          <w:rFonts w:hint="eastAsia" w:ascii="Times New Roman" w:hAnsi="Times New Roman" w:eastAsia="仿宋_GB2312" w:cs="Times New Roman"/>
          <w:b w:val="0"/>
          <w:bCs w:val="0"/>
          <w:lang w:val="en-US" w:eastAsia="zh-CN"/>
        </w:rPr>
        <w:t>20</w:t>
      </w:r>
      <w:r>
        <w:rPr>
          <w:rFonts w:hint="default" w:ascii="Times New Roman" w:hAnsi="Times New Roman" w:eastAsia="仿宋_GB2312" w:cs="Times New Roman"/>
          <w:b w:val="0"/>
          <w:bCs w:val="0"/>
        </w:rPr>
        <w:t>分，得分率为</w:t>
      </w:r>
      <w:r>
        <w:rPr>
          <w:rFonts w:hint="eastAsia" w:ascii="Times New Roman" w:hAnsi="Times New Roman" w:eastAsia="仿宋_GB2312" w:cs="Times New Roman"/>
          <w:b w:val="0"/>
          <w:bCs w:val="0"/>
          <w:lang w:val="en-US" w:eastAsia="zh-CN"/>
        </w:rPr>
        <w:t>100</w:t>
      </w:r>
      <w:r>
        <w:rPr>
          <w:rFonts w:hint="default" w:ascii="Times New Roman" w:hAnsi="Times New Roman" w:eastAsia="仿宋_GB2312" w:cs="Times New Roman"/>
          <w:b w:val="0"/>
          <w:bCs w:val="0"/>
        </w:rPr>
        <w:t>%。具体打分情况详见：附件1综合评分表</w:t>
      </w:r>
      <w:r>
        <w:rPr>
          <w:rFonts w:hint="default" w:ascii="Times New Roman" w:hAnsi="Times New Roman" w:eastAsia="仿宋_GB2312" w:cs="Times New Roman"/>
          <w:b w:val="0"/>
          <w:bCs w:val="0"/>
          <w:lang w:eastAsia="zh-CN"/>
        </w:rPr>
        <w:t>。</w:t>
      </w:r>
    </w:p>
    <w:p w14:paraId="2AF19DCD">
      <w:pPr>
        <w:pStyle w:val="11"/>
        <w:keepNext w:val="0"/>
        <w:keepLines w:val="0"/>
        <w:pageBreakBefore w:val="0"/>
        <w:widowControl/>
        <w:kinsoku/>
        <w:wordWrap/>
        <w:overflowPunct/>
        <w:topLinePunct w:val="0"/>
        <w:autoSpaceDE/>
        <w:autoSpaceDN/>
        <w:bidi w:val="0"/>
        <w:adjustRightInd/>
        <w:snapToGrid/>
        <w:spacing w:before="0" w:after="0"/>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表1综合评分表</w:t>
      </w:r>
    </w:p>
    <w:tbl>
      <w:tblPr>
        <w:tblStyle w:val="15"/>
        <w:tblW w:w="8760" w:type="dxa"/>
        <w:jc w:val="center"/>
        <w:tblLayout w:type="fixed"/>
        <w:tblCellMar>
          <w:top w:w="0" w:type="dxa"/>
          <w:left w:w="108" w:type="dxa"/>
          <w:bottom w:w="0" w:type="dxa"/>
          <w:right w:w="108" w:type="dxa"/>
        </w:tblCellMar>
      </w:tblPr>
      <w:tblGrid>
        <w:gridCol w:w="2787"/>
        <w:gridCol w:w="1927"/>
        <w:gridCol w:w="2023"/>
        <w:gridCol w:w="2023"/>
      </w:tblGrid>
      <w:tr w14:paraId="5739D1CD">
        <w:tblPrEx>
          <w:tblCellMar>
            <w:top w:w="0" w:type="dxa"/>
            <w:left w:w="108" w:type="dxa"/>
            <w:bottom w:w="0" w:type="dxa"/>
            <w:right w:w="108" w:type="dxa"/>
          </w:tblCellMar>
        </w:tblPrEx>
        <w:trPr>
          <w:trHeight w:val="90" w:hRule="atLeast"/>
          <w:tblHeader/>
          <w:jc w:val="center"/>
        </w:trPr>
        <w:tc>
          <w:tcPr>
            <w:tcW w:w="2787" w:type="dxa"/>
            <w:tcBorders>
              <w:top w:val="single" w:color="auto" w:sz="4" w:space="0"/>
              <w:left w:val="single" w:color="auto" w:sz="4" w:space="0"/>
              <w:bottom w:val="single" w:color="auto" w:sz="4" w:space="0"/>
              <w:right w:val="single" w:color="auto" w:sz="4" w:space="0"/>
            </w:tcBorders>
            <w:shd w:val="clear" w:color="000000" w:fill="BEBEBE" w:themeFill="background1" w:themeFillShade="BF"/>
            <w:vAlign w:val="center"/>
          </w:tcPr>
          <w:p w14:paraId="5B049977">
            <w:pPr>
              <w:jc w:val="center"/>
              <w:rPr>
                <w:rFonts w:hint="default" w:ascii="Times New Roman" w:hAnsi="Times New Roman" w:eastAsia="仿宋_GB2312" w:cs="Times New Roman"/>
                <w:b/>
                <w:bCs/>
                <w:color w:val="000000"/>
                <w:sz w:val="21"/>
                <w:szCs w:val="21"/>
              </w:rPr>
            </w:pPr>
            <w:r>
              <w:rPr>
                <w:rFonts w:hint="default" w:ascii="Times New Roman" w:hAnsi="Times New Roman" w:eastAsia="仿宋_GB2312" w:cs="Times New Roman"/>
                <w:b/>
                <w:bCs/>
                <w:color w:val="000000"/>
                <w:sz w:val="21"/>
                <w:szCs w:val="21"/>
              </w:rPr>
              <w:t>一级指标</w:t>
            </w:r>
          </w:p>
        </w:tc>
        <w:tc>
          <w:tcPr>
            <w:tcW w:w="1927" w:type="dxa"/>
            <w:tcBorders>
              <w:top w:val="single" w:color="auto" w:sz="4" w:space="0"/>
              <w:left w:val="nil"/>
              <w:bottom w:val="single" w:color="auto" w:sz="4" w:space="0"/>
              <w:right w:val="single" w:color="auto" w:sz="4" w:space="0"/>
            </w:tcBorders>
            <w:shd w:val="clear" w:color="000000" w:fill="BEBEBE" w:themeFill="background1" w:themeFillShade="BF"/>
            <w:vAlign w:val="center"/>
          </w:tcPr>
          <w:p w14:paraId="76E155B9">
            <w:pPr>
              <w:jc w:val="center"/>
              <w:rPr>
                <w:rFonts w:hint="default" w:ascii="Times New Roman" w:hAnsi="Times New Roman" w:eastAsia="仿宋_GB2312" w:cs="Times New Roman"/>
                <w:b/>
                <w:bCs/>
                <w:color w:val="000000"/>
                <w:sz w:val="21"/>
                <w:szCs w:val="21"/>
              </w:rPr>
            </w:pPr>
            <w:r>
              <w:rPr>
                <w:rFonts w:hint="default" w:ascii="Times New Roman" w:hAnsi="Times New Roman" w:eastAsia="仿宋_GB2312" w:cs="Times New Roman"/>
                <w:b/>
                <w:bCs/>
                <w:color w:val="000000"/>
                <w:sz w:val="21"/>
                <w:szCs w:val="21"/>
              </w:rPr>
              <w:t>权重分</w:t>
            </w:r>
          </w:p>
        </w:tc>
        <w:tc>
          <w:tcPr>
            <w:tcW w:w="2023" w:type="dxa"/>
            <w:tcBorders>
              <w:top w:val="single" w:color="auto" w:sz="4" w:space="0"/>
              <w:left w:val="nil"/>
              <w:bottom w:val="single" w:color="auto" w:sz="4" w:space="0"/>
              <w:right w:val="single" w:color="auto" w:sz="4" w:space="0"/>
            </w:tcBorders>
            <w:shd w:val="clear" w:color="000000" w:fill="BEBEBE" w:themeFill="background1" w:themeFillShade="BF"/>
            <w:vAlign w:val="center"/>
          </w:tcPr>
          <w:p w14:paraId="4B27352B">
            <w:pPr>
              <w:jc w:val="center"/>
              <w:rPr>
                <w:rFonts w:hint="default" w:ascii="Times New Roman" w:hAnsi="Times New Roman" w:eastAsia="仿宋_GB2312" w:cs="Times New Roman"/>
                <w:b/>
                <w:bCs/>
                <w:color w:val="000000"/>
                <w:sz w:val="21"/>
                <w:szCs w:val="21"/>
              </w:rPr>
            </w:pPr>
            <w:r>
              <w:rPr>
                <w:rFonts w:hint="default" w:ascii="Times New Roman" w:hAnsi="Times New Roman" w:eastAsia="仿宋_GB2312" w:cs="Times New Roman"/>
                <w:b/>
                <w:bCs/>
                <w:color w:val="000000"/>
                <w:sz w:val="21"/>
                <w:szCs w:val="21"/>
              </w:rPr>
              <w:t>得分</w:t>
            </w:r>
          </w:p>
        </w:tc>
        <w:tc>
          <w:tcPr>
            <w:tcW w:w="2023" w:type="dxa"/>
            <w:tcBorders>
              <w:top w:val="single" w:color="auto" w:sz="4" w:space="0"/>
              <w:left w:val="nil"/>
              <w:bottom w:val="single" w:color="auto" w:sz="4" w:space="0"/>
              <w:right w:val="single" w:color="auto" w:sz="4" w:space="0"/>
            </w:tcBorders>
            <w:shd w:val="clear" w:color="000000" w:fill="BEBEBE" w:themeFill="background1" w:themeFillShade="BF"/>
            <w:vAlign w:val="center"/>
          </w:tcPr>
          <w:p w14:paraId="7D28FBC3">
            <w:pPr>
              <w:jc w:val="center"/>
              <w:rPr>
                <w:rFonts w:hint="eastAsia" w:ascii="Times New Roman" w:hAnsi="Times New Roman" w:eastAsia="仿宋_GB2312" w:cs="Times New Roman"/>
                <w:b/>
                <w:bCs/>
                <w:color w:val="000000"/>
                <w:sz w:val="21"/>
                <w:szCs w:val="21"/>
                <w:lang w:val="en-US" w:eastAsia="zh-CN"/>
              </w:rPr>
            </w:pPr>
            <w:r>
              <w:rPr>
                <w:rFonts w:hint="eastAsia" w:eastAsia="仿宋_GB2312" w:cs="Times New Roman"/>
                <w:b/>
                <w:bCs/>
                <w:color w:val="000000"/>
                <w:sz w:val="21"/>
                <w:szCs w:val="21"/>
                <w:lang w:val="en-US" w:eastAsia="zh-CN"/>
              </w:rPr>
              <w:t>得分率</w:t>
            </w:r>
          </w:p>
        </w:tc>
      </w:tr>
      <w:tr w14:paraId="6B860AB5">
        <w:tblPrEx>
          <w:tblCellMar>
            <w:top w:w="0" w:type="dxa"/>
            <w:left w:w="108" w:type="dxa"/>
            <w:bottom w:w="0" w:type="dxa"/>
            <w:right w:w="108" w:type="dxa"/>
          </w:tblCellMar>
        </w:tblPrEx>
        <w:trPr>
          <w:trHeight w:val="340" w:hRule="atLeast"/>
          <w:jc w:val="center"/>
        </w:trPr>
        <w:tc>
          <w:tcPr>
            <w:tcW w:w="2787" w:type="dxa"/>
            <w:tcBorders>
              <w:top w:val="nil"/>
              <w:left w:val="single" w:color="auto" w:sz="4" w:space="0"/>
              <w:bottom w:val="single" w:color="auto" w:sz="4" w:space="0"/>
              <w:right w:val="single" w:color="auto" w:sz="4" w:space="0"/>
            </w:tcBorders>
            <w:shd w:val="clear" w:color="auto" w:fill="auto"/>
            <w:vAlign w:val="center"/>
          </w:tcPr>
          <w:p w14:paraId="6A13AC5A">
            <w:pPr>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项目决策</w:t>
            </w:r>
          </w:p>
        </w:tc>
        <w:tc>
          <w:tcPr>
            <w:tcW w:w="1927" w:type="dxa"/>
            <w:tcBorders>
              <w:top w:val="nil"/>
              <w:left w:val="nil"/>
              <w:bottom w:val="single" w:color="auto" w:sz="4" w:space="0"/>
              <w:right w:val="single" w:color="auto" w:sz="4" w:space="0"/>
            </w:tcBorders>
            <w:shd w:val="clear" w:color="auto" w:fill="auto"/>
            <w:vAlign w:val="center"/>
          </w:tcPr>
          <w:p w14:paraId="1E5B39AF">
            <w:pPr>
              <w:jc w:val="center"/>
              <w:rPr>
                <w:rFonts w:hint="default" w:ascii="Times New Roman" w:hAnsi="Times New Roman" w:eastAsia="仿宋_GB2312" w:cs="Times New Roman"/>
                <w:color w:val="000000"/>
                <w:sz w:val="21"/>
                <w:szCs w:val="21"/>
                <w:highlight w:val="none"/>
                <w:lang w:val="en-US" w:eastAsia="zh-CN"/>
              </w:rPr>
            </w:pPr>
            <w:r>
              <w:rPr>
                <w:rFonts w:hint="default" w:ascii="Times New Roman" w:hAnsi="Times New Roman" w:eastAsia="仿宋_GB2312" w:cs="Times New Roman"/>
                <w:color w:val="000000"/>
                <w:sz w:val="21"/>
                <w:szCs w:val="21"/>
                <w:highlight w:val="none"/>
                <w:lang w:val="en-US" w:eastAsia="zh-CN"/>
              </w:rPr>
              <w:t>20</w:t>
            </w:r>
          </w:p>
        </w:tc>
        <w:tc>
          <w:tcPr>
            <w:tcW w:w="2023" w:type="dxa"/>
            <w:tcBorders>
              <w:top w:val="nil"/>
              <w:left w:val="nil"/>
              <w:bottom w:val="single" w:color="auto" w:sz="4" w:space="0"/>
              <w:right w:val="single" w:color="auto" w:sz="4" w:space="0"/>
            </w:tcBorders>
            <w:shd w:val="clear" w:color="auto" w:fill="auto"/>
            <w:vAlign w:val="center"/>
          </w:tcPr>
          <w:p w14:paraId="1B9F2123">
            <w:pPr>
              <w:jc w:val="center"/>
              <w:rPr>
                <w:rFonts w:hint="default" w:ascii="Times New Roman" w:hAnsi="Times New Roman" w:eastAsia="仿宋_GB2312" w:cs="Times New Roman"/>
                <w:color w:val="000000"/>
                <w:sz w:val="21"/>
                <w:szCs w:val="21"/>
                <w:lang w:val="en-US" w:eastAsia="zh-CN"/>
              </w:rPr>
            </w:pPr>
            <w:r>
              <w:rPr>
                <w:rFonts w:hint="eastAsia" w:eastAsia="仿宋_GB2312" w:cs="Times New Roman"/>
                <w:color w:val="000000"/>
                <w:sz w:val="21"/>
                <w:szCs w:val="21"/>
                <w:lang w:val="en-US" w:eastAsia="zh-CN"/>
              </w:rPr>
              <w:t>20</w:t>
            </w:r>
          </w:p>
        </w:tc>
        <w:tc>
          <w:tcPr>
            <w:tcW w:w="2023" w:type="dxa"/>
            <w:tcBorders>
              <w:top w:val="nil"/>
              <w:left w:val="nil"/>
              <w:bottom w:val="single" w:color="auto" w:sz="4" w:space="0"/>
              <w:right w:val="single" w:color="auto" w:sz="4" w:space="0"/>
            </w:tcBorders>
            <w:shd w:val="clear" w:color="auto" w:fill="auto"/>
            <w:vAlign w:val="center"/>
          </w:tcPr>
          <w:p w14:paraId="7D0DAB42">
            <w:pPr>
              <w:jc w:val="center"/>
              <w:rPr>
                <w:rFonts w:hint="default" w:ascii="Times New Roman" w:hAnsi="Times New Roman" w:eastAsia="仿宋_GB2312" w:cs="Times New Roman"/>
                <w:color w:val="000000"/>
                <w:sz w:val="21"/>
                <w:szCs w:val="21"/>
                <w:lang w:val="en-US" w:eastAsia="zh-CN"/>
              </w:rPr>
            </w:pPr>
            <w:r>
              <w:rPr>
                <w:rFonts w:hint="eastAsia" w:eastAsia="仿宋_GB2312" w:cs="Times New Roman"/>
                <w:color w:val="000000"/>
                <w:sz w:val="21"/>
                <w:szCs w:val="21"/>
                <w:lang w:val="en-US" w:eastAsia="zh-CN"/>
              </w:rPr>
              <w:t>100%</w:t>
            </w:r>
          </w:p>
        </w:tc>
      </w:tr>
      <w:tr w14:paraId="0D446842">
        <w:tblPrEx>
          <w:tblCellMar>
            <w:top w:w="0" w:type="dxa"/>
            <w:left w:w="108" w:type="dxa"/>
            <w:bottom w:w="0" w:type="dxa"/>
            <w:right w:w="108" w:type="dxa"/>
          </w:tblCellMar>
        </w:tblPrEx>
        <w:trPr>
          <w:trHeight w:val="340" w:hRule="atLeast"/>
          <w:jc w:val="center"/>
        </w:trPr>
        <w:tc>
          <w:tcPr>
            <w:tcW w:w="2787" w:type="dxa"/>
            <w:tcBorders>
              <w:top w:val="nil"/>
              <w:left w:val="single" w:color="auto" w:sz="4" w:space="0"/>
              <w:bottom w:val="single" w:color="auto" w:sz="4" w:space="0"/>
              <w:right w:val="single" w:color="auto" w:sz="4" w:space="0"/>
            </w:tcBorders>
            <w:shd w:val="clear" w:color="auto" w:fill="auto"/>
            <w:vAlign w:val="center"/>
          </w:tcPr>
          <w:p w14:paraId="6FB180FC">
            <w:pPr>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项目过程</w:t>
            </w:r>
          </w:p>
        </w:tc>
        <w:tc>
          <w:tcPr>
            <w:tcW w:w="1927" w:type="dxa"/>
            <w:tcBorders>
              <w:top w:val="nil"/>
              <w:left w:val="nil"/>
              <w:bottom w:val="single" w:color="auto" w:sz="4" w:space="0"/>
              <w:right w:val="single" w:color="auto" w:sz="4" w:space="0"/>
            </w:tcBorders>
            <w:shd w:val="clear" w:color="auto" w:fill="auto"/>
            <w:vAlign w:val="center"/>
          </w:tcPr>
          <w:p w14:paraId="42BED690">
            <w:pPr>
              <w:jc w:val="center"/>
              <w:rPr>
                <w:rFonts w:hint="default" w:ascii="Times New Roman" w:hAnsi="Times New Roman" w:eastAsia="仿宋_GB2312" w:cs="Times New Roman"/>
                <w:color w:val="000000"/>
                <w:sz w:val="21"/>
                <w:szCs w:val="21"/>
                <w:highlight w:val="none"/>
                <w:lang w:val="en-US" w:eastAsia="zh-CN"/>
              </w:rPr>
            </w:pPr>
            <w:r>
              <w:rPr>
                <w:rFonts w:hint="default" w:ascii="Times New Roman" w:hAnsi="Times New Roman" w:eastAsia="仿宋_GB2312" w:cs="Times New Roman"/>
                <w:color w:val="000000"/>
                <w:sz w:val="21"/>
                <w:szCs w:val="21"/>
                <w:highlight w:val="none"/>
                <w:lang w:val="en-US" w:eastAsia="zh-CN"/>
              </w:rPr>
              <w:t>20</w:t>
            </w:r>
          </w:p>
        </w:tc>
        <w:tc>
          <w:tcPr>
            <w:tcW w:w="2023" w:type="dxa"/>
            <w:tcBorders>
              <w:top w:val="nil"/>
              <w:left w:val="nil"/>
              <w:bottom w:val="single" w:color="auto" w:sz="4" w:space="0"/>
              <w:right w:val="single" w:color="auto" w:sz="4" w:space="0"/>
            </w:tcBorders>
            <w:shd w:val="clear" w:color="auto" w:fill="auto"/>
            <w:vAlign w:val="center"/>
          </w:tcPr>
          <w:p w14:paraId="1B15D590">
            <w:pPr>
              <w:jc w:val="center"/>
              <w:rPr>
                <w:rFonts w:hint="default" w:ascii="Times New Roman" w:hAnsi="Times New Roman" w:eastAsia="仿宋_GB2312" w:cs="Times New Roman"/>
                <w:color w:val="000000"/>
                <w:sz w:val="21"/>
                <w:szCs w:val="21"/>
                <w:lang w:val="en-US" w:eastAsia="zh-CN"/>
              </w:rPr>
            </w:pPr>
            <w:r>
              <w:rPr>
                <w:rFonts w:hint="eastAsia" w:eastAsia="仿宋_GB2312" w:cs="Times New Roman"/>
                <w:color w:val="000000"/>
                <w:sz w:val="21"/>
                <w:szCs w:val="21"/>
                <w:lang w:val="en-US" w:eastAsia="zh-CN"/>
              </w:rPr>
              <w:t>20</w:t>
            </w:r>
          </w:p>
        </w:tc>
        <w:tc>
          <w:tcPr>
            <w:tcW w:w="2023" w:type="dxa"/>
            <w:tcBorders>
              <w:top w:val="nil"/>
              <w:left w:val="nil"/>
              <w:bottom w:val="single" w:color="auto" w:sz="4" w:space="0"/>
              <w:right w:val="single" w:color="auto" w:sz="4" w:space="0"/>
            </w:tcBorders>
            <w:shd w:val="clear" w:color="auto" w:fill="auto"/>
            <w:vAlign w:val="center"/>
          </w:tcPr>
          <w:p w14:paraId="30FC3C11">
            <w:pPr>
              <w:jc w:val="center"/>
              <w:rPr>
                <w:rFonts w:hint="default" w:ascii="Times New Roman" w:hAnsi="Times New Roman" w:eastAsia="仿宋_GB2312" w:cs="Times New Roman"/>
                <w:color w:val="000000"/>
                <w:sz w:val="21"/>
                <w:szCs w:val="21"/>
              </w:rPr>
            </w:pPr>
            <w:r>
              <w:rPr>
                <w:rFonts w:hint="eastAsia" w:eastAsia="仿宋_GB2312" w:cs="Times New Roman"/>
                <w:color w:val="000000"/>
                <w:sz w:val="21"/>
                <w:szCs w:val="21"/>
                <w:lang w:val="en-US" w:eastAsia="zh-CN"/>
              </w:rPr>
              <w:t>100%</w:t>
            </w:r>
          </w:p>
        </w:tc>
      </w:tr>
      <w:tr w14:paraId="6E0D8532">
        <w:tblPrEx>
          <w:tblCellMar>
            <w:top w:w="0" w:type="dxa"/>
            <w:left w:w="108" w:type="dxa"/>
            <w:bottom w:w="0" w:type="dxa"/>
            <w:right w:w="108" w:type="dxa"/>
          </w:tblCellMar>
        </w:tblPrEx>
        <w:trPr>
          <w:trHeight w:val="340" w:hRule="atLeast"/>
          <w:jc w:val="center"/>
        </w:trPr>
        <w:tc>
          <w:tcPr>
            <w:tcW w:w="2787" w:type="dxa"/>
            <w:tcBorders>
              <w:top w:val="nil"/>
              <w:left w:val="single" w:color="auto" w:sz="4" w:space="0"/>
              <w:bottom w:val="single" w:color="auto" w:sz="4" w:space="0"/>
              <w:right w:val="single" w:color="auto" w:sz="4" w:space="0"/>
            </w:tcBorders>
            <w:shd w:val="clear" w:color="auto" w:fill="auto"/>
            <w:vAlign w:val="center"/>
          </w:tcPr>
          <w:p w14:paraId="39E029FE">
            <w:pPr>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项目产出</w:t>
            </w:r>
          </w:p>
        </w:tc>
        <w:tc>
          <w:tcPr>
            <w:tcW w:w="1927" w:type="dxa"/>
            <w:tcBorders>
              <w:top w:val="nil"/>
              <w:left w:val="nil"/>
              <w:bottom w:val="single" w:color="auto" w:sz="4" w:space="0"/>
              <w:right w:val="single" w:color="auto" w:sz="4" w:space="0"/>
            </w:tcBorders>
            <w:shd w:val="clear" w:color="auto" w:fill="auto"/>
            <w:vAlign w:val="center"/>
          </w:tcPr>
          <w:p w14:paraId="024A01A2">
            <w:pPr>
              <w:jc w:val="center"/>
              <w:rPr>
                <w:rFonts w:hint="default" w:ascii="Times New Roman" w:hAnsi="Times New Roman" w:eastAsia="仿宋_GB2312" w:cs="Times New Roman"/>
                <w:color w:val="000000"/>
                <w:sz w:val="21"/>
                <w:szCs w:val="21"/>
                <w:highlight w:val="none"/>
                <w:lang w:val="en-US" w:eastAsia="zh-CN"/>
              </w:rPr>
            </w:pPr>
            <w:r>
              <w:rPr>
                <w:rFonts w:hint="default" w:ascii="Times New Roman" w:hAnsi="Times New Roman" w:eastAsia="仿宋_GB2312" w:cs="Times New Roman"/>
                <w:color w:val="000000"/>
                <w:sz w:val="21"/>
                <w:szCs w:val="21"/>
                <w:highlight w:val="none"/>
                <w:lang w:val="en-US" w:eastAsia="zh-CN"/>
              </w:rPr>
              <w:t>40</w:t>
            </w:r>
          </w:p>
        </w:tc>
        <w:tc>
          <w:tcPr>
            <w:tcW w:w="2023" w:type="dxa"/>
            <w:tcBorders>
              <w:top w:val="nil"/>
              <w:left w:val="nil"/>
              <w:bottom w:val="single" w:color="auto" w:sz="4" w:space="0"/>
              <w:right w:val="single" w:color="auto" w:sz="4" w:space="0"/>
            </w:tcBorders>
            <w:shd w:val="clear" w:color="auto" w:fill="auto"/>
            <w:vAlign w:val="center"/>
          </w:tcPr>
          <w:p w14:paraId="1FDBFFB6">
            <w:pPr>
              <w:jc w:val="center"/>
              <w:rPr>
                <w:rFonts w:hint="default" w:ascii="Times New Roman" w:hAnsi="Times New Roman" w:eastAsia="仿宋_GB2312" w:cs="Times New Roman"/>
                <w:color w:val="000000"/>
                <w:sz w:val="21"/>
                <w:szCs w:val="21"/>
                <w:lang w:val="en-US" w:eastAsia="zh-CN"/>
              </w:rPr>
            </w:pPr>
            <w:r>
              <w:rPr>
                <w:rFonts w:hint="eastAsia" w:eastAsia="仿宋_GB2312" w:cs="Times New Roman"/>
                <w:color w:val="000000"/>
                <w:sz w:val="21"/>
                <w:szCs w:val="21"/>
                <w:lang w:val="en-US" w:eastAsia="zh-CN"/>
              </w:rPr>
              <w:t>40</w:t>
            </w:r>
          </w:p>
        </w:tc>
        <w:tc>
          <w:tcPr>
            <w:tcW w:w="2023" w:type="dxa"/>
            <w:tcBorders>
              <w:top w:val="nil"/>
              <w:left w:val="nil"/>
              <w:bottom w:val="single" w:color="auto" w:sz="4" w:space="0"/>
              <w:right w:val="single" w:color="auto" w:sz="4" w:space="0"/>
            </w:tcBorders>
            <w:shd w:val="clear" w:color="auto" w:fill="auto"/>
            <w:vAlign w:val="center"/>
          </w:tcPr>
          <w:p w14:paraId="39BC0DDF">
            <w:pPr>
              <w:jc w:val="center"/>
              <w:rPr>
                <w:rFonts w:hint="default" w:ascii="Times New Roman" w:hAnsi="Times New Roman" w:eastAsia="仿宋_GB2312" w:cs="Times New Roman"/>
                <w:color w:val="000000"/>
                <w:sz w:val="21"/>
                <w:szCs w:val="21"/>
              </w:rPr>
            </w:pPr>
            <w:r>
              <w:rPr>
                <w:rFonts w:hint="eastAsia" w:eastAsia="仿宋_GB2312" w:cs="Times New Roman"/>
                <w:color w:val="000000"/>
                <w:sz w:val="21"/>
                <w:szCs w:val="21"/>
                <w:lang w:val="en-US" w:eastAsia="zh-CN"/>
              </w:rPr>
              <w:t>100%</w:t>
            </w:r>
          </w:p>
        </w:tc>
      </w:tr>
      <w:tr w14:paraId="4A5FADDD">
        <w:tblPrEx>
          <w:tblCellMar>
            <w:top w:w="0" w:type="dxa"/>
            <w:left w:w="108" w:type="dxa"/>
            <w:bottom w:w="0" w:type="dxa"/>
            <w:right w:w="108" w:type="dxa"/>
          </w:tblCellMar>
        </w:tblPrEx>
        <w:trPr>
          <w:trHeight w:val="340" w:hRule="atLeast"/>
          <w:jc w:val="center"/>
        </w:trPr>
        <w:tc>
          <w:tcPr>
            <w:tcW w:w="2787" w:type="dxa"/>
            <w:tcBorders>
              <w:top w:val="nil"/>
              <w:left w:val="single" w:color="auto" w:sz="4" w:space="0"/>
              <w:bottom w:val="single" w:color="auto" w:sz="4" w:space="0"/>
              <w:right w:val="single" w:color="auto" w:sz="4" w:space="0"/>
            </w:tcBorders>
            <w:shd w:val="clear" w:color="auto" w:fill="auto"/>
            <w:vAlign w:val="center"/>
          </w:tcPr>
          <w:p w14:paraId="770691FF">
            <w:pPr>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项目效益</w:t>
            </w:r>
          </w:p>
        </w:tc>
        <w:tc>
          <w:tcPr>
            <w:tcW w:w="1927" w:type="dxa"/>
            <w:tcBorders>
              <w:top w:val="nil"/>
              <w:left w:val="nil"/>
              <w:bottom w:val="single" w:color="auto" w:sz="4" w:space="0"/>
              <w:right w:val="single" w:color="auto" w:sz="4" w:space="0"/>
            </w:tcBorders>
            <w:shd w:val="clear" w:color="auto" w:fill="auto"/>
            <w:vAlign w:val="center"/>
          </w:tcPr>
          <w:p w14:paraId="7BA8FB9C">
            <w:pPr>
              <w:jc w:val="center"/>
              <w:rPr>
                <w:rFonts w:hint="default" w:ascii="Times New Roman" w:hAnsi="Times New Roman" w:eastAsia="仿宋_GB2312" w:cs="Times New Roman"/>
                <w:color w:val="000000"/>
                <w:sz w:val="21"/>
                <w:szCs w:val="21"/>
                <w:highlight w:val="none"/>
                <w:lang w:val="en-US" w:eastAsia="zh-CN"/>
              </w:rPr>
            </w:pPr>
            <w:r>
              <w:rPr>
                <w:rFonts w:hint="default" w:ascii="Times New Roman" w:hAnsi="Times New Roman" w:eastAsia="仿宋_GB2312" w:cs="Times New Roman"/>
                <w:color w:val="000000"/>
                <w:sz w:val="21"/>
                <w:szCs w:val="21"/>
                <w:highlight w:val="none"/>
                <w:lang w:val="en-US" w:eastAsia="zh-CN"/>
              </w:rPr>
              <w:t>20</w:t>
            </w:r>
          </w:p>
        </w:tc>
        <w:tc>
          <w:tcPr>
            <w:tcW w:w="2023" w:type="dxa"/>
            <w:tcBorders>
              <w:top w:val="nil"/>
              <w:left w:val="nil"/>
              <w:bottom w:val="single" w:color="auto" w:sz="4" w:space="0"/>
              <w:right w:val="single" w:color="auto" w:sz="4" w:space="0"/>
            </w:tcBorders>
            <w:shd w:val="clear" w:color="auto" w:fill="auto"/>
            <w:vAlign w:val="center"/>
          </w:tcPr>
          <w:p w14:paraId="573C7FB5">
            <w:pPr>
              <w:jc w:val="center"/>
              <w:rPr>
                <w:rFonts w:hint="default" w:ascii="Times New Roman" w:hAnsi="Times New Roman" w:eastAsia="仿宋_GB2312" w:cs="Times New Roman"/>
                <w:color w:val="000000"/>
                <w:sz w:val="21"/>
                <w:szCs w:val="21"/>
                <w:lang w:val="en-US" w:eastAsia="zh-CN"/>
              </w:rPr>
            </w:pPr>
            <w:r>
              <w:rPr>
                <w:rFonts w:hint="eastAsia" w:eastAsia="仿宋_GB2312" w:cs="Times New Roman"/>
                <w:color w:val="000000"/>
                <w:sz w:val="21"/>
                <w:szCs w:val="21"/>
                <w:lang w:val="en-US" w:eastAsia="zh-CN"/>
              </w:rPr>
              <w:t>20</w:t>
            </w:r>
          </w:p>
        </w:tc>
        <w:tc>
          <w:tcPr>
            <w:tcW w:w="2023" w:type="dxa"/>
            <w:tcBorders>
              <w:top w:val="nil"/>
              <w:left w:val="nil"/>
              <w:bottom w:val="single" w:color="auto" w:sz="4" w:space="0"/>
              <w:right w:val="single" w:color="auto" w:sz="4" w:space="0"/>
            </w:tcBorders>
            <w:shd w:val="clear" w:color="auto" w:fill="auto"/>
            <w:vAlign w:val="center"/>
          </w:tcPr>
          <w:p w14:paraId="0B573F8C">
            <w:pPr>
              <w:jc w:val="center"/>
              <w:rPr>
                <w:rFonts w:hint="default" w:ascii="Times New Roman" w:hAnsi="Times New Roman" w:eastAsia="仿宋_GB2312" w:cs="Times New Roman"/>
                <w:color w:val="000000"/>
                <w:sz w:val="21"/>
                <w:szCs w:val="21"/>
                <w:lang w:val="en-US" w:eastAsia="zh-CN"/>
              </w:rPr>
            </w:pPr>
            <w:r>
              <w:rPr>
                <w:rFonts w:hint="eastAsia" w:eastAsia="仿宋_GB2312" w:cs="Times New Roman"/>
                <w:color w:val="000000"/>
                <w:sz w:val="21"/>
                <w:szCs w:val="21"/>
                <w:lang w:val="en-US" w:eastAsia="zh-CN"/>
              </w:rPr>
              <w:t>100%</w:t>
            </w:r>
          </w:p>
        </w:tc>
      </w:tr>
      <w:tr w14:paraId="670AADBF">
        <w:tblPrEx>
          <w:tblCellMar>
            <w:top w:w="0" w:type="dxa"/>
            <w:left w:w="108" w:type="dxa"/>
            <w:bottom w:w="0" w:type="dxa"/>
            <w:right w:w="108" w:type="dxa"/>
          </w:tblCellMar>
        </w:tblPrEx>
        <w:trPr>
          <w:trHeight w:val="340" w:hRule="atLeast"/>
          <w:jc w:val="center"/>
        </w:trPr>
        <w:tc>
          <w:tcPr>
            <w:tcW w:w="2787" w:type="dxa"/>
            <w:tcBorders>
              <w:top w:val="nil"/>
              <w:left w:val="single" w:color="auto" w:sz="4" w:space="0"/>
              <w:bottom w:val="single" w:color="auto" w:sz="4" w:space="0"/>
              <w:right w:val="single" w:color="auto" w:sz="4" w:space="0"/>
            </w:tcBorders>
            <w:shd w:val="clear" w:color="auto" w:fill="auto"/>
            <w:vAlign w:val="center"/>
          </w:tcPr>
          <w:p w14:paraId="743C597A">
            <w:pPr>
              <w:jc w:val="center"/>
              <w:rPr>
                <w:rFonts w:hint="default" w:ascii="Times New Roman" w:hAnsi="Times New Roman" w:eastAsia="仿宋_GB2312" w:cs="Times New Roman"/>
                <w:b/>
                <w:bCs/>
                <w:color w:val="000000"/>
                <w:sz w:val="21"/>
                <w:szCs w:val="21"/>
              </w:rPr>
            </w:pPr>
            <w:r>
              <w:rPr>
                <w:rFonts w:hint="default" w:ascii="Times New Roman" w:hAnsi="Times New Roman" w:eastAsia="仿宋_GB2312" w:cs="Times New Roman"/>
                <w:b/>
                <w:bCs/>
                <w:color w:val="000000"/>
                <w:sz w:val="21"/>
                <w:szCs w:val="21"/>
              </w:rPr>
              <w:t>合计</w:t>
            </w:r>
          </w:p>
        </w:tc>
        <w:tc>
          <w:tcPr>
            <w:tcW w:w="1927" w:type="dxa"/>
            <w:tcBorders>
              <w:top w:val="nil"/>
              <w:left w:val="nil"/>
              <w:bottom w:val="single" w:color="auto" w:sz="4" w:space="0"/>
              <w:right w:val="single" w:color="auto" w:sz="4" w:space="0"/>
            </w:tcBorders>
            <w:shd w:val="clear" w:color="auto" w:fill="auto"/>
            <w:vAlign w:val="center"/>
          </w:tcPr>
          <w:p w14:paraId="663F7B7D">
            <w:pPr>
              <w:jc w:val="center"/>
              <w:rPr>
                <w:rFonts w:hint="default" w:ascii="Times New Roman" w:hAnsi="Times New Roman" w:eastAsia="仿宋_GB2312" w:cs="Times New Roman"/>
                <w:b/>
                <w:bCs/>
                <w:color w:val="000000"/>
                <w:sz w:val="21"/>
                <w:szCs w:val="21"/>
                <w:lang w:val="en-US" w:eastAsia="zh-CN"/>
              </w:rPr>
            </w:pPr>
            <w:r>
              <w:rPr>
                <w:rFonts w:hint="default" w:ascii="Times New Roman" w:hAnsi="Times New Roman" w:eastAsia="仿宋_GB2312" w:cs="Times New Roman"/>
                <w:b/>
                <w:bCs/>
                <w:color w:val="000000"/>
                <w:sz w:val="21"/>
                <w:szCs w:val="21"/>
                <w:lang w:val="en-US" w:eastAsia="zh-CN"/>
              </w:rPr>
              <w:t>100</w:t>
            </w:r>
          </w:p>
        </w:tc>
        <w:tc>
          <w:tcPr>
            <w:tcW w:w="2023" w:type="dxa"/>
            <w:tcBorders>
              <w:top w:val="nil"/>
              <w:left w:val="nil"/>
              <w:bottom w:val="single" w:color="auto" w:sz="4" w:space="0"/>
              <w:right w:val="single" w:color="auto" w:sz="4" w:space="0"/>
            </w:tcBorders>
            <w:shd w:val="clear" w:color="auto" w:fill="auto"/>
            <w:vAlign w:val="center"/>
          </w:tcPr>
          <w:p w14:paraId="400F1BD0">
            <w:pPr>
              <w:jc w:val="center"/>
              <w:rPr>
                <w:rFonts w:hint="default" w:ascii="Times New Roman" w:hAnsi="Times New Roman" w:eastAsia="仿宋_GB2312" w:cs="Times New Roman"/>
                <w:b/>
                <w:bCs/>
                <w:color w:val="000000"/>
                <w:sz w:val="21"/>
                <w:szCs w:val="21"/>
                <w:lang w:val="en-US" w:eastAsia="zh-CN"/>
              </w:rPr>
            </w:pPr>
            <w:r>
              <w:rPr>
                <w:rFonts w:hint="eastAsia" w:eastAsia="仿宋_GB2312" w:cs="Times New Roman"/>
                <w:b/>
                <w:bCs/>
                <w:color w:val="000000"/>
                <w:sz w:val="21"/>
                <w:szCs w:val="21"/>
                <w:lang w:val="en-US" w:eastAsia="zh-CN"/>
              </w:rPr>
              <w:t>100</w:t>
            </w:r>
          </w:p>
        </w:tc>
        <w:tc>
          <w:tcPr>
            <w:tcW w:w="2023" w:type="dxa"/>
            <w:tcBorders>
              <w:top w:val="nil"/>
              <w:left w:val="nil"/>
              <w:bottom w:val="single" w:color="auto" w:sz="4" w:space="0"/>
              <w:right w:val="single" w:color="auto" w:sz="4" w:space="0"/>
            </w:tcBorders>
            <w:shd w:val="clear" w:color="auto" w:fill="auto"/>
            <w:vAlign w:val="center"/>
          </w:tcPr>
          <w:p w14:paraId="1CBB7B20">
            <w:pPr>
              <w:jc w:val="center"/>
              <w:rPr>
                <w:rFonts w:hint="default" w:ascii="Times New Roman" w:hAnsi="Times New Roman" w:eastAsia="仿宋_GB2312" w:cs="Times New Roman"/>
                <w:b/>
                <w:bCs/>
                <w:color w:val="000000"/>
                <w:sz w:val="21"/>
                <w:szCs w:val="21"/>
                <w:lang w:val="en-US" w:eastAsia="zh-CN"/>
              </w:rPr>
            </w:pPr>
            <w:r>
              <w:rPr>
                <w:rFonts w:hint="eastAsia" w:eastAsia="仿宋_GB2312" w:cs="Times New Roman"/>
                <w:b/>
                <w:bCs/>
                <w:color w:val="000000"/>
                <w:sz w:val="21"/>
                <w:szCs w:val="21"/>
                <w:lang w:val="en-US" w:eastAsia="zh-CN"/>
              </w:rPr>
              <w:t>100%</w:t>
            </w:r>
          </w:p>
        </w:tc>
      </w:tr>
    </w:tbl>
    <w:p w14:paraId="182E0847">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四、绩效评价指标分析</w:t>
      </w:r>
    </w:p>
    <w:p w14:paraId="6DF60BE3">
      <w:pPr>
        <w:pStyle w:val="11"/>
        <w:spacing w:before="0" w:after="0" w:line="560" w:lineRule="exact"/>
        <w:ind w:firstLine="643" w:firstLineChars="200"/>
        <w:jc w:val="both"/>
        <w:rPr>
          <w:rFonts w:hint="default" w:ascii="Times New Roman" w:hAnsi="Times New Roman" w:eastAsia="楷体_GB2312" w:cs="Times New Roman"/>
        </w:rPr>
      </w:pPr>
      <w:r>
        <w:rPr>
          <w:rFonts w:hint="default" w:ascii="Times New Roman" w:hAnsi="Times New Roman" w:eastAsia="楷体_GB2312" w:cs="Times New Roman"/>
        </w:rPr>
        <w:t>（一）项目决策情况</w:t>
      </w:r>
    </w:p>
    <w:p w14:paraId="03CB22C2">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项目决策类指标包括项目立项、绩效目标和资金投入三方面的内容，由6个三级指标构成，权重分值为20分，实际得分</w:t>
      </w:r>
      <w:r>
        <w:rPr>
          <w:rFonts w:hint="eastAsia" w:eastAsia="仿宋_GB2312" w:cs="Times New Roman"/>
          <w:sz w:val="32"/>
          <w:szCs w:val="32"/>
          <w:highlight w:val="none"/>
          <w:lang w:val="en-US" w:eastAsia="zh-CN"/>
        </w:rPr>
        <w:t>20</w:t>
      </w:r>
      <w:r>
        <w:rPr>
          <w:rFonts w:hint="default" w:ascii="Times New Roman" w:hAnsi="Times New Roman" w:eastAsia="仿宋_GB2312" w:cs="Times New Roman"/>
          <w:sz w:val="32"/>
          <w:szCs w:val="32"/>
          <w:highlight w:val="none"/>
          <w:lang w:val="en-US" w:eastAsia="zh-CN"/>
        </w:rPr>
        <w:t>分，得分率为</w:t>
      </w:r>
      <w:r>
        <w:rPr>
          <w:rFonts w:hint="eastAsia"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lang w:val="en-US" w:eastAsia="zh-CN"/>
        </w:rPr>
        <w:t>%。</w:t>
      </w:r>
    </w:p>
    <w:p w14:paraId="08069B13">
      <w:pPr>
        <w:pStyle w:val="21"/>
        <w:keepNext w:val="0"/>
        <w:keepLines w:val="0"/>
        <w:pageBreakBefore w:val="0"/>
        <w:widowControl w:val="0"/>
        <w:shd w:val="clear"/>
        <w:kinsoku/>
        <w:wordWrap/>
        <w:overflowPunct/>
        <w:topLinePunct w:val="0"/>
        <w:autoSpaceDE/>
        <w:autoSpaceDN/>
        <w:bidi w:val="0"/>
        <w:adjustRightInd/>
        <w:snapToGrid/>
        <w:spacing w:line="560" w:lineRule="exact"/>
        <w:ind w:left="0" w:leftChars="0" w:firstLine="640" w:firstLineChars="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1.项目立项</w:t>
      </w:r>
    </w:p>
    <w:p w14:paraId="3494AED5">
      <w:pPr>
        <w:shd w:val="clear"/>
        <w:spacing w:line="600" w:lineRule="exact"/>
        <w:ind w:firstLine="640" w:firstLineChars="200"/>
        <w:outlineLvl w:val="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（1）立项依据充分性</w:t>
      </w:r>
    </w:p>
    <w:p w14:paraId="68D80087">
      <w:pPr>
        <w:shd w:val="clear"/>
        <w:spacing w:line="600" w:lineRule="exact"/>
        <w:ind w:firstLine="640" w:firstLineChars="200"/>
        <w:outlineLvl w:val="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该项目立项符合国家相关法律法规及发展政策，符合行业规划要求，围绕本年度工作重点和工作计划制定经费预算，属于公共财政支持范围。本项目与部门内部其他相关项目不重复。部门发展规划及职能文件等归档完整。</w:t>
      </w:r>
    </w:p>
    <w:p w14:paraId="75414087">
      <w:pPr>
        <w:shd w:val="clear"/>
        <w:spacing w:line="600" w:lineRule="exact"/>
        <w:ind w:firstLine="640" w:firstLineChars="200"/>
        <w:outlineLvl w:val="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（2）立项程序规范性</w:t>
      </w:r>
    </w:p>
    <w:p w14:paraId="111CB01B">
      <w:pPr>
        <w:shd w:val="clear"/>
        <w:spacing w:line="600" w:lineRule="exact"/>
        <w:ind w:firstLine="640" w:firstLineChars="200"/>
        <w:outlineLvl w:val="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项目申请、设立过程符合相关要求，</w:t>
      </w:r>
      <w:r>
        <w:rPr>
          <w:rFonts w:hint="default" w:ascii="Times New Roman" w:hAnsi="Times New Roman" w:eastAsia="仿宋_GB2312" w:cs="Times New Roman"/>
          <w:sz w:val="32"/>
          <w:szCs w:val="32"/>
          <w:lang w:eastAsia="zh-Hans"/>
        </w:rPr>
        <w:t>严格按照审批流程准备符合要求的文件、材料；</w:t>
      </w:r>
      <w:r>
        <w:rPr>
          <w:rFonts w:hint="default" w:ascii="Times New Roman" w:hAnsi="Times New Roman" w:eastAsia="仿宋_GB2312" w:cs="Times New Roman"/>
          <w:sz w:val="32"/>
          <w:szCs w:val="32"/>
          <w:highlight w:val="none"/>
          <w:lang w:val="en-US" w:eastAsia="zh-CN"/>
        </w:rPr>
        <w:t>根据决算依据编制</w:t>
      </w:r>
      <w:r>
        <w:rPr>
          <w:rFonts w:hint="default" w:ascii="Times New Roman" w:hAnsi="Times New Roman" w:eastAsia="仿宋_GB2312" w:cs="Times New Roman"/>
          <w:sz w:val="32"/>
          <w:szCs w:val="32"/>
          <w:lang w:val="en-US" w:eastAsia="zh-CN"/>
        </w:rPr>
        <w:t>工作计划和经费预算，经过与部门项目分管领导沟通、筛选确定经费预算计划，确定最终预算方案。项目的审批文件、材料符合相关要求，项目事前经过必要的</w:t>
      </w:r>
      <w:r>
        <w:rPr>
          <w:rFonts w:hint="default" w:ascii="Times New Roman" w:hAnsi="Times New Roman" w:eastAsia="仿宋_GB2312" w:cs="Times New Roman"/>
          <w:sz w:val="32"/>
          <w:szCs w:val="32"/>
          <w:highlight w:val="none"/>
          <w:lang w:val="en-US" w:eastAsia="zh-CN"/>
        </w:rPr>
        <w:t>可行性研究、风险评估、绩效评估、集体决策</w:t>
      </w:r>
      <w:r>
        <w:rPr>
          <w:rFonts w:hint="default" w:ascii="Times New Roman" w:hAnsi="Times New Roman" w:eastAsia="仿宋_GB2312" w:cs="Times New Roman"/>
          <w:sz w:val="32"/>
          <w:szCs w:val="32"/>
          <w:lang w:val="en-US" w:eastAsia="zh-CN"/>
        </w:rPr>
        <w:t>，保障了程序的规范性。</w:t>
      </w:r>
    </w:p>
    <w:p w14:paraId="3974524B">
      <w:pPr>
        <w:pStyle w:val="21"/>
        <w:keepNext w:val="0"/>
        <w:keepLines w:val="0"/>
        <w:pageBreakBefore w:val="0"/>
        <w:widowControl w:val="0"/>
        <w:shd w:val="clear"/>
        <w:kinsoku/>
        <w:wordWrap/>
        <w:overflowPunct/>
        <w:topLinePunct w:val="0"/>
        <w:autoSpaceDE/>
        <w:autoSpaceDN/>
        <w:bidi w:val="0"/>
        <w:adjustRightInd/>
        <w:snapToGrid/>
        <w:spacing w:line="560" w:lineRule="exact"/>
        <w:ind w:left="0" w:leftChars="0" w:firstLine="640" w:firstLineChars="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2.绩效目标</w:t>
      </w:r>
    </w:p>
    <w:p w14:paraId="6344A6EB">
      <w:pPr>
        <w:shd w:val="clear"/>
        <w:spacing w:line="600" w:lineRule="exact"/>
        <w:ind w:firstLine="640" w:firstLineChars="200"/>
        <w:outlineLvl w:val="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（1）绩效目标合理性</w:t>
      </w:r>
    </w:p>
    <w:p w14:paraId="180C5DA4">
      <w:pPr>
        <w:shd w:val="clear"/>
        <w:spacing w:line="600" w:lineRule="exact"/>
        <w:ind w:firstLine="640" w:firstLineChars="200"/>
        <w:outlineLvl w:val="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Hans"/>
        </w:rPr>
        <w:t>年初结合实际工作内容</w:t>
      </w:r>
      <w:r>
        <w:rPr>
          <w:rFonts w:hint="default" w:ascii="Times New Roman" w:hAnsi="Times New Roman" w:eastAsia="仿宋_GB2312" w:cs="Times New Roman"/>
          <w:sz w:val="32"/>
          <w:szCs w:val="32"/>
          <w:lang w:val="en-US" w:eastAsia="zh-CN"/>
        </w:rPr>
        <w:t>设定绩效目标</w:t>
      </w:r>
      <w:r>
        <w:rPr>
          <w:rFonts w:hint="default" w:ascii="Times New Roman" w:hAnsi="Times New Roman" w:eastAsia="仿宋_GB2312" w:cs="Times New Roman"/>
          <w:sz w:val="32"/>
          <w:szCs w:val="32"/>
          <w:lang w:val="en-US" w:eastAsia="zh-Hans"/>
        </w:rPr>
        <w:t>，绩效目标</w:t>
      </w:r>
      <w:r>
        <w:rPr>
          <w:rFonts w:hint="default" w:ascii="Times New Roman" w:hAnsi="Times New Roman" w:eastAsia="仿宋_GB2312" w:cs="Times New Roman"/>
          <w:sz w:val="32"/>
          <w:szCs w:val="32"/>
          <w:lang w:val="en-US" w:eastAsia="zh-CN"/>
        </w:rPr>
        <w:t>依据充分，符合客观实际，能反映和考核项目绩效目标与项目实施的相符情况，依据绩效目标设定的绩效指标清晰、细化、可衡量，能反映和考核项目绩效目标的明细化情况。绩效目标表经过审核，绩效目标与实际工作内容具有相关性，预算与确定的项目投资额相匹配，对项目任务进行了详细分解。项目预期产出效益及效果符合正常的业绩水平。</w:t>
      </w:r>
    </w:p>
    <w:p w14:paraId="7555B206">
      <w:pPr>
        <w:shd w:val="clear"/>
        <w:spacing w:line="600" w:lineRule="exact"/>
        <w:ind w:firstLine="640" w:firstLineChars="200"/>
        <w:outlineLvl w:val="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（2）绩效指标明确性</w:t>
      </w:r>
    </w:p>
    <w:p w14:paraId="133A9AD1">
      <w:pPr>
        <w:shd w:val="clear"/>
        <w:spacing w:line="600" w:lineRule="exact"/>
        <w:ind w:firstLine="640" w:firstLineChars="200"/>
        <w:outlineLvl w:val="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项目设置了明确的预期产出效益和效果，将绩效目标细化分解为具体的绩效指标，绩效目标与项目目标任务数相对应，绩效目标设定的绩效指标清晰、细化、可衡量。</w:t>
      </w:r>
    </w:p>
    <w:p w14:paraId="1B858415">
      <w:pPr>
        <w:pStyle w:val="21"/>
        <w:keepNext w:val="0"/>
        <w:keepLines w:val="0"/>
        <w:pageBreakBefore w:val="0"/>
        <w:widowControl w:val="0"/>
        <w:shd w:val="clear"/>
        <w:kinsoku/>
        <w:wordWrap/>
        <w:overflowPunct/>
        <w:topLinePunct w:val="0"/>
        <w:autoSpaceDE/>
        <w:autoSpaceDN/>
        <w:bidi w:val="0"/>
        <w:adjustRightInd/>
        <w:snapToGrid/>
        <w:spacing w:line="560" w:lineRule="exact"/>
        <w:ind w:left="0" w:leftChars="0" w:firstLine="640" w:firstLineChars="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3.资金投入</w:t>
      </w:r>
    </w:p>
    <w:p w14:paraId="4AE05A39">
      <w:pPr>
        <w:shd w:val="clear"/>
        <w:spacing w:line="600" w:lineRule="exact"/>
        <w:ind w:firstLine="640" w:firstLineChars="200"/>
        <w:outlineLvl w:val="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（1）预算编制科学性</w:t>
      </w:r>
    </w:p>
    <w:p w14:paraId="3291FFE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本项目的预算编制过程严谨、科学，充分体现了精细化管理的要求。预算编制之初，进行了全面的成本估算，确保项目所需的各项资源得到合理的预估与分配。同时，预算编制还紧密结合了项目的特点与实际情况，对不同阶段、不同任务的资金需求进行了详细的分析与计算。</w:t>
      </w:r>
    </w:p>
    <w:p w14:paraId="2B23E60A">
      <w:pPr>
        <w:shd w:val="clear"/>
        <w:spacing w:line="600" w:lineRule="exact"/>
        <w:ind w:firstLine="640" w:firstLineChars="200"/>
        <w:outlineLvl w:val="0"/>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在预算编制过程中，</w:t>
      </w:r>
      <w:r>
        <w:rPr>
          <w:rFonts w:hint="default" w:ascii="Times New Roman" w:hAnsi="Times New Roman" w:eastAsia="仿宋_GB2312" w:cs="Times New Roman"/>
          <w:sz w:val="32"/>
          <w:szCs w:val="32"/>
          <w:highlight w:val="none"/>
          <w:lang w:val="en-US" w:eastAsia="zh-CN"/>
        </w:rPr>
        <w:t>还</w:t>
      </w:r>
      <w:r>
        <w:rPr>
          <w:rFonts w:hint="default" w:ascii="Times New Roman" w:hAnsi="Times New Roman" w:eastAsia="仿宋_GB2312" w:cs="Times New Roman"/>
          <w:sz w:val="32"/>
          <w:szCs w:val="32"/>
          <w:highlight w:val="none"/>
          <w:lang w:eastAsia="zh-CN"/>
        </w:rPr>
        <w:t>注重了成本控制与效益最大化的原则。通过优化资源配置、提高资金使用效率等措施，确保项目在有限的预算内取得最大的经济效益与社会效益。此外，预算编制还充分考虑了风险因素，对可能出现的超支情况进行了预留与规划，以应对项目实施过程中的不确定性。</w:t>
      </w:r>
    </w:p>
    <w:p w14:paraId="6303265E">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（2）资金分配合理性</w:t>
      </w:r>
    </w:p>
    <w:p w14:paraId="287DDF5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本项目的资金分配遵循了公平、公正、透明的原则，确保了项目资源的合理配置与高效利用。在资金分配过程中，我们充分考虑了项目的实际需求与目标，对不同阶段、不同任务的资金进行了科学的规划与安排。</w:t>
      </w:r>
    </w:p>
    <w:p w14:paraId="55790CF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具体而言，资金分配紧密结合了项目的特点与实际情况，对关键领域与重要环节给予了重点支持。同时，我们也注重了资金的均衡分配，避免了资源浪费与资金闲置。此外，资金分配还充分考虑了风险因素，对可能出现的超支情况进行了预留与调整。</w:t>
      </w:r>
    </w:p>
    <w:p w14:paraId="60DD00B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综上所述，本项目的资金分配是合理的、科学的，既符合项目的实际情况，又满足了资金使用的效益最大化要求。资金分配的合理性为项目的成功实施提供了有力的保障，也为项目的绩效评价奠定了坚实的基础。</w:t>
      </w:r>
    </w:p>
    <w:p w14:paraId="6EF86105">
      <w:pPr>
        <w:pStyle w:val="11"/>
        <w:numPr>
          <w:ilvl w:val="0"/>
          <w:numId w:val="6"/>
        </w:numPr>
        <w:spacing w:before="0" w:after="0" w:line="560" w:lineRule="exact"/>
        <w:ind w:left="-13" w:leftChars="0" w:firstLine="643" w:firstLineChars="0"/>
        <w:jc w:val="both"/>
        <w:rPr>
          <w:rFonts w:hint="default" w:ascii="Times New Roman" w:hAnsi="Times New Roman" w:eastAsia="楷体" w:cs="Times New Roman"/>
        </w:rPr>
      </w:pPr>
      <w:r>
        <w:rPr>
          <w:rFonts w:hint="default" w:ascii="Times New Roman" w:hAnsi="Times New Roman" w:eastAsia="楷体" w:cs="Times New Roman"/>
        </w:rPr>
        <w:t>项目过程情况</w:t>
      </w:r>
    </w:p>
    <w:p w14:paraId="185AB55B">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lang w:val="en-US" w:eastAsia="zh-CN"/>
        </w:rPr>
        <w:t>项目过程类指标包括资金管理和组织实施两方面的内容，由</w:t>
      </w:r>
      <w:r>
        <w:rPr>
          <w:rFonts w:hint="default" w:ascii="Times New Roman" w:hAnsi="Times New Roman" w:eastAsia="仿宋_GB2312" w:cs="Times New Roman"/>
          <w:sz w:val="32"/>
          <w:szCs w:val="32"/>
          <w:highlight w:val="none"/>
          <w:lang w:val="en-US" w:eastAsia="zh-CN"/>
        </w:rPr>
        <w:t>5个</w:t>
      </w:r>
      <w:r>
        <w:rPr>
          <w:rFonts w:hint="default" w:ascii="Times New Roman" w:hAnsi="Times New Roman" w:eastAsia="仿宋_GB2312" w:cs="Times New Roman"/>
          <w:sz w:val="32"/>
          <w:szCs w:val="32"/>
          <w:lang w:val="en-US" w:eastAsia="zh-CN"/>
        </w:rPr>
        <w:t>三级指标构成，权重分值为20分，</w:t>
      </w:r>
      <w:r>
        <w:rPr>
          <w:rFonts w:hint="default" w:ascii="Times New Roman" w:hAnsi="Times New Roman" w:eastAsia="仿宋_GB2312" w:cs="Times New Roman"/>
          <w:sz w:val="32"/>
          <w:szCs w:val="32"/>
          <w:highlight w:val="none"/>
          <w:lang w:val="en-US" w:eastAsia="zh-CN"/>
        </w:rPr>
        <w:t>实际得分</w:t>
      </w:r>
      <w:r>
        <w:rPr>
          <w:rFonts w:hint="eastAsia" w:eastAsia="仿宋_GB2312" w:cs="Times New Roman"/>
          <w:sz w:val="32"/>
          <w:szCs w:val="32"/>
          <w:highlight w:val="none"/>
          <w:lang w:val="en-US" w:eastAsia="zh-CN"/>
        </w:rPr>
        <w:t>20</w:t>
      </w:r>
      <w:r>
        <w:rPr>
          <w:rFonts w:hint="default" w:ascii="Times New Roman" w:hAnsi="Times New Roman" w:eastAsia="仿宋_GB2312" w:cs="Times New Roman"/>
          <w:sz w:val="32"/>
          <w:szCs w:val="32"/>
          <w:highlight w:val="none"/>
          <w:lang w:val="en-US" w:eastAsia="zh-CN"/>
        </w:rPr>
        <w:t>分，得分率为</w:t>
      </w:r>
      <w:r>
        <w:rPr>
          <w:rFonts w:hint="eastAsia"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lang w:val="en-US" w:eastAsia="zh-CN"/>
        </w:rPr>
        <w:t>%。</w:t>
      </w:r>
    </w:p>
    <w:p w14:paraId="4930392A">
      <w:pPr>
        <w:pStyle w:val="21"/>
        <w:keepNext w:val="0"/>
        <w:keepLines w:val="0"/>
        <w:pageBreakBefore w:val="0"/>
        <w:widowControl w:val="0"/>
        <w:shd w:val="clear"/>
        <w:kinsoku/>
        <w:wordWrap/>
        <w:overflowPunct/>
        <w:topLinePunct w:val="0"/>
        <w:autoSpaceDE/>
        <w:autoSpaceDN/>
        <w:bidi w:val="0"/>
        <w:adjustRightInd/>
        <w:snapToGrid/>
        <w:spacing w:line="560" w:lineRule="exact"/>
        <w:ind w:left="0" w:leftChars="0" w:firstLine="640" w:firstLineChars="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1.资金管理</w:t>
      </w:r>
    </w:p>
    <w:p w14:paraId="373D599E">
      <w:pPr>
        <w:shd w:val="clear"/>
        <w:spacing w:line="600" w:lineRule="exact"/>
        <w:ind w:firstLine="640" w:firstLineChars="200"/>
        <w:outlineLvl w:val="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（1）资金到位率</w:t>
      </w:r>
    </w:p>
    <w:p w14:paraId="13A7CD03">
      <w:pPr>
        <w:shd w:val="clear"/>
        <w:spacing w:line="600" w:lineRule="exact"/>
        <w:ind w:firstLine="640" w:firstLineChars="200"/>
        <w:outlineLvl w:val="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本项目</w:t>
      </w:r>
      <w:r>
        <w:rPr>
          <w:rFonts w:hint="default" w:ascii="Times New Roman" w:hAnsi="Times New Roman" w:eastAsia="仿宋_GB2312" w:cs="Times New Roman"/>
          <w:sz w:val="32"/>
          <w:szCs w:val="32"/>
          <w:highlight w:val="none"/>
          <w:lang w:val="en-US" w:eastAsia="zh-CN"/>
        </w:rPr>
        <w:t>总投资</w:t>
      </w:r>
      <w:r>
        <w:rPr>
          <w:rFonts w:hint="eastAsia" w:eastAsia="仿宋_GB2312" w:cs="Times New Roman"/>
          <w:sz w:val="32"/>
          <w:szCs w:val="32"/>
          <w:highlight w:val="none"/>
          <w:lang w:val="en-US" w:eastAsia="zh-CN"/>
        </w:rPr>
        <w:t>80.6</w:t>
      </w:r>
      <w:r>
        <w:rPr>
          <w:rFonts w:hint="default" w:ascii="Times New Roman" w:hAnsi="Times New Roman" w:eastAsia="仿宋_GB2312" w:cs="Times New Roman"/>
          <w:sz w:val="32"/>
          <w:szCs w:val="32"/>
          <w:highlight w:val="none"/>
          <w:lang w:val="en-US" w:eastAsia="zh-CN"/>
        </w:rPr>
        <w:t>万元，财政资金及时足额到位，到位率</w:t>
      </w:r>
      <w:r>
        <w:rPr>
          <w:rFonts w:hint="eastAsia"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lang w:val="en-US" w:eastAsia="zh-CN"/>
        </w:rPr>
        <w:t>%，预</w:t>
      </w:r>
      <w:r>
        <w:rPr>
          <w:rFonts w:hint="default" w:ascii="Times New Roman" w:hAnsi="Times New Roman" w:eastAsia="仿宋_GB2312" w:cs="Times New Roman"/>
          <w:sz w:val="32"/>
          <w:szCs w:val="32"/>
          <w:lang w:val="en-US" w:eastAsia="zh-CN"/>
        </w:rPr>
        <w:t>算资金按计划进度执行。</w:t>
      </w:r>
    </w:p>
    <w:p w14:paraId="4D1ABBD9">
      <w:pPr>
        <w:shd w:val="clear"/>
        <w:spacing w:line="600" w:lineRule="exact"/>
        <w:ind w:firstLine="640" w:firstLineChars="200"/>
        <w:outlineLvl w:val="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（2）预算执行率</w:t>
      </w:r>
    </w:p>
    <w:p w14:paraId="641FFAAE">
      <w:pPr>
        <w:shd w:val="clear"/>
        <w:spacing w:line="600" w:lineRule="exact"/>
        <w:ind w:firstLine="640" w:firstLineChars="200"/>
        <w:outlineLvl w:val="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预算编制较为详细，项目资金支出总体能够按照预算执行，预算资金支出</w:t>
      </w:r>
      <w:r>
        <w:rPr>
          <w:rFonts w:hint="eastAsia" w:eastAsia="仿宋_GB2312" w:cs="Times New Roman"/>
          <w:sz w:val="32"/>
          <w:szCs w:val="32"/>
          <w:lang w:val="en-US" w:eastAsia="zh-CN"/>
        </w:rPr>
        <w:t>80.6</w:t>
      </w:r>
      <w:r>
        <w:rPr>
          <w:rFonts w:hint="default" w:ascii="Times New Roman" w:hAnsi="Times New Roman" w:eastAsia="仿宋_GB2312" w:cs="Times New Roman"/>
          <w:sz w:val="32"/>
          <w:szCs w:val="32"/>
          <w:lang w:val="en-US" w:eastAsia="zh-CN"/>
        </w:rPr>
        <w:t>万元，预算执行率为</w:t>
      </w:r>
      <w:r>
        <w:rPr>
          <w:rFonts w:hint="eastAsia"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lang w:val="en-US" w:eastAsia="zh-CN"/>
        </w:rPr>
        <w:t>%。</w:t>
      </w:r>
    </w:p>
    <w:p w14:paraId="52500C75">
      <w:pPr>
        <w:shd w:val="clear"/>
        <w:spacing w:line="600" w:lineRule="exact"/>
        <w:ind w:firstLine="640" w:firstLineChars="200"/>
        <w:outlineLvl w:val="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（3）资金使用合规性</w:t>
      </w:r>
    </w:p>
    <w:p w14:paraId="15C12E5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本项目的资金使用严格遵循了国家相关法律法规与财务制度，确保了资金的合规性与安全性。在资金使用过程中，我们建立了完善的财务管理体系，对资金的流动进行了全程监控与记录。</w:t>
      </w:r>
    </w:p>
    <w:p w14:paraId="7B84DDE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具体而言，资金使用坚持了专款专用的原则，确保了项目资金不被挪用或截留。同时，我们还加强了对资金使用的审计与监督，定期对财务收支进行自查与自纠，及时发现并纠正可能存在的问题。此外，资金使用还充分考虑了成本效益原则，通过优化资源配置、提高资金使用效率等措施，确保了项目资金的最大化利用。</w:t>
      </w:r>
    </w:p>
    <w:p w14:paraId="6F7B06B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综上所述，本项目的资金使用是合规的、安全的，既符合国家相关法律法规与财务制度的要求，又满足了项目实施的实际需要。资金使用的合规性为项目的成功实施提供了有力的保障，也为项目的绩效评价奠定了坚实的基础。</w:t>
      </w:r>
    </w:p>
    <w:p w14:paraId="6BDA849B">
      <w:pPr>
        <w:pStyle w:val="21"/>
        <w:keepNext w:val="0"/>
        <w:keepLines w:val="0"/>
        <w:pageBreakBefore w:val="0"/>
        <w:widowControl w:val="0"/>
        <w:shd w:val="clear"/>
        <w:kinsoku/>
        <w:wordWrap/>
        <w:overflowPunct/>
        <w:topLinePunct w:val="0"/>
        <w:autoSpaceDE/>
        <w:autoSpaceDN/>
        <w:bidi w:val="0"/>
        <w:adjustRightInd/>
        <w:snapToGrid/>
        <w:spacing w:line="560" w:lineRule="exact"/>
        <w:ind w:left="0" w:leftChars="0" w:firstLine="640" w:firstLineChars="0"/>
        <w:textAlignment w:val="auto"/>
        <w:rPr>
          <w:rFonts w:hint="default" w:ascii="Times New Roman" w:hAnsi="Times New Roman" w:eastAsia="仿宋_GB2312" w:cs="Times New Roman"/>
          <w:b/>
          <w:bCs/>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2.组织实施</w:t>
      </w:r>
    </w:p>
    <w:p w14:paraId="09D53B60">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（1）管理制度健全性</w:t>
      </w:r>
    </w:p>
    <w:p w14:paraId="346BD9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本项目拥有一套完善、健全的管理制度体系，为项目的成功实施提供了坚实的制度保障。项目管理制度的制定紧密结合了项目的特点与实际情况，涵盖了项目的策划、组织、实施、监控与收尾等各个环节。</w:t>
      </w:r>
    </w:p>
    <w:p w14:paraId="0FAB95B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在制度设计上，我们注重了制度的科学性与可操作性，确保制度能够切实指导项目的执行与管理。</w:t>
      </w:r>
    </w:p>
    <w:p w14:paraId="1D5C12A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此外，项目管理制度还充分考虑了风险因素，制定了相应的风险应对措施与预案，以应对项目实施过程中可能出现的各种风险与挑战。管理制度的健全性不仅体现在制度的完善上，还体现在制度的执行与监督上。我们建立了有效的监督机制与反馈机制，对项目的实施情况进行定期检查与评估，及时发现并纠正可能存在的问题。</w:t>
      </w:r>
    </w:p>
    <w:p w14:paraId="563C078F">
      <w:pPr>
        <w:shd w:val="clear"/>
        <w:spacing w:line="600" w:lineRule="exact"/>
        <w:ind w:firstLine="640" w:firstLineChars="200"/>
        <w:outlineLvl w:val="0"/>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综上所述，本项目的管理制度是健全的、有效的，既符合项目的实际情况，又满足了项目管理的需要。管理制度的健全性为项目的成功实施提供了有力的保障，也为项目的绩效评价奠定了坚实的基础。</w:t>
      </w:r>
    </w:p>
    <w:p w14:paraId="7880CEAE">
      <w:pPr>
        <w:shd w:val="clear"/>
        <w:spacing w:line="600" w:lineRule="exact"/>
        <w:ind w:firstLine="640" w:firstLineChars="200"/>
        <w:outlineLvl w:val="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（2）制度执行有效性</w:t>
      </w:r>
    </w:p>
    <w:p w14:paraId="257318D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本项目在执行过程中，管理制度得到了全面、有效的落实，为确保项目的顺利实施与目标实现提供了坚实的保障。项目</w:t>
      </w:r>
      <w:r>
        <w:rPr>
          <w:rFonts w:hint="default" w:ascii="Times New Roman" w:hAnsi="Times New Roman" w:eastAsia="仿宋_GB2312" w:cs="Times New Roman"/>
          <w:sz w:val="32"/>
          <w:szCs w:val="32"/>
          <w:lang w:val="en-US" w:eastAsia="zh-CN"/>
        </w:rPr>
        <w:t>单位</w:t>
      </w:r>
      <w:r>
        <w:rPr>
          <w:rFonts w:hint="default" w:ascii="Times New Roman" w:hAnsi="Times New Roman" w:eastAsia="仿宋_GB2312" w:cs="Times New Roman"/>
          <w:sz w:val="32"/>
          <w:szCs w:val="32"/>
          <w:lang w:eastAsia="zh-CN"/>
        </w:rPr>
        <w:t>重视制度执行的重要性，通过明确责任分工、制定详细执行计划、加强监督考核等措施，确保了各项管理制度能够得到有效执行。</w:t>
      </w:r>
    </w:p>
    <w:p w14:paraId="1E82C5C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在具体执行过程中，项目团队成员严格按照制度要求进行操作。同时，我们还建立了有效的沟通机制与反馈机制，确保项目信息的及时传递与问题的及时解决，进一步提高了制度执行的效率与效果。</w:t>
      </w:r>
    </w:p>
    <w:p w14:paraId="2AF6A51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综上所述，本项目的管理制度在执行过程中表现出了高度的有效性，既确保了项目的顺利进行，又实现了项目目标的有效达成。</w:t>
      </w:r>
    </w:p>
    <w:p w14:paraId="443F8085">
      <w:pPr>
        <w:pStyle w:val="13"/>
        <w:numPr>
          <w:ilvl w:val="0"/>
          <w:numId w:val="6"/>
        </w:numPr>
        <w:spacing w:line="560" w:lineRule="exact"/>
        <w:ind w:left="-13" w:leftChars="0" w:firstLine="643" w:firstLineChars="0"/>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项目产出</w:t>
      </w:r>
      <w:r>
        <w:rPr>
          <w:rFonts w:hint="default" w:ascii="Times New Roman" w:hAnsi="Times New Roman" w:eastAsia="楷体_GB2312" w:cs="Times New Roman"/>
          <w:b/>
          <w:bCs/>
          <w:sz w:val="32"/>
          <w:szCs w:val="32"/>
          <w:lang w:val="en-US" w:eastAsia="zh-CN"/>
        </w:rPr>
        <w:t>情况</w:t>
      </w:r>
    </w:p>
    <w:p w14:paraId="6305F554">
      <w:pPr>
        <w:shd w:val="clear"/>
        <w:spacing w:line="600" w:lineRule="exact"/>
        <w:ind w:firstLine="640" w:firstLineChars="200"/>
        <w:outlineLvl w:val="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项目产出类指标包括产出数量、产出质量、产出时效、产出成本四方面的内容，由</w:t>
      </w:r>
      <w:r>
        <w:rPr>
          <w:rFonts w:hint="eastAsia"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个三级指标构成，权重分为40分，实际得分</w:t>
      </w:r>
      <w:r>
        <w:rPr>
          <w:rFonts w:hint="eastAsia" w:ascii="Times New Roman" w:hAnsi="Times New Roman" w:eastAsia="仿宋_GB2312" w:cs="Times New Roman"/>
          <w:sz w:val="32"/>
          <w:szCs w:val="32"/>
          <w:lang w:val="en-US" w:eastAsia="zh-CN"/>
        </w:rPr>
        <w:t>40</w:t>
      </w:r>
      <w:r>
        <w:rPr>
          <w:rFonts w:hint="default" w:ascii="Times New Roman" w:hAnsi="Times New Roman" w:eastAsia="仿宋_GB2312" w:cs="Times New Roman"/>
          <w:sz w:val="32"/>
          <w:szCs w:val="32"/>
          <w:lang w:val="en-US" w:eastAsia="zh-CN"/>
        </w:rPr>
        <w:t>分，得分率为</w:t>
      </w:r>
      <w:r>
        <w:rPr>
          <w:rFonts w:hint="eastAsia"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lang w:val="en-US" w:eastAsia="zh-CN"/>
        </w:rPr>
        <w:t>%。具体产出指标完成情况如下：</w:t>
      </w:r>
    </w:p>
    <w:p w14:paraId="4DF2E808">
      <w:pPr>
        <w:shd w:val="clear"/>
        <w:spacing w:line="600" w:lineRule="exact"/>
        <w:ind w:firstLine="640" w:firstLineChars="200"/>
        <w:outlineLvl w:val="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fldChar w:fldCharType="begin"/>
      </w:r>
      <w:r>
        <w:rPr>
          <w:rFonts w:hint="default" w:ascii="Times New Roman" w:hAnsi="Times New Roman" w:eastAsia="仿宋_GB2312" w:cs="Times New Roman"/>
          <w:sz w:val="32"/>
          <w:szCs w:val="32"/>
          <w:lang w:val="en-US" w:eastAsia="zh-CN"/>
        </w:rPr>
        <w:instrText xml:space="preserve"> = 1 \* GB3 </w:instrText>
      </w:r>
      <w:r>
        <w:rPr>
          <w:rFonts w:hint="default" w:ascii="Times New Roman" w:hAnsi="Times New Roman" w:eastAsia="仿宋_GB2312" w:cs="Times New Roman"/>
          <w:sz w:val="32"/>
          <w:szCs w:val="32"/>
          <w:lang w:val="en-US" w:eastAsia="zh-CN"/>
        </w:rPr>
        <w:fldChar w:fldCharType="separate"/>
      </w:r>
      <w:r>
        <w:rPr>
          <w:rFonts w:hint="default" w:ascii="Times New Roman" w:hAnsi="Times New Roman" w:eastAsia="仿宋_GB2312" w:cs="Times New Roman"/>
          <w:sz w:val="32"/>
          <w:szCs w:val="32"/>
          <w:lang w:val="en-US" w:eastAsia="zh-CN"/>
        </w:rPr>
        <w:t>①</w:t>
      </w:r>
      <w:r>
        <w:rPr>
          <w:rFonts w:hint="default" w:ascii="Times New Roman" w:hAnsi="Times New Roman" w:eastAsia="仿宋_GB2312" w:cs="Times New Roman"/>
          <w:sz w:val="32"/>
          <w:szCs w:val="32"/>
          <w:lang w:val="en-US" w:eastAsia="zh-CN"/>
        </w:rPr>
        <w:fldChar w:fldCharType="end"/>
      </w:r>
      <w:r>
        <w:rPr>
          <w:rFonts w:hint="default" w:ascii="Times New Roman" w:hAnsi="Times New Roman" w:eastAsia="仿宋_GB2312" w:cs="Times New Roman"/>
          <w:sz w:val="32"/>
          <w:szCs w:val="32"/>
          <w:lang w:val="en-US" w:eastAsia="zh-CN"/>
        </w:rPr>
        <w:t>数量指标：</w:t>
      </w:r>
    </w:p>
    <w:p w14:paraId="4CF028BA">
      <w:pPr>
        <w:shd w:val="clear"/>
        <w:spacing w:line="600" w:lineRule="exact"/>
        <w:ind w:firstLine="640" w:firstLineChars="200"/>
        <w:outlineLvl w:val="0"/>
        <w:rPr>
          <w:rFonts w:hint="default" w:eastAsia="仿宋_GB2312" w:cs="Times New Roman"/>
          <w:sz w:val="32"/>
          <w:szCs w:val="32"/>
          <w:highlight w:val="none"/>
          <w:lang w:val="en-US" w:eastAsia="zh-CN"/>
        </w:rPr>
      </w:pPr>
      <w:r>
        <w:rPr>
          <w:rFonts w:hint="default" w:ascii="Times New Roman" w:hAnsi="Times New Roman" w:eastAsia="仿宋_GB2312" w:cs="Times New Roman"/>
          <w:sz w:val="32"/>
          <w:szCs w:val="32"/>
          <w:lang w:val="en-US" w:eastAsia="zh-CN"/>
        </w:rPr>
        <w:t>指标1：开展九家湾、雅山中路片区区域控制性详细规划编制完成数，指标值</w:t>
      </w:r>
      <w:r>
        <w:rPr>
          <w:rFonts w:hint="default" w:ascii="Times New Roman" w:hAnsi="Times New Roman" w:eastAsia="仿宋_GB2312" w:cs="Times New Roman"/>
          <w:sz w:val="32"/>
          <w:szCs w:val="32"/>
          <w:highlight w:val="none"/>
        </w:rPr>
        <w:t>：</w:t>
      </w:r>
      <w:r>
        <w:rPr>
          <w:rFonts w:hint="eastAsia" w:eastAsia="仿宋_GB2312" w:cs="Times New Roman"/>
          <w:sz w:val="32"/>
          <w:szCs w:val="32"/>
          <w:highlight w:val="none"/>
          <w:lang w:val="en-US" w:eastAsia="zh-CN"/>
        </w:rPr>
        <w:t>1次</w:t>
      </w:r>
      <w:r>
        <w:rPr>
          <w:rFonts w:hint="default" w:ascii="Times New Roman" w:hAnsi="Times New Roman" w:eastAsia="仿宋_GB2312" w:cs="Times New Roman"/>
          <w:sz w:val="32"/>
          <w:szCs w:val="32"/>
          <w:highlight w:val="none"/>
        </w:rPr>
        <w:t>，实际完成值：</w:t>
      </w:r>
      <w:r>
        <w:rPr>
          <w:rFonts w:hint="eastAsia" w:eastAsia="仿宋_GB2312" w:cs="Times New Roman"/>
          <w:sz w:val="32"/>
          <w:szCs w:val="32"/>
          <w:highlight w:val="none"/>
          <w:lang w:val="en-US" w:eastAsia="zh-CN"/>
        </w:rPr>
        <w:t>1次</w:t>
      </w:r>
      <w:r>
        <w:rPr>
          <w:rFonts w:hint="default" w:ascii="Times New Roman" w:hAnsi="Times New Roman" w:eastAsia="仿宋_GB2312" w:cs="Times New Roman"/>
          <w:sz w:val="32"/>
          <w:szCs w:val="32"/>
          <w:highlight w:val="none"/>
        </w:rPr>
        <w:t>，指标完成率</w:t>
      </w:r>
      <w:r>
        <w:rPr>
          <w:rFonts w:hint="eastAsia"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rPr>
        <w:t>%</w:t>
      </w:r>
      <w:r>
        <w:rPr>
          <w:rFonts w:hint="eastAsia" w:eastAsia="仿宋_GB2312" w:cs="Times New Roman"/>
          <w:sz w:val="32"/>
          <w:szCs w:val="32"/>
          <w:highlight w:val="none"/>
          <w:lang w:eastAsia="zh-CN"/>
        </w:rPr>
        <w:t>。</w:t>
      </w:r>
      <w:r>
        <w:rPr>
          <w:rFonts w:hint="eastAsia" w:eastAsia="仿宋_GB2312" w:cs="Times New Roman"/>
          <w:sz w:val="32"/>
          <w:szCs w:val="32"/>
          <w:highlight w:val="none"/>
          <w:lang w:val="en-US" w:eastAsia="zh-CN"/>
        </w:rPr>
        <w:t>偏差原因及改进措施：该条指标完成较好暂无偏差。根据我单位实际工作情况确定需编制</w:t>
      </w:r>
      <w:r>
        <w:rPr>
          <w:rFonts w:hint="default" w:ascii="Times New Roman" w:hAnsi="Times New Roman" w:eastAsia="仿宋_GB2312" w:cs="Times New Roman"/>
          <w:sz w:val="32"/>
          <w:szCs w:val="32"/>
          <w:lang w:val="en-US" w:eastAsia="zh-CN"/>
        </w:rPr>
        <w:t>九家湾、雅山中路片区区域控制性详细规划</w:t>
      </w:r>
      <w:r>
        <w:rPr>
          <w:rFonts w:hint="eastAsia" w:eastAsia="仿宋_GB2312" w:cs="Times New Roman"/>
          <w:sz w:val="32"/>
          <w:szCs w:val="32"/>
          <w:lang w:val="en-US" w:eastAsia="zh-CN"/>
        </w:rPr>
        <w:t>。</w:t>
      </w:r>
    </w:p>
    <w:p w14:paraId="1041B568">
      <w:pPr>
        <w:shd w:val="clear"/>
        <w:spacing w:line="600" w:lineRule="exact"/>
        <w:ind w:firstLine="640" w:firstLineChars="200"/>
        <w:outlineLvl w:val="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highlight w:val="none"/>
        </w:rPr>
        <w:fldChar w:fldCharType="begin"/>
      </w:r>
      <w:r>
        <w:rPr>
          <w:rFonts w:hint="default" w:ascii="Times New Roman" w:hAnsi="Times New Roman" w:eastAsia="仿宋_GB2312" w:cs="Times New Roman"/>
          <w:sz w:val="32"/>
          <w:szCs w:val="32"/>
          <w:highlight w:val="none"/>
        </w:rPr>
        <w:instrText xml:space="preserve"> = 2 \* GB3 </w:instrText>
      </w:r>
      <w:r>
        <w:rPr>
          <w:rFonts w:hint="default" w:ascii="Times New Roman" w:hAnsi="Times New Roman" w:eastAsia="仿宋_GB2312" w:cs="Times New Roman"/>
          <w:sz w:val="32"/>
          <w:szCs w:val="32"/>
          <w:highlight w:val="none"/>
        </w:rPr>
        <w:fldChar w:fldCharType="separate"/>
      </w:r>
      <w:r>
        <w:rPr>
          <w:rFonts w:hint="default" w:ascii="Times New Roman" w:hAnsi="Times New Roman" w:eastAsia="仿宋_GB2312" w:cs="Times New Roman"/>
          <w:sz w:val="32"/>
          <w:szCs w:val="32"/>
          <w:highlight w:val="none"/>
        </w:rPr>
        <w:t>②</w:t>
      </w:r>
      <w:r>
        <w:rPr>
          <w:rFonts w:hint="default" w:ascii="Times New Roman" w:hAnsi="Times New Roman" w:eastAsia="仿宋_GB2312" w:cs="Times New Roman"/>
          <w:sz w:val="32"/>
          <w:szCs w:val="32"/>
          <w:highlight w:val="none"/>
        </w:rPr>
        <w:fldChar w:fldCharType="end"/>
      </w:r>
      <w:r>
        <w:rPr>
          <w:rFonts w:hint="default" w:ascii="Times New Roman" w:hAnsi="Times New Roman" w:eastAsia="仿宋_GB2312" w:cs="Times New Roman"/>
          <w:sz w:val="32"/>
          <w:szCs w:val="32"/>
          <w:highlight w:val="none"/>
        </w:rPr>
        <w:t>质</w:t>
      </w:r>
      <w:r>
        <w:rPr>
          <w:rFonts w:hint="default" w:ascii="Times New Roman" w:hAnsi="Times New Roman" w:eastAsia="仿宋_GB2312" w:cs="Times New Roman"/>
          <w:sz w:val="32"/>
          <w:szCs w:val="32"/>
          <w:lang w:val="en-US" w:eastAsia="zh-CN"/>
        </w:rPr>
        <w:t>量指标：</w:t>
      </w:r>
    </w:p>
    <w:p w14:paraId="5D355665">
      <w:pPr>
        <w:shd w:val="clear"/>
        <w:spacing w:line="600" w:lineRule="exact"/>
        <w:ind w:firstLine="640" w:firstLineChars="200"/>
        <w:outlineLvl w:val="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指标1：项目资金执行率，指标值：</w:t>
      </w:r>
      <w:r>
        <w:rPr>
          <w:rFonts w:hint="eastAsia" w:ascii="Times New Roman" w:hAnsi="Times New Roman" w:eastAsia="仿宋_GB2312" w:cs="Times New Roman"/>
          <w:sz w:val="32"/>
          <w:szCs w:val="32"/>
          <w:lang w:val="en-US" w:eastAsia="zh-CN"/>
        </w:rPr>
        <w:t>10</w:t>
      </w:r>
      <w:r>
        <w:rPr>
          <w:rFonts w:hint="eastAsia" w:eastAsia="仿宋_GB2312" w:cs="Times New Roman"/>
          <w:sz w:val="32"/>
          <w:szCs w:val="32"/>
          <w:lang w:val="en-US" w:eastAsia="zh-CN"/>
        </w:rPr>
        <w:t>0%</w:t>
      </w:r>
      <w:r>
        <w:rPr>
          <w:rFonts w:hint="default" w:ascii="Times New Roman" w:hAnsi="Times New Roman" w:eastAsia="仿宋_GB2312" w:cs="Times New Roman"/>
          <w:sz w:val="32"/>
          <w:szCs w:val="32"/>
          <w:lang w:val="en-US" w:eastAsia="zh-CN"/>
        </w:rPr>
        <w:t>，实际完成值：</w:t>
      </w:r>
      <w:r>
        <w:rPr>
          <w:rFonts w:hint="eastAsia" w:ascii="Times New Roman" w:hAnsi="Times New Roman" w:eastAsia="仿宋_GB2312" w:cs="Times New Roman"/>
          <w:sz w:val="32"/>
          <w:szCs w:val="32"/>
          <w:lang w:val="en-US" w:eastAsia="zh-CN"/>
        </w:rPr>
        <w:t>10</w:t>
      </w:r>
      <w:r>
        <w:rPr>
          <w:rFonts w:hint="eastAsia" w:eastAsia="仿宋_GB2312" w:cs="Times New Roman"/>
          <w:sz w:val="32"/>
          <w:szCs w:val="32"/>
          <w:lang w:val="en-US" w:eastAsia="zh-CN"/>
        </w:rPr>
        <w:t>0%</w:t>
      </w:r>
      <w:r>
        <w:rPr>
          <w:rFonts w:hint="default" w:ascii="Times New Roman" w:hAnsi="Times New Roman" w:eastAsia="仿宋_GB2312" w:cs="Times New Roman"/>
          <w:sz w:val="32"/>
          <w:szCs w:val="32"/>
          <w:lang w:val="en-US" w:eastAsia="zh-CN"/>
        </w:rPr>
        <w:t>，指标完成率</w:t>
      </w:r>
      <w:r>
        <w:rPr>
          <w:rFonts w:hint="eastAsia"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w:t>
      </w:r>
      <w:r>
        <w:rPr>
          <w:rFonts w:hint="eastAsia" w:eastAsia="仿宋_GB2312" w:cs="Times New Roman"/>
          <w:sz w:val="32"/>
          <w:szCs w:val="32"/>
          <w:highlight w:val="none"/>
          <w:lang w:val="en-US" w:eastAsia="zh-CN"/>
        </w:rPr>
        <w:t>偏差原因及改进措施：该条指标完成较好暂无偏差。我单位已将资金支付给乌鲁木齐市城市勘察测绘院（乌鲁木齐市基础地理信息中心），项目资金执行率为100%</w:t>
      </w:r>
    </w:p>
    <w:p w14:paraId="1686E855">
      <w:pPr>
        <w:shd w:val="clear"/>
        <w:spacing w:line="600" w:lineRule="exact"/>
        <w:ind w:firstLine="640" w:firstLineChars="200"/>
        <w:outlineLvl w:val="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指标</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：项目验收合格率，指标值：</w:t>
      </w:r>
      <w:r>
        <w:rPr>
          <w:rFonts w:hint="eastAsia" w:ascii="Times New Roman" w:hAnsi="Times New Roman" w:eastAsia="仿宋_GB2312" w:cs="Times New Roman"/>
          <w:sz w:val="32"/>
          <w:szCs w:val="32"/>
          <w:lang w:val="en-US" w:eastAsia="zh-CN"/>
        </w:rPr>
        <w:t>10</w:t>
      </w:r>
      <w:r>
        <w:rPr>
          <w:rFonts w:hint="eastAsia" w:eastAsia="仿宋_GB2312" w:cs="Times New Roman"/>
          <w:sz w:val="32"/>
          <w:szCs w:val="32"/>
          <w:lang w:val="en-US" w:eastAsia="zh-CN"/>
        </w:rPr>
        <w:t>0%</w:t>
      </w:r>
      <w:r>
        <w:rPr>
          <w:rFonts w:hint="default" w:ascii="Times New Roman" w:hAnsi="Times New Roman" w:eastAsia="仿宋_GB2312" w:cs="Times New Roman"/>
          <w:sz w:val="32"/>
          <w:szCs w:val="32"/>
          <w:lang w:val="en-US" w:eastAsia="zh-CN"/>
        </w:rPr>
        <w:t>，实际完成值：</w:t>
      </w:r>
      <w:r>
        <w:rPr>
          <w:rFonts w:hint="eastAsia" w:ascii="Times New Roman" w:hAnsi="Times New Roman" w:eastAsia="仿宋_GB2312" w:cs="Times New Roman"/>
          <w:sz w:val="32"/>
          <w:szCs w:val="32"/>
          <w:lang w:val="en-US" w:eastAsia="zh-CN"/>
        </w:rPr>
        <w:t>10</w:t>
      </w:r>
      <w:r>
        <w:rPr>
          <w:rFonts w:hint="eastAsia" w:eastAsia="仿宋_GB2312" w:cs="Times New Roman"/>
          <w:sz w:val="32"/>
          <w:szCs w:val="32"/>
          <w:lang w:val="en-US" w:eastAsia="zh-CN"/>
        </w:rPr>
        <w:t>0%</w:t>
      </w:r>
      <w:r>
        <w:rPr>
          <w:rFonts w:hint="default" w:ascii="Times New Roman" w:hAnsi="Times New Roman" w:eastAsia="仿宋_GB2312" w:cs="Times New Roman"/>
          <w:sz w:val="32"/>
          <w:szCs w:val="32"/>
          <w:lang w:val="en-US" w:eastAsia="zh-CN"/>
        </w:rPr>
        <w:t>，指标完成率</w:t>
      </w:r>
      <w:r>
        <w:rPr>
          <w:rFonts w:hint="eastAsia"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w:t>
      </w:r>
      <w:r>
        <w:rPr>
          <w:rFonts w:hint="eastAsia" w:eastAsia="仿宋_GB2312" w:cs="Times New Roman"/>
          <w:sz w:val="32"/>
          <w:szCs w:val="32"/>
          <w:highlight w:val="none"/>
          <w:lang w:val="en-US" w:eastAsia="zh-CN"/>
        </w:rPr>
        <w:t>偏差原因及改进措施：该条指标完成较好暂无偏差。该项目已按照行业标准按时完工，项目验收合格率达到100%。</w:t>
      </w:r>
    </w:p>
    <w:p w14:paraId="66EA2C72">
      <w:pPr>
        <w:shd w:val="clear"/>
        <w:spacing w:line="600" w:lineRule="exact"/>
        <w:ind w:firstLine="640" w:firstLineChars="200"/>
        <w:outlineLvl w:val="0"/>
        <w:rPr>
          <w:rFonts w:hint="default" w:ascii="Times New Roman" w:hAnsi="Times New Roman" w:eastAsia="仿宋_GB2312" w:cs="Times New Roman"/>
          <w:sz w:val="32"/>
          <w:szCs w:val="32"/>
          <w:highlight w:val="none"/>
        </w:rPr>
      </w:pPr>
      <w:r>
        <w:rPr>
          <w:rFonts w:hint="eastAsia"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rPr>
        <w:fldChar w:fldCharType="begin"/>
      </w:r>
      <w:r>
        <w:rPr>
          <w:rFonts w:hint="default" w:ascii="Times New Roman" w:hAnsi="Times New Roman" w:eastAsia="仿宋_GB2312" w:cs="Times New Roman"/>
          <w:sz w:val="32"/>
          <w:szCs w:val="32"/>
          <w:highlight w:val="none"/>
        </w:rPr>
        <w:instrText xml:space="preserve"> = 3 \* GB3 </w:instrText>
      </w:r>
      <w:r>
        <w:rPr>
          <w:rFonts w:hint="default" w:ascii="Times New Roman" w:hAnsi="Times New Roman" w:eastAsia="仿宋_GB2312" w:cs="Times New Roman"/>
          <w:sz w:val="32"/>
          <w:szCs w:val="32"/>
          <w:highlight w:val="none"/>
        </w:rPr>
        <w:fldChar w:fldCharType="separate"/>
      </w:r>
      <w:r>
        <w:rPr>
          <w:rFonts w:hint="default" w:ascii="Times New Roman" w:hAnsi="Times New Roman" w:eastAsia="仿宋_GB2312" w:cs="Times New Roman"/>
          <w:sz w:val="32"/>
          <w:szCs w:val="32"/>
          <w:highlight w:val="none"/>
        </w:rPr>
        <w:t>③</w:t>
      </w:r>
      <w:r>
        <w:rPr>
          <w:rFonts w:hint="default" w:ascii="Times New Roman" w:hAnsi="Times New Roman" w:eastAsia="仿宋_GB2312" w:cs="Times New Roman"/>
          <w:sz w:val="32"/>
          <w:szCs w:val="32"/>
          <w:highlight w:val="none"/>
        </w:rPr>
        <w:fldChar w:fldCharType="end"/>
      </w:r>
      <w:r>
        <w:rPr>
          <w:rFonts w:hint="default" w:ascii="Times New Roman" w:hAnsi="Times New Roman" w:eastAsia="仿宋_GB2312" w:cs="Times New Roman"/>
          <w:sz w:val="32"/>
          <w:szCs w:val="32"/>
          <w:highlight w:val="none"/>
        </w:rPr>
        <w:t>时效指标：</w:t>
      </w:r>
    </w:p>
    <w:p w14:paraId="4D5A2892">
      <w:pPr>
        <w:shd w:val="clear"/>
        <w:spacing w:line="600" w:lineRule="exact"/>
        <w:ind w:firstLine="640" w:firstLineChars="200"/>
        <w:outlineLvl w:val="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指标1</w:t>
      </w:r>
      <w:r>
        <w:rPr>
          <w:rFonts w:hint="default"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rPr>
        <w:t>项目按计划完成率</w:t>
      </w:r>
      <w:r>
        <w:rPr>
          <w:rFonts w:hint="default"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lang w:val="en-US" w:eastAsia="zh-CN"/>
        </w:rPr>
        <w:t>指标值：</w:t>
      </w:r>
      <w:r>
        <w:rPr>
          <w:rFonts w:hint="eastAsia" w:ascii="Times New Roman" w:hAnsi="Times New Roman" w:eastAsia="仿宋_GB2312" w:cs="Times New Roman"/>
          <w:sz w:val="32"/>
          <w:szCs w:val="32"/>
          <w:lang w:val="en-US" w:eastAsia="zh-CN"/>
        </w:rPr>
        <w:t>10</w:t>
      </w:r>
      <w:r>
        <w:rPr>
          <w:rFonts w:hint="eastAsia" w:eastAsia="仿宋_GB2312" w:cs="Times New Roman"/>
          <w:sz w:val="32"/>
          <w:szCs w:val="32"/>
          <w:lang w:val="en-US" w:eastAsia="zh-CN"/>
        </w:rPr>
        <w:t>0%</w:t>
      </w:r>
      <w:r>
        <w:rPr>
          <w:rFonts w:hint="default" w:ascii="Times New Roman" w:hAnsi="Times New Roman" w:eastAsia="仿宋_GB2312" w:cs="Times New Roman"/>
          <w:sz w:val="32"/>
          <w:szCs w:val="32"/>
          <w:lang w:val="en-US" w:eastAsia="zh-CN"/>
        </w:rPr>
        <w:t>，实际完成值：</w:t>
      </w:r>
      <w:r>
        <w:rPr>
          <w:rFonts w:hint="eastAsia" w:ascii="Times New Roman" w:hAnsi="Times New Roman" w:eastAsia="仿宋_GB2312" w:cs="Times New Roman"/>
          <w:sz w:val="32"/>
          <w:szCs w:val="32"/>
          <w:lang w:val="en-US" w:eastAsia="zh-CN"/>
        </w:rPr>
        <w:t>10</w:t>
      </w:r>
      <w:r>
        <w:rPr>
          <w:rFonts w:hint="eastAsia" w:eastAsia="仿宋_GB2312" w:cs="Times New Roman"/>
          <w:sz w:val="32"/>
          <w:szCs w:val="32"/>
          <w:lang w:val="en-US" w:eastAsia="zh-CN"/>
        </w:rPr>
        <w:t>0%</w:t>
      </w:r>
      <w:r>
        <w:rPr>
          <w:rFonts w:hint="default" w:ascii="Times New Roman" w:hAnsi="Times New Roman" w:eastAsia="仿宋_GB2312" w:cs="Times New Roman"/>
          <w:sz w:val="32"/>
          <w:szCs w:val="32"/>
          <w:lang w:val="en-US" w:eastAsia="zh-CN"/>
        </w:rPr>
        <w:t>，指标完成率</w:t>
      </w:r>
      <w:r>
        <w:rPr>
          <w:rFonts w:hint="eastAsia"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w:t>
      </w:r>
      <w:r>
        <w:rPr>
          <w:rFonts w:hint="eastAsia" w:eastAsia="仿宋_GB2312" w:cs="Times New Roman"/>
          <w:sz w:val="32"/>
          <w:szCs w:val="32"/>
          <w:highlight w:val="none"/>
          <w:lang w:val="en-US" w:eastAsia="zh-CN"/>
        </w:rPr>
        <w:t>偏差原因及改进措施：该条指标完成较好暂无偏差。该项目与2024年10月已完成，项目按计划完成率为100%。</w:t>
      </w:r>
    </w:p>
    <w:p w14:paraId="66A84097">
      <w:pPr>
        <w:shd w:val="clear"/>
        <w:spacing w:line="600" w:lineRule="exact"/>
        <w:ind w:firstLine="640" w:firstLineChars="200"/>
        <w:outlineLvl w:val="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fldChar w:fldCharType="begin"/>
      </w:r>
      <w:r>
        <w:rPr>
          <w:rFonts w:hint="default" w:ascii="Times New Roman" w:hAnsi="Times New Roman" w:eastAsia="仿宋_GB2312" w:cs="Times New Roman"/>
          <w:sz w:val="32"/>
          <w:szCs w:val="32"/>
          <w:highlight w:val="none"/>
        </w:rPr>
        <w:instrText xml:space="preserve"> = 4 \* GB3 </w:instrText>
      </w:r>
      <w:r>
        <w:rPr>
          <w:rFonts w:hint="default" w:ascii="Times New Roman" w:hAnsi="Times New Roman" w:eastAsia="仿宋_GB2312" w:cs="Times New Roman"/>
          <w:sz w:val="32"/>
          <w:szCs w:val="32"/>
          <w:highlight w:val="none"/>
        </w:rPr>
        <w:fldChar w:fldCharType="separate"/>
      </w:r>
      <w:r>
        <w:rPr>
          <w:rFonts w:hint="default" w:ascii="Times New Roman" w:hAnsi="Times New Roman" w:eastAsia="仿宋_GB2312" w:cs="Times New Roman"/>
          <w:sz w:val="32"/>
          <w:szCs w:val="32"/>
          <w:highlight w:val="none"/>
        </w:rPr>
        <w:t>④</w:t>
      </w:r>
      <w:r>
        <w:rPr>
          <w:rFonts w:hint="default" w:ascii="Times New Roman" w:hAnsi="Times New Roman" w:eastAsia="仿宋_GB2312" w:cs="Times New Roman"/>
          <w:sz w:val="32"/>
          <w:szCs w:val="32"/>
          <w:highlight w:val="none"/>
        </w:rPr>
        <w:fldChar w:fldCharType="end"/>
      </w:r>
      <w:r>
        <w:rPr>
          <w:rFonts w:hint="default" w:ascii="Times New Roman" w:hAnsi="Times New Roman" w:eastAsia="仿宋_GB2312" w:cs="Times New Roman"/>
          <w:sz w:val="32"/>
          <w:szCs w:val="32"/>
          <w:highlight w:val="none"/>
        </w:rPr>
        <w:t>成本指标：</w:t>
      </w:r>
    </w:p>
    <w:p w14:paraId="62A12247">
      <w:pPr>
        <w:shd w:val="clear"/>
        <w:spacing w:line="600" w:lineRule="exact"/>
        <w:ind w:firstLine="640" w:firstLineChars="200"/>
        <w:outlineLvl w:val="0"/>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指标1</w:t>
      </w:r>
      <w:r>
        <w:rPr>
          <w:rFonts w:hint="default"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lang w:val="en-US" w:eastAsia="zh-CN"/>
        </w:rPr>
        <w:t>预算控制率，指标值：</w:t>
      </w:r>
      <w:r>
        <w:rPr>
          <w:rFonts w:hint="eastAsia" w:ascii="Times New Roman" w:hAnsi="Times New Roman" w:eastAsia="仿宋_GB2312" w:cs="Times New Roman"/>
          <w:sz w:val="32"/>
          <w:szCs w:val="32"/>
          <w:lang w:val="en-US" w:eastAsia="zh-CN"/>
        </w:rPr>
        <w:t>10</w:t>
      </w:r>
      <w:r>
        <w:rPr>
          <w:rFonts w:hint="eastAsia" w:eastAsia="仿宋_GB2312" w:cs="Times New Roman"/>
          <w:sz w:val="32"/>
          <w:szCs w:val="32"/>
          <w:lang w:val="en-US" w:eastAsia="zh-CN"/>
        </w:rPr>
        <w:t>0%</w:t>
      </w:r>
      <w:r>
        <w:rPr>
          <w:rFonts w:hint="default" w:ascii="Times New Roman" w:hAnsi="Times New Roman" w:eastAsia="仿宋_GB2312" w:cs="Times New Roman"/>
          <w:sz w:val="32"/>
          <w:szCs w:val="32"/>
          <w:lang w:val="en-US" w:eastAsia="zh-CN"/>
        </w:rPr>
        <w:t>，实际完成值：</w:t>
      </w:r>
      <w:r>
        <w:rPr>
          <w:rFonts w:hint="eastAsia" w:ascii="Times New Roman" w:hAnsi="Times New Roman" w:eastAsia="仿宋_GB2312" w:cs="Times New Roman"/>
          <w:sz w:val="32"/>
          <w:szCs w:val="32"/>
          <w:lang w:val="en-US" w:eastAsia="zh-CN"/>
        </w:rPr>
        <w:t>10</w:t>
      </w:r>
      <w:r>
        <w:rPr>
          <w:rFonts w:hint="eastAsia" w:eastAsia="仿宋_GB2312" w:cs="Times New Roman"/>
          <w:sz w:val="32"/>
          <w:szCs w:val="32"/>
          <w:lang w:val="en-US" w:eastAsia="zh-CN"/>
        </w:rPr>
        <w:t>0%</w:t>
      </w:r>
      <w:r>
        <w:rPr>
          <w:rFonts w:hint="default" w:ascii="Times New Roman" w:hAnsi="Times New Roman" w:eastAsia="仿宋_GB2312" w:cs="Times New Roman"/>
          <w:sz w:val="32"/>
          <w:szCs w:val="32"/>
          <w:lang w:val="en-US" w:eastAsia="zh-CN"/>
        </w:rPr>
        <w:t>，指标完成率</w:t>
      </w:r>
      <w:r>
        <w:rPr>
          <w:rFonts w:hint="eastAsia"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w:t>
      </w:r>
      <w:r>
        <w:rPr>
          <w:rFonts w:hint="eastAsia" w:eastAsia="仿宋_GB2312" w:cs="Times New Roman"/>
          <w:sz w:val="32"/>
          <w:szCs w:val="32"/>
          <w:highlight w:val="none"/>
          <w:lang w:val="en-US" w:eastAsia="zh-CN"/>
        </w:rPr>
        <w:t>偏差原因及改进措施：该条指标完成较好暂无偏差。</w:t>
      </w:r>
      <w:r>
        <w:rPr>
          <w:rFonts w:hint="eastAsia" w:ascii="Times New Roman" w:hAnsi="Times New Roman" w:eastAsia="仿宋_GB2312" w:cs="Times New Roman"/>
          <w:color w:val="auto"/>
          <w:sz w:val="32"/>
          <w:szCs w:val="32"/>
          <w:highlight w:val="none"/>
          <w:lang w:val="en-US" w:eastAsia="zh-CN"/>
        </w:rPr>
        <w:t>本项目实际支出</w:t>
      </w:r>
      <w:r>
        <w:rPr>
          <w:rFonts w:hint="eastAsia" w:eastAsia="仿宋_GB2312" w:cs="Times New Roman"/>
          <w:color w:val="auto"/>
          <w:sz w:val="32"/>
          <w:szCs w:val="32"/>
          <w:highlight w:val="none"/>
          <w:lang w:val="en-US" w:eastAsia="zh-CN"/>
        </w:rPr>
        <w:t>80.6</w:t>
      </w:r>
      <w:r>
        <w:rPr>
          <w:rFonts w:hint="eastAsia" w:ascii="Times New Roman" w:hAnsi="Times New Roman" w:eastAsia="仿宋_GB2312" w:cs="Times New Roman"/>
          <w:color w:val="auto"/>
          <w:sz w:val="32"/>
          <w:szCs w:val="32"/>
          <w:highlight w:val="none"/>
          <w:lang w:val="en-US" w:eastAsia="zh-CN"/>
        </w:rPr>
        <w:t>万元</w:t>
      </w:r>
      <w:r>
        <w:rPr>
          <w:rFonts w:hint="eastAsia"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无超支情况，项目资金全部完成</w:t>
      </w:r>
      <w:r>
        <w:rPr>
          <w:rFonts w:hint="eastAsia" w:eastAsia="仿宋_GB2312" w:cs="Times New Roman"/>
          <w:color w:val="auto"/>
          <w:sz w:val="32"/>
          <w:szCs w:val="32"/>
          <w:highlight w:val="none"/>
          <w:lang w:val="en-US" w:eastAsia="zh-CN"/>
        </w:rPr>
        <w:t>。</w:t>
      </w:r>
    </w:p>
    <w:p w14:paraId="73B40888">
      <w:pPr>
        <w:pStyle w:val="13"/>
        <w:numPr>
          <w:ilvl w:val="0"/>
          <w:numId w:val="6"/>
        </w:numPr>
        <w:spacing w:line="560" w:lineRule="exact"/>
        <w:ind w:left="-13" w:leftChars="0" w:firstLine="643" w:firstLineChars="0"/>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项目效益情况</w:t>
      </w:r>
    </w:p>
    <w:p w14:paraId="04B497EF">
      <w:pPr>
        <w:shd w:val="clear"/>
        <w:spacing w:line="600" w:lineRule="exact"/>
        <w:ind w:firstLine="640" w:firstLineChars="200"/>
        <w:outlineLvl w:val="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项目效益类指标包括项目实施效益和满意度两方面的内容，由</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个三级指标构成，权重分为</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0分，实际得分</w:t>
      </w:r>
      <w:r>
        <w:rPr>
          <w:rFonts w:hint="eastAsia" w:ascii="Times New Roman" w:hAnsi="Times New Roman" w:eastAsia="仿宋_GB2312" w:cs="Times New Roman"/>
          <w:sz w:val="32"/>
          <w:szCs w:val="32"/>
          <w:lang w:val="en-US" w:eastAsia="zh-CN"/>
        </w:rPr>
        <w:t>30</w:t>
      </w:r>
      <w:r>
        <w:rPr>
          <w:rFonts w:hint="default" w:ascii="Times New Roman" w:hAnsi="Times New Roman" w:eastAsia="仿宋_GB2312" w:cs="Times New Roman"/>
          <w:sz w:val="32"/>
          <w:szCs w:val="32"/>
          <w:lang w:val="en-US" w:eastAsia="zh-CN"/>
        </w:rPr>
        <w:t>分，得分率为</w:t>
      </w:r>
      <w:r>
        <w:rPr>
          <w:rFonts w:hint="eastAsia"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lang w:val="en-US" w:eastAsia="zh-CN"/>
        </w:rPr>
        <w:t>%。具体效益指标及满意度指标完成情况如下：</w:t>
      </w:r>
    </w:p>
    <w:p w14:paraId="437F5475">
      <w:pPr>
        <w:shd w:val="clear"/>
        <w:spacing w:line="600" w:lineRule="exact"/>
        <w:ind w:firstLine="640" w:firstLineChars="200"/>
        <w:outlineLvl w:val="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实施效益</w:t>
      </w:r>
    </w:p>
    <w:p w14:paraId="3F08B320">
      <w:pPr>
        <w:shd w:val="clear"/>
        <w:spacing w:line="600" w:lineRule="exact"/>
        <w:ind w:firstLine="640" w:firstLineChars="200"/>
        <w:outlineLvl w:val="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①社会效益指标：</w:t>
      </w:r>
    </w:p>
    <w:p w14:paraId="258E88B1">
      <w:pPr>
        <w:shd w:val="clear"/>
        <w:spacing w:line="600" w:lineRule="exact"/>
        <w:ind w:firstLine="640" w:firstLineChars="200"/>
        <w:outlineLvl w:val="0"/>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指标1：保障开展九家湾、雅山中路片区区域控制性详细规划编制工作正常开展，指标值：</w:t>
      </w:r>
      <w:r>
        <w:rPr>
          <w:rFonts w:hint="eastAsia" w:eastAsia="仿宋_GB2312" w:cs="Times New Roman"/>
          <w:sz w:val="32"/>
          <w:szCs w:val="32"/>
          <w:lang w:val="en-US" w:eastAsia="zh-CN"/>
        </w:rPr>
        <w:t>有效保障</w:t>
      </w:r>
      <w:r>
        <w:rPr>
          <w:rFonts w:hint="default" w:ascii="Times New Roman" w:hAnsi="Times New Roman" w:eastAsia="仿宋_GB2312" w:cs="Times New Roman"/>
          <w:sz w:val="32"/>
          <w:szCs w:val="32"/>
          <w:lang w:val="en-US" w:eastAsia="zh-CN"/>
        </w:rPr>
        <w:t>，实际完成值：</w:t>
      </w:r>
      <w:r>
        <w:rPr>
          <w:rFonts w:hint="eastAsia" w:eastAsia="仿宋_GB2312" w:cs="Times New Roman"/>
          <w:sz w:val="32"/>
          <w:szCs w:val="32"/>
          <w:lang w:val="en-US" w:eastAsia="zh-CN"/>
        </w:rPr>
        <w:t>100%</w:t>
      </w:r>
      <w:r>
        <w:rPr>
          <w:rFonts w:hint="default" w:ascii="Times New Roman" w:hAnsi="Times New Roman" w:eastAsia="仿宋_GB2312" w:cs="Times New Roman"/>
          <w:sz w:val="32"/>
          <w:szCs w:val="32"/>
          <w:lang w:val="en-US" w:eastAsia="zh-CN"/>
        </w:rPr>
        <w:t>，指标完成率</w:t>
      </w:r>
      <w:r>
        <w:rPr>
          <w:rFonts w:hint="eastAsia"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w:t>
      </w:r>
      <w:r>
        <w:rPr>
          <w:rFonts w:hint="eastAsia" w:eastAsia="仿宋_GB2312" w:cs="Times New Roman"/>
          <w:sz w:val="32"/>
          <w:szCs w:val="32"/>
          <w:highlight w:val="none"/>
          <w:lang w:val="en-US" w:eastAsia="zh-CN"/>
        </w:rPr>
        <w:t>偏差原因及改进措施：该条指标完成较好暂无偏差。</w:t>
      </w:r>
      <w:r>
        <w:rPr>
          <w:rFonts w:hint="eastAsia" w:ascii="Times New Roman" w:hAnsi="Times New Roman" w:eastAsia="仿宋_GB2312" w:cs="Times New Roman"/>
          <w:sz w:val="32"/>
          <w:szCs w:val="32"/>
          <w:lang w:val="en-US" w:eastAsia="zh-CN"/>
        </w:rPr>
        <w:t>该项目为开展九家湾、雅山中路片区区域控制性详细规划编制工作经费，已圆满完成，有效保障开展九家湾、雅山中路片区区域控制性详细规划编制工作正常开展。</w:t>
      </w:r>
    </w:p>
    <w:p w14:paraId="4779276D">
      <w:pPr>
        <w:shd w:val="clear"/>
        <w:spacing w:line="600" w:lineRule="exact"/>
        <w:ind w:firstLine="640" w:firstLineChars="200"/>
        <w:outlineLvl w:val="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2.满意度</w:t>
      </w:r>
    </w:p>
    <w:p w14:paraId="561695D8">
      <w:pPr>
        <w:shd w:val="clear"/>
        <w:spacing w:line="600" w:lineRule="exact"/>
        <w:ind w:firstLine="640" w:firstLineChars="200"/>
        <w:outlineLvl w:val="0"/>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指标1：相关业务部门满意度，指标值：</w:t>
      </w:r>
      <w:r>
        <w:rPr>
          <w:rFonts w:hint="eastAsia" w:eastAsia="仿宋_GB2312" w:cs="Times New Roman"/>
          <w:sz w:val="32"/>
          <w:szCs w:val="32"/>
          <w:lang w:val="en-US" w:eastAsia="zh-CN"/>
        </w:rPr>
        <w:t>≥95%</w:t>
      </w:r>
      <w:r>
        <w:rPr>
          <w:rFonts w:hint="default" w:ascii="Times New Roman" w:hAnsi="Times New Roman" w:eastAsia="仿宋_GB2312" w:cs="Times New Roman"/>
          <w:sz w:val="32"/>
          <w:szCs w:val="32"/>
          <w:lang w:val="en-US" w:eastAsia="zh-CN"/>
        </w:rPr>
        <w:t>，实际完成值：</w:t>
      </w:r>
      <w:r>
        <w:rPr>
          <w:rFonts w:hint="eastAsia" w:eastAsia="仿宋_GB2312" w:cs="Times New Roman"/>
          <w:sz w:val="32"/>
          <w:szCs w:val="32"/>
          <w:lang w:val="en-US" w:eastAsia="zh-CN"/>
        </w:rPr>
        <w:t>95%</w:t>
      </w:r>
      <w:r>
        <w:rPr>
          <w:rFonts w:hint="default" w:ascii="Times New Roman" w:hAnsi="Times New Roman" w:eastAsia="仿宋_GB2312" w:cs="Times New Roman"/>
          <w:sz w:val="32"/>
          <w:szCs w:val="32"/>
          <w:lang w:val="en-US" w:eastAsia="zh-CN"/>
        </w:rPr>
        <w:t>，指标完成率</w:t>
      </w:r>
      <w:r>
        <w:rPr>
          <w:rFonts w:hint="eastAsia"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w:t>
      </w:r>
      <w:r>
        <w:rPr>
          <w:rFonts w:hint="eastAsia" w:eastAsia="仿宋_GB2312" w:cs="Times New Roman"/>
          <w:sz w:val="32"/>
          <w:szCs w:val="32"/>
          <w:highlight w:val="none"/>
          <w:lang w:val="en-US" w:eastAsia="zh-CN"/>
        </w:rPr>
        <w:t>偏差原因及改进措施：该条指标完成较好暂无偏差。</w:t>
      </w:r>
    </w:p>
    <w:p w14:paraId="2D67DB17">
      <w:pPr>
        <w:spacing w:line="560" w:lineRule="exact"/>
        <w:ind w:firstLine="643" w:firstLineChars="200"/>
        <w:rPr>
          <w:rFonts w:hint="default" w:ascii="Times New Roman" w:hAnsi="Times New Roman" w:eastAsia="楷体_GB2312" w:cs="Times New Roman"/>
          <w:b/>
          <w:bCs/>
          <w:sz w:val="32"/>
          <w:szCs w:val="32"/>
          <w:lang w:val="en-US" w:eastAsia="zh-Hans"/>
        </w:rPr>
      </w:pPr>
      <w:r>
        <w:rPr>
          <w:rFonts w:hint="default" w:ascii="Times New Roman" w:hAnsi="Times New Roman" w:eastAsia="楷体_GB2312" w:cs="Times New Roman"/>
          <w:b/>
          <w:bCs/>
          <w:sz w:val="32"/>
          <w:szCs w:val="32"/>
          <w:lang w:val="en-US" w:eastAsia="zh-CN"/>
        </w:rPr>
        <w:t>（五）</w:t>
      </w:r>
      <w:r>
        <w:rPr>
          <w:rFonts w:hint="default" w:ascii="Times New Roman" w:hAnsi="Times New Roman" w:eastAsia="楷体_GB2312" w:cs="Times New Roman"/>
          <w:b/>
          <w:bCs/>
          <w:sz w:val="32"/>
          <w:szCs w:val="32"/>
          <w:lang w:val="en-US" w:eastAsia="zh-Hans"/>
        </w:rPr>
        <w:t>预算执行进度与绩效指标总体完成率偏差</w:t>
      </w:r>
    </w:p>
    <w:p w14:paraId="13A3F05A">
      <w:pPr>
        <w:pStyle w:val="21"/>
        <w:spacing w:line="560" w:lineRule="exact"/>
        <w:ind w:firstLine="640"/>
        <w:rPr>
          <w:rFonts w:hint="default" w:ascii="Times New Roman" w:hAnsi="Times New Roman" w:eastAsia="方正仿宋_GBK" w:cs="Times New Roman"/>
          <w:sz w:val="32"/>
          <w:szCs w:val="32"/>
          <w:highlight w:val="none"/>
        </w:rPr>
      </w:pPr>
      <w:r>
        <w:rPr>
          <w:rFonts w:hint="eastAsia" w:ascii="Times New Roman" w:hAnsi="Times New Roman" w:eastAsia="仿宋_GB2312" w:cs="Times New Roman"/>
          <w:b w:val="0"/>
          <w:bCs w:val="0"/>
          <w:kern w:val="28"/>
          <w:sz w:val="32"/>
          <w:szCs w:val="32"/>
          <w:lang w:val="en-US" w:eastAsia="zh-CN" w:bidi="ar-SA"/>
        </w:rPr>
        <w:t>开展九家湾、雅山中路片区区域控制性详细规划编制工作经费</w:t>
      </w:r>
      <w:r>
        <w:rPr>
          <w:rFonts w:hint="default" w:ascii="Times New Roman" w:hAnsi="Times New Roman" w:eastAsia="方正仿宋_GBK" w:cs="Times New Roman"/>
          <w:sz w:val="32"/>
          <w:szCs w:val="32"/>
          <w:highlight w:val="none"/>
        </w:rPr>
        <w:t>年初预算</w:t>
      </w:r>
      <w:r>
        <w:rPr>
          <w:rFonts w:hint="eastAsia" w:eastAsia="方正仿宋_GBK" w:cs="Times New Roman"/>
          <w:sz w:val="32"/>
          <w:szCs w:val="32"/>
          <w:highlight w:val="none"/>
          <w:lang w:val="en-US" w:eastAsia="zh-CN"/>
        </w:rPr>
        <w:t>85</w:t>
      </w:r>
      <w:r>
        <w:rPr>
          <w:rFonts w:hint="default" w:ascii="Times New Roman" w:hAnsi="Times New Roman" w:eastAsia="方正仿宋_GBK" w:cs="Times New Roman"/>
          <w:sz w:val="32"/>
          <w:szCs w:val="32"/>
          <w:highlight w:val="none"/>
        </w:rPr>
        <w:t>万元，全年预算</w:t>
      </w:r>
      <w:r>
        <w:rPr>
          <w:rFonts w:hint="eastAsia" w:eastAsia="方正仿宋_GBK" w:cs="Times New Roman"/>
          <w:sz w:val="32"/>
          <w:szCs w:val="32"/>
          <w:highlight w:val="none"/>
          <w:lang w:val="en-US" w:eastAsia="zh-CN"/>
        </w:rPr>
        <w:t>80.6</w:t>
      </w:r>
      <w:r>
        <w:rPr>
          <w:rFonts w:hint="default" w:ascii="Times New Roman" w:hAnsi="Times New Roman" w:eastAsia="方正仿宋_GBK" w:cs="Times New Roman"/>
          <w:sz w:val="32"/>
          <w:szCs w:val="32"/>
          <w:highlight w:val="none"/>
        </w:rPr>
        <w:t>万元，实际支出</w:t>
      </w:r>
      <w:r>
        <w:rPr>
          <w:rFonts w:hint="eastAsia" w:eastAsia="方正仿宋_GBK" w:cs="Times New Roman"/>
          <w:sz w:val="32"/>
          <w:szCs w:val="32"/>
          <w:highlight w:val="none"/>
          <w:lang w:val="en-US" w:eastAsia="zh-CN"/>
        </w:rPr>
        <w:t>80.6</w:t>
      </w:r>
      <w:r>
        <w:rPr>
          <w:rFonts w:hint="default" w:ascii="Times New Roman" w:hAnsi="Times New Roman" w:eastAsia="方正仿宋_GBK" w:cs="Times New Roman"/>
          <w:sz w:val="32"/>
          <w:szCs w:val="32"/>
          <w:highlight w:val="none"/>
        </w:rPr>
        <w:t>万元，预算执行率为</w:t>
      </w:r>
      <w:r>
        <w:rPr>
          <w:rFonts w:hint="eastAsia" w:eastAsia="方正仿宋_GBK" w:cs="Times New Roman"/>
          <w:sz w:val="32"/>
          <w:szCs w:val="32"/>
          <w:highlight w:val="none"/>
          <w:lang w:val="en-US" w:eastAsia="zh-CN"/>
        </w:rPr>
        <w:t>100</w:t>
      </w:r>
      <w:r>
        <w:rPr>
          <w:rFonts w:hint="default" w:ascii="Times New Roman" w:hAnsi="Times New Roman" w:eastAsia="方正仿宋_GBK" w:cs="Times New Roman"/>
          <w:sz w:val="32"/>
          <w:szCs w:val="32"/>
          <w:highlight w:val="none"/>
        </w:rPr>
        <w:t>%，项目绩效指标总体完成率为</w:t>
      </w:r>
      <w:r>
        <w:rPr>
          <w:rFonts w:hint="eastAsia" w:eastAsia="方正仿宋_GBK" w:cs="Times New Roman"/>
          <w:sz w:val="32"/>
          <w:szCs w:val="32"/>
          <w:highlight w:val="none"/>
          <w:lang w:val="en-US" w:eastAsia="zh-CN"/>
        </w:rPr>
        <w:t>100</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eastAsia="zh-Hans"/>
        </w:rPr>
        <w:t>总体</w:t>
      </w:r>
      <w:r>
        <w:rPr>
          <w:rFonts w:hint="default" w:ascii="Times New Roman" w:hAnsi="Times New Roman" w:eastAsia="方正仿宋_GBK" w:cs="Times New Roman"/>
          <w:sz w:val="32"/>
          <w:szCs w:val="32"/>
          <w:highlight w:val="none"/>
        </w:rPr>
        <w:t>偏差率为</w:t>
      </w:r>
      <w:r>
        <w:rPr>
          <w:rFonts w:hint="eastAsia" w:eastAsia="方正仿宋_GBK" w:cs="Times New Roman"/>
          <w:sz w:val="32"/>
          <w:szCs w:val="32"/>
          <w:highlight w:val="none"/>
          <w:lang w:val="en-US" w:eastAsia="zh-CN"/>
        </w:rPr>
        <w:t>0</w:t>
      </w:r>
      <w:r>
        <w:rPr>
          <w:rFonts w:hint="default" w:ascii="Times New Roman" w:hAnsi="Times New Roman" w:eastAsia="方正仿宋_GBK" w:cs="Times New Roman"/>
          <w:sz w:val="32"/>
          <w:szCs w:val="32"/>
          <w:highlight w:val="none"/>
        </w:rPr>
        <w:t>%。</w:t>
      </w:r>
    </w:p>
    <w:p w14:paraId="67F32BEE">
      <w:pPr>
        <w:spacing w:line="560" w:lineRule="exact"/>
        <w:ind w:firstLine="640" w:firstLineChars="200"/>
        <w:rPr>
          <w:rStyle w:val="20"/>
          <w:rFonts w:hint="default" w:ascii="Times New Roman" w:hAnsi="Times New Roman" w:cs="Times New Roman"/>
          <w:color w:val="auto"/>
        </w:rPr>
      </w:pPr>
      <w:r>
        <w:rPr>
          <w:rFonts w:hint="eastAsia" w:eastAsia="黑体" w:cs="Times New Roman"/>
          <w:sz w:val="32"/>
          <w:szCs w:val="32"/>
          <w:lang w:val="en-US" w:eastAsia="zh-CN"/>
        </w:rPr>
        <w:t>五、</w:t>
      </w:r>
      <w:r>
        <w:rPr>
          <w:rFonts w:hint="default" w:ascii="Times New Roman" w:hAnsi="Times New Roman" w:eastAsia="黑体" w:cs="Times New Roman"/>
          <w:sz w:val="32"/>
          <w:szCs w:val="32"/>
        </w:rPr>
        <w:t>主要经验及做法、存在的问题及原因分析</w:t>
      </w:r>
    </w:p>
    <w:p w14:paraId="3A0FD6FE">
      <w:pPr>
        <w:spacing w:line="560" w:lineRule="exact"/>
        <w:ind w:firstLine="627" w:firstLineChars="200"/>
        <w:rPr>
          <w:rFonts w:hint="default" w:ascii="Times New Roman" w:hAnsi="Times New Roman" w:eastAsia="楷体" w:cs="Times New Roman"/>
          <w:b/>
          <w:spacing w:val="-4"/>
          <w:sz w:val="32"/>
          <w:szCs w:val="32"/>
        </w:rPr>
      </w:pPr>
      <w:r>
        <w:rPr>
          <w:rFonts w:hint="default" w:ascii="Times New Roman" w:hAnsi="Times New Roman" w:eastAsia="楷体" w:cs="Times New Roman"/>
          <w:b/>
          <w:spacing w:val="-4"/>
          <w:sz w:val="32"/>
          <w:szCs w:val="32"/>
        </w:rPr>
        <w:t>（一）主要经验及做法</w:t>
      </w:r>
    </w:p>
    <w:p w14:paraId="014A1704">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确保项目顺利进行，提前做好项目规划，将所列计划再三审核。在项目实施过程中做好定期监督检查，严格按照项目管理规范进行，在项目资金使用过程中，严格落实把关，按照项目资金使用范围做好审核工作，让项目资金落于实处。在项目完成后，做好受益群众民意调查及项目防范工作。</w:t>
      </w:r>
    </w:p>
    <w:p w14:paraId="1139F069">
      <w:pPr>
        <w:pStyle w:val="11"/>
        <w:spacing w:before="0" w:after="0" w:line="560" w:lineRule="exact"/>
        <w:ind w:firstLine="640" w:firstLineChars="200"/>
        <w:jc w:val="left"/>
        <w:rPr>
          <w:rFonts w:hint="default" w:ascii="Times New Roman" w:hAnsi="Times New Roman" w:eastAsia="仿宋_GB2312" w:cs="Times New Roman"/>
          <w:b w:val="0"/>
          <w:bCs w:val="0"/>
          <w:kern w:val="2"/>
        </w:rPr>
      </w:pPr>
      <w:r>
        <w:rPr>
          <w:rFonts w:hint="default" w:ascii="Times New Roman" w:hAnsi="Times New Roman" w:eastAsia="仿宋_GB2312" w:cs="Times New Roman"/>
          <w:b w:val="0"/>
          <w:bCs w:val="0"/>
          <w:kern w:val="2"/>
        </w:rPr>
        <w:t>严格坚持先做事、后验收、再拨付的原则，</w:t>
      </w:r>
      <w:r>
        <w:rPr>
          <w:rFonts w:hint="eastAsia" w:ascii="Times New Roman" w:hAnsi="Times New Roman" w:eastAsia="仿宋_GB2312" w:cs="Times New Roman"/>
          <w:b w:val="0"/>
          <w:bCs w:val="0"/>
          <w:kern w:val="2"/>
          <w:lang w:eastAsia="zh-CN"/>
        </w:rPr>
        <w:t>杜绝</w:t>
      </w:r>
      <w:r>
        <w:rPr>
          <w:rFonts w:hint="default" w:ascii="Times New Roman" w:hAnsi="Times New Roman" w:eastAsia="仿宋_GB2312" w:cs="Times New Roman"/>
          <w:b w:val="0"/>
          <w:bCs w:val="0"/>
          <w:kern w:val="2"/>
        </w:rPr>
        <w:t>了资金被挤占和挪用现象的发生，跟踪检查到位。财政、纪检、监察等职能部门全面参与专项资金事前、事中和事后全过程的监管。在监督环节上，实行关口前移，从事后监督管理转向事前审核，事中监督和事后检查稽核相结合的监督制度上来，形成多环节全过程的监督管理格局，尽量早发现问题，早解决问题。</w:t>
      </w:r>
    </w:p>
    <w:p w14:paraId="518E8C90">
      <w:pPr>
        <w:keepNext/>
        <w:keepLines/>
        <w:numPr>
          <w:ilvl w:val="0"/>
          <w:numId w:val="7"/>
        </w:numPr>
        <w:spacing w:line="560" w:lineRule="exact"/>
        <w:ind w:firstLine="643" w:firstLineChars="200"/>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存在的问题及原因分析</w:t>
      </w:r>
    </w:p>
    <w:p w14:paraId="1F4B0372">
      <w:pPr>
        <w:snapToGrid w:val="0"/>
        <w:spacing w:line="560" w:lineRule="exact"/>
        <w:ind w:firstLine="640"/>
        <w:rPr>
          <w:rFonts w:hint="eastAsia"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1</w:t>
      </w:r>
      <w:r>
        <w:rPr>
          <w:rFonts w:hint="default" w:ascii="Times New Roman" w:hAnsi="Times New Roman" w:eastAsia="仿宋_GB2312" w:cs="Times New Roman"/>
          <w:b w:val="0"/>
          <w:bCs w:val="0"/>
          <w:kern w:val="2"/>
          <w:sz w:val="32"/>
          <w:szCs w:val="32"/>
          <w:lang w:val="en-US" w:eastAsia="zh-CN" w:bidi="ar-SA"/>
        </w:rPr>
        <w:t>.</w:t>
      </w:r>
      <w:r>
        <w:rPr>
          <w:rFonts w:hint="eastAsia" w:ascii="Times New Roman" w:hAnsi="Times New Roman" w:eastAsia="仿宋_GB2312" w:cs="Times New Roman"/>
          <w:b w:val="0"/>
          <w:bCs w:val="0"/>
          <w:kern w:val="2"/>
          <w:sz w:val="32"/>
          <w:szCs w:val="32"/>
          <w:lang w:val="en-US" w:eastAsia="zh-CN" w:bidi="ar-SA"/>
        </w:rPr>
        <w:t>项目目标设置不明确，绩效目标模糊，量化不足，目标过高或过低，缺乏可行性分析。因专业能力欠缺，人员缺乏绩效管理培训，指标设计方法不科学。</w:t>
      </w:r>
    </w:p>
    <w:p w14:paraId="4F8E6581">
      <w:pPr>
        <w:snapToGrid w:val="0"/>
        <w:spacing w:line="560" w:lineRule="exact"/>
        <w:ind w:firstLine="640"/>
        <w:rPr>
          <w:rFonts w:hint="eastAsia"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2.项目指标设置不合理，侧重投入类指标（如资金使用率，忽视产出效果类指标（如公众满意度、社会效益）。指标缺乏差异性，未能体现部门核心职能，财务、业务部门协同不足。</w:t>
      </w:r>
    </w:p>
    <w:p w14:paraId="64E7BB1D">
      <w:pPr>
        <w:snapToGrid w:val="0"/>
        <w:spacing w:line="560" w:lineRule="exact"/>
        <w:ind w:firstLine="640"/>
        <w:rPr>
          <w:rFonts w:hint="eastAsia"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3.项目预算编制科学性的问题。首先项目预算编制之合理性相对不足，主要表现在预算调整数较大，年度目标与长期规划衔接的紧密程度需要增强，编制项目预算绩效缺乏细化规定，操作性不强。</w:t>
      </w:r>
    </w:p>
    <w:p w14:paraId="14F5671E">
      <w:pPr>
        <w:pStyle w:val="2"/>
        <w:spacing w:line="560" w:lineRule="exact"/>
        <w:ind w:firstLine="0" w:firstLineChars="0"/>
        <w:jc w:val="left"/>
        <w:rPr>
          <w:rFonts w:hint="eastAsia" w:ascii="仿宋" w:hAnsi="仿宋" w:eastAsia="仿宋"/>
          <w:sz w:val="36"/>
          <w:szCs w:val="36"/>
          <w:lang w:bidi="en-US"/>
        </w:rPr>
      </w:pPr>
      <w:bookmarkStart w:id="0" w:name="_Toc165277259"/>
      <w:bookmarkStart w:id="1" w:name="_Toc67911620"/>
      <w:r>
        <w:rPr>
          <w:rFonts w:hint="eastAsia" w:ascii="仿宋" w:hAnsi="仿宋" w:eastAsia="仿宋"/>
          <w:sz w:val="36"/>
          <w:szCs w:val="36"/>
          <w:lang w:bidi="en-US"/>
        </w:rPr>
        <w:t>六、有关建议</w:t>
      </w:r>
      <w:bookmarkEnd w:id="0"/>
      <w:bookmarkEnd w:id="1"/>
    </w:p>
    <w:p w14:paraId="6B8A5CBE">
      <w:pPr>
        <w:snapToGrid w:val="0"/>
        <w:spacing w:line="560" w:lineRule="exact"/>
        <w:ind w:firstLine="640"/>
        <w:rPr>
          <w:rFonts w:hint="eastAsia"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1.提升数据质量，加强绩效人员培训和专业能力，推动绩效管理信息化和专业化。</w:t>
      </w:r>
    </w:p>
    <w:p w14:paraId="6656C538">
      <w:pPr>
        <w:snapToGrid w:val="0"/>
        <w:spacing w:line="560" w:lineRule="exact"/>
        <w:ind w:firstLine="640"/>
        <w:rPr>
          <w:rFonts w:hint="eastAsia"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2.优化绩效指标设定，根据岗位特点，设计科学合理的绩效指标体系，以全面反映我单位实际工作表现，同时，应重指标的难易程度，确保既不过高也不过低。</w:t>
      </w:r>
    </w:p>
    <w:p w14:paraId="498D1720">
      <w:pPr>
        <w:shd w:val="clear"/>
        <w:spacing w:line="600" w:lineRule="exact"/>
        <w:ind w:firstLine="640" w:firstLineChars="200"/>
        <w:outlineLvl w:val="0"/>
        <w:rPr>
          <w:rFonts w:hint="default" w:ascii="Times New Roman" w:hAnsi="Times New Roman" w:cs="Times New Roman"/>
          <w:sz w:val="22"/>
          <w:szCs w:val="28"/>
        </w:rPr>
      </w:pPr>
      <w:r>
        <w:rPr>
          <w:rFonts w:hint="eastAsia" w:ascii="Times New Roman" w:hAnsi="Times New Roman" w:eastAsia="仿宋_GB2312" w:cs="Times New Roman"/>
          <w:b w:val="0"/>
          <w:bCs w:val="0"/>
          <w:kern w:val="2"/>
          <w:sz w:val="32"/>
          <w:szCs w:val="32"/>
          <w:lang w:val="en-US" w:eastAsia="zh-CN" w:bidi="ar-SA"/>
        </w:rPr>
        <w:t>3.加强预算编制科学性、完善预算编制细化，建立分层的绩效指标体系，明确核心绩效目标。将绩效结果与预算、人事管理挂钩，强化激励约束。</w:t>
      </w:r>
    </w:p>
    <w:p w14:paraId="32BAA95D">
      <w:pPr>
        <w:spacing w:line="560" w:lineRule="exact"/>
        <w:ind w:firstLine="640" w:firstLineChars="200"/>
        <w:rPr>
          <w:rFonts w:hint="default" w:ascii="Times New Roman" w:hAnsi="Times New Roman" w:eastAsia="黑体" w:cs="Times New Roman"/>
          <w:sz w:val="32"/>
          <w:szCs w:val="32"/>
        </w:rPr>
      </w:pPr>
      <w:r>
        <w:rPr>
          <w:rFonts w:hint="eastAsia" w:eastAsia="黑体" w:cs="Times New Roman"/>
          <w:sz w:val="32"/>
          <w:szCs w:val="32"/>
          <w:lang w:val="en-US" w:eastAsia="zh-CN"/>
        </w:rPr>
        <w:t>七、</w:t>
      </w:r>
      <w:r>
        <w:rPr>
          <w:rFonts w:hint="default" w:ascii="Times New Roman" w:hAnsi="Times New Roman" w:eastAsia="黑体" w:cs="Times New Roman"/>
          <w:sz w:val="32"/>
          <w:szCs w:val="32"/>
        </w:rPr>
        <w:t>其他需要说</w:t>
      </w:r>
      <w:bookmarkStart w:id="2" w:name="page8"/>
      <w:bookmarkEnd w:id="2"/>
      <w:r>
        <w:rPr>
          <w:rFonts w:hint="default" w:ascii="Times New Roman" w:hAnsi="Times New Roman" w:eastAsia="黑体" w:cs="Times New Roman"/>
          <w:sz w:val="32"/>
          <w:szCs w:val="32"/>
        </w:rPr>
        <w:t>明的问题</w:t>
      </w:r>
    </w:p>
    <w:p w14:paraId="31428C30">
      <w:pPr>
        <w:shd w:val="clear"/>
        <w:spacing w:line="600" w:lineRule="exact"/>
        <w:ind w:firstLine="640" w:firstLineChars="200"/>
        <w:outlineLvl w:val="0"/>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项目支出政策和路径设计科学，符合实际需要；</w:t>
      </w:r>
    </w:p>
    <w:p w14:paraId="1FC76872">
      <w:pPr>
        <w:shd w:val="clear"/>
        <w:spacing w:line="600" w:lineRule="exact"/>
        <w:ind w:firstLine="640" w:firstLineChars="200"/>
        <w:outlineLvl w:val="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w:t>
      </w:r>
      <w:r>
        <w:rPr>
          <w:rFonts w:hint="eastAsia" w:ascii="Times New Roman" w:hAnsi="Times New Roman" w:eastAsia="仿宋_GB2312" w:cs="Times New Roman"/>
          <w:color w:val="auto"/>
          <w:sz w:val="32"/>
          <w:szCs w:val="32"/>
          <w:highlight w:val="none"/>
          <w:lang w:val="en-US" w:eastAsia="zh-CN"/>
        </w:rPr>
        <w:t>项目安排准确，未发现背离项目立项初衷的情况；</w:t>
      </w:r>
    </w:p>
    <w:p w14:paraId="3FFEAA84">
      <w:pPr>
        <w:shd w:val="clear"/>
        <w:spacing w:line="600" w:lineRule="exact"/>
        <w:ind w:firstLine="640" w:firstLineChars="200"/>
        <w:outlineLvl w:val="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3.</w:t>
      </w:r>
      <w:r>
        <w:rPr>
          <w:rFonts w:hint="eastAsia" w:ascii="Times New Roman" w:hAnsi="Times New Roman" w:eastAsia="仿宋_GB2312" w:cs="Times New Roman"/>
          <w:color w:val="auto"/>
          <w:sz w:val="32"/>
          <w:szCs w:val="32"/>
          <w:highlight w:val="none"/>
          <w:lang w:val="en-US" w:eastAsia="zh-CN"/>
        </w:rPr>
        <w:t>项目的申报、审核机制完善；</w:t>
      </w:r>
    </w:p>
    <w:p w14:paraId="1C7E97CB">
      <w:pPr>
        <w:shd w:val="clear"/>
        <w:spacing w:line="600" w:lineRule="exact"/>
        <w:ind w:firstLine="640" w:firstLineChars="200"/>
        <w:outlineLvl w:val="0"/>
        <w:rPr>
          <w:rFonts w:hint="default" w:ascii="Times New Roman" w:hAnsi="Times New Roman" w:eastAsia="仿宋_GB2312" w:cs="Times New Roman"/>
          <w:color w:val="auto"/>
          <w:sz w:val="32"/>
          <w:szCs w:val="32"/>
          <w:highlight w:val="none"/>
          <w:lang w:eastAsia="zh-Hans"/>
        </w:rPr>
      </w:pPr>
      <w:r>
        <w:rPr>
          <w:rFonts w:hint="default" w:ascii="Times New Roman" w:hAnsi="Times New Roman" w:eastAsia="仿宋_GB2312" w:cs="Times New Roman"/>
          <w:color w:val="auto"/>
          <w:sz w:val="32"/>
          <w:szCs w:val="32"/>
          <w:highlight w:val="none"/>
          <w:lang w:val="en-US" w:eastAsia="zh-CN"/>
        </w:rPr>
        <w:t>4.</w:t>
      </w:r>
      <w:r>
        <w:rPr>
          <w:rFonts w:hint="eastAsia" w:ascii="Times New Roman" w:hAnsi="Times New Roman" w:eastAsia="仿宋_GB2312" w:cs="Times New Roman"/>
          <w:color w:val="auto"/>
          <w:sz w:val="32"/>
          <w:szCs w:val="32"/>
          <w:highlight w:val="none"/>
          <w:lang w:val="en-US" w:eastAsia="zh-CN"/>
        </w:rPr>
        <w:t>未发现虚假行为和骗取财政资金的问题</w:t>
      </w:r>
      <w:r>
        <w:rPr>
          <w:rFonts w:hint="default" w:ascii="Times New Roman" w:hAnsi="Times New Roman" w:eastAsia="仿宋_GB2312" w:cs="Times New Roman"/>
          <w:color w:val="auto"/>
          <w:sz w:val="32"/>
          <w:szCs w:val="32"/>
          <w:highlight w:val="none"/>
          <w:lang w:eastAsia="zh-Hans"/>
        </w:rPr>
        <w:t>。</w:t>
      </w:r>
    </w:p>
    <w:p w14:paraId="6D0430C3">
      <w:pPr>
        <w:pStyle w:val="14"/>
        <w:spacing w:after="0" w:line="560" w:lineRule="exact"/>
        <w:ind w:left="0" w:leftChars="0" w:firstLine="0" w:firstLineChars="0"/>
        <w:rPr>
          <w:rFonts w:hint="eastAsia" w:ascii="Times New Roman" w:hAnsi="Times New Roman" w:eastAsia="仿宋_GB2312" w:cs="Times New Roman"/>
          <w:sz w:val="32"/>
          <w:szCs w:val="32"/>
          <w:lang w:eastAsia="zh-CN"/>
        </w:rPr>
      </w:pPr>
    </w:p>
    <w:p w14:paraId="74A98796">
      <w:pPr>
        <w:pStyle w:val="14"/>
        <w:spacing w:after="0" w:line="560" w:lineRule="exact"/>
        <w:ind w:left="0" w:leftChars="0" w:firstLine="640"/>
        <w:rPr>
          <w:rFonts w:hint="default" w:ascii="Times New Roman" w:hAnsi="Times New Roman" w:eastAsia="仿宋_GB2312" w:cs="Times New Roman"/>
          <w:sz w:val="32"/>
          <w:szCs w:val="32"/>
        </w:rPr>
      </w:pPr>
    </w:p>
    <w:p w14:paraId="7476D192">
      <w:pPr>
        <w:pStyle w:val="14"/>
        <w:spacing w:after="0" w:line="560" w:lineRule="exact"/>
        <w:ind w:left="0" w:leftChars="0" w:firstLine="640"/>
        <w:rPr>
          <w:rFonts w:hint="default" w:ascii="Times New Roman" w:hAnsi="Times New Roman" w:eastAsia="仿宋_GB2312" w:cs="Times New Roman"/>
          <w:sz w:val="32"/>
          <w:szCs w:val="32"/>
        </w:rPr>
      </w:pPr>
    </w:p>
    <w:p w14:paraId="19AF6954">
      <w:pPr>
        <w:pStyle w:val="14"/>
        <w:spacing w:after="0" w:line="560" w:lineRule="exact"/>
        <w:ind w:left="0" w:leftChars="0" w:firstLine="0" w:firstLineChars="0"/>
        <w:rPr>
          <w:rFonts w:hint="default" w:ascii="Times New Roman" w:hAnsi="Times New Roman" w:eastAsia="仿宋_GB2312" w:cs="Times New Roman"/>
          <w:sz w:val="32"/>
          <w:szCs w:val="32"/>
        </w:rPr>
      </w:pPr>
    </w:p>
    <w:p w14:paraId="19B1DAF6">
      <w:pPr>
        <w:spacing w:line="600" w:lineRule="exact"/>
        <w:rPr>
          <w:rFonts w:hint="eastAsia" w:ascii="Times New Roman" w:hAnsi="Times New Roman" w:eastAsia="黑体" w:cs="Times New Roman"/>
          <w:sz w:val="32"/>
          <w:szCs w:val="32"/>
          <w:lang w:val="en-US" w:eastAsia="zh-CN"/>
        </w:rPr>
        <w:sectPr>
          <w:footerReference r:id="rId3" w:type="default"/>
          <w:pgSz w:w="11906" w:h="16838"/>
          <w:pgMar w:top="1440" w:right="1558" w:bottom="1440" w:left="1800" w:header="851" w:footer="992" w:gutter="0"/>
          <w:pgNumType w:start="1"/>
          <w:cols w:space="425" w:num="1"/>
          <w:docGrid w:type="lines" w:linePitch="312" w:charSpace="0"/>
        </w:sectPr>
      </w:pPr>
    </w:p>
    <w:p w14:paraId="02747392">
      <w:pPr>
        <w:spacing w:line="600" w:lineRule="exact"/>
        <w:rPr>
          <w:rFonts w:hint="eastAsia" w:eastAsia="黑体" w:cs="Times New Roman"/>
          <w:sz w:val="32"/>
          <w:szCs w:val="32"/>
          <w:lang w:val="en-US" w:eastAsia="zh-CN"/>
        </w:rPr>
      </w:pPr>
      <w:r>
        <w:rPr>
          <w:rFonts w:hint="eastAsia" w:ascii="Times New Roman" w:hAnsi="Times New Roman" w:eastAsia="黑体" w:cs="Times New Roman"/>
          <w:sz w:val="32"/>
          <w:szCs w:val="32"/>
          <w:lang w:val="en-US" w:eastAsia="zh-CN"/>
        </w:rPr>
        <w:t>附件</w:t>
      </w:r>
      <w:r>
        <w:rPr>
          <w:rFonts w:hint="eastAsia" w:eastAsia="黑体" w:cs="Times New Roman"/>
          <w:sz w:val="32"/>
          <w:szCs w:val="32"/>
          <w:lang w:val="en-US" w:eastAsia="zh-CN"/>
        </w:rPr>
        <w:t>1</w:t>
      </w:r>
    </w:p>
    <w:p w14:paraId="19884858">
      <w:pPr>
        <w:pStyle w:val="21"/>
        <w:ind w:firstLine="562"/>
        <w:jc w:val="center"/>
        <w:rPr>
          <w:rFonts w:hint="eastAsia" w:ascii="仿宋_GB2312" w:hAnsi="仿宋_GB2312" w:eastAsia="仿宋_GB2312" w:cs="仿宋_GB2312"/>
          <w:sz w:val="28"/>
          <w:szCs w:val="40"/>
        </w:rPr>
      </w:pPr>
      <w:bookmarkStart w:id="3" w:name="_Toc30064_WPSOffice_Level1"/>
      <w:bookmarkStart w:id="4" w:name="_Toc26499_WPSOffice_Level2"/>
      <w:r>
        <w:rPr>
          <w:rFonts w:hint="eastAsia" w:ascii="仿宋_GB2312" w:hAnsi="仿宋_GB2312" w:eastAsia="仿宋_GB2312" w:cs="仿宋_GB2312"/>
          <w:b/>
          <w:bCs/>
          <w:sz w:val="28"/>
          <w:szCs w:val="40"/>
          <w:lang w:val="en-US" w:eastAsia="zh-CN"/>
        </w:rPr>
        <w:t>开展九家湾、雅山中路片区区域控制性详细规划编制工作经费</w:t>
      </w:r>
      <w:r>
        <w:rPr>
          <w:rFonts w:hint="eastAsia" w:ascii="仿宋_GB2312" w:hAnsi="仿宋_GB2312" w:eastAsia="仿宋_GB2312" w:cs="仿宋_GB2312"/>
          <w:b/>
          <w:bCs/>
          <w:sz w:val="28"/>
          <w:szCs w:val="40"/>
        </w:rPr>
        <w:t>绩效评价指标体系及综合评分表</w:t>
      </w:r>
      <w:bookmarkEnd w:id="3"/>
      <w:bookmarkEnd w:id="4"/>
    </w:p>
    <w:tbl>
      <w:tblPr>
        <w:tblStyle w:val="15"/>
        <w:tblW w:w="12683"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1002"/>
        <w:gridCol w:w="1000"/>
        <w:gridCol w:w="1071"/>
        <w:gridCol w:w="1725"/>
        <w:gridCol w:w="5216"/>
        <w:gridCol w:w="5"/>
        <w:gridCol w:w="1299"/>
        <w:gridCol w:w="1365"/>
      </w:tblGrid>
      <w:tr w14:paraId="32657B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52" w:hRule="atLeast"/>
          <w:tblHeader/>
          <w:jc w:val="center"/>
        </w:trPr>
        <w:tc>
          <w:tcPr>
            <w:tcW w:w="1002" w:type="dxa"/>
            <w:shd w:val="clear" w:color="auto" w:fill="FFFFFF"/>
            <w:vAlign w:val="center"/>
          </w:tcPr>
          <w:p w14:paraId="516C19B7">
            <w:pPr>
              <w:widowControl/>
              <w:spacing w:line="0" w:lineRule="atLeast"/>
              <w:jc w:val="center"/>
              <w:rPr>
                <w:rFonts w:hint="default" w:ascii="Times New Roman" w:hAnsi="Times New Roman" w:eastAsia="仿宋_GB2312" w:cs="Times New Roman"/>
                <w:b/>
                <w:bCs/>
                <w:color w:val="000000"/>
                <w:kern w:val="0"/>
                <w:sz w:val="18"/>
                <w:szCs w:val="18"/>
              </w:rPr>
            </w:pPr>
            <w:r>
              <w:rPr>
                <w:rFonts w:hint="default" w:ascii="Times New Roman" w:hAnsi="Times New Roman" w:eastAsia="仿宋_GB2312" w:cs="Times New Roman"/>
                <w:b/>
                <w:bCs/>
                <w:color w:val="000000"/>
                <w:kern w:val="0"/>
                <w:sz w:val="18"/>
                <w:szCs w:val="18"/>
              </w:rPr>
              <w:t>一级指标</w:t>
            </w:r>
          </w:p>
        </w:tc>
        <w:tc>
          <w:tcPr>
            <w:tcW w:w="1000" w:type="dxa"/>
            <w:shd w:val="clear" w:color="auto" w:fill="FFFFFF"/>
            <w:vAlign w:val="center"/>
          </w:tcPr>
          <w:p w14:paraId="2E398417">
            <w:pPr>
              <w:widowControl/>
              <w:spacing w:line="0" w:lineRule="atLeast"/>
              <w:jc w:val="center"/>
              <w:rPr>
                <w:rFonts w:hint="default" w:ascii="Times New Roman" w:hAnsi="Times New Roman" w:eastAsia="仿宋_GB2312" w:cs="Times New Roman"/>
                <w:b/>
                <w:bCs/>
                <w:color w:val="000000"/>
                <w:kern w:val="0"/>
                <w:sz w:val="18"/>
                <w:szCs w:val="18"/>
              </w:rPr>
            </w:pPr>
            <w:r>
              <w:rPr>
                <w:rFonts w:hint="default" w:ascii="Times New Roman" w:hAnsi="Times New Roman" w:eastAsia="仿宋_GB2312" w:cs="Times New Roman"/>
                <w:b/>
                <w:bCs/>
                <w:color w:val="000000"/>
                <w:kern w:val="0"/>
                <w:sz w:val="18"/>
                <w:szCs w:val="18"/>
              </w:rPr>
              <w:t>二级指标</w:t>
            </w:r>
          </w:p>
        </w:tc>
        <w:tc>
          <w:tcPr>
            <w:tcW w:w="1071" w:type="dxa"/>
            <w:shd w:val="clear" w:color="auto" w:fill="FFFFFF"/>
            <w:vAlign w:val="center"/>
          </w:tcPr>
          <w:p w14:paraId="5E6CF362">
            <w:pPr>
              <w:widowControl/>
              <w:spacing w:line="0" w:lineRule="atLeast"/>
              <w:jc w:val="center"/>
              <w:rPr>
                <w:rFonts w:hint="default" w:ascii="Times New Roman" w:hAnsi="Times New Roman" w:eastAsia="仿宋_GB2312" w:cs="Times New Roman"/>
                <w:b/>
                <w:bCs/>
                <w:color w:val="000000"/>
                <w:kern w:val="0"/>
                <w:sz w:val="18"/>
                <w:szCs w:val="18"/>
              </w:rPr>
            </w:pPr>
            <w:r>
              <w:rPr>
                <w:rFonts w:hint="default" w:ascii="Times New Roman" w:hAnsi="Times New Roman" w:eastAsia="仿宋_GB2312" w:cs="Times New Roman"/>
                <w:b/>
                <w:bCs/>
                <w:color w:val="000000"/>
                <w:kern w:val="0"/>
                <w:sz w:val="18"/>
                <w:szCs w:val="18"/>
              </w:rPr>
              <w:t>三级指标</w:t>
            </w:r>
          </w:p>
        </w:tc>
        <w:tc>
          <w:tcPr>
            <w:tcW w:w="1725" w:type="dxa"/>
            <w:shd w:val="clear" w:color="auto" w:fill="FFFFFF"/>
            <w:vAlign w:val="center"/>
          </w:tcPr>
          <w:p w14:paraId="4255A460">
            <w:pPr>
              <w:widowControl/>
              <w:spacing w:line="0" w:lineRule="atLeast"/>
              <w:jc w:val="center"/>
              <w:rPr>
                <w:rFonts w:hint="default" w:ascii="Times New Roman" w:hAnsi="Times New Roman" w:eastAsia="仿宋_GB2312" w:cs="Times New Roman"/>
                <w:b/>
                <w:bCs/>
                <w:color w:val="000000"/>
                <w:kern w:val="0"/>
                <w:sz w:val="18"/>
                <w:szCs w:val="18"/>
              </w:rPr>
            </w:pPr>
            <w:r>
              <w:rPr>
                <w:rFonts w:hint="default" w:ascii="Times New Roman" w:hAnsi="Times New Roman" w:eastAsia="仿宋_GB2312" w:cs="Times New Roman"/>
                <w:b/>
                <w:bCs/>
                <w:color w:val="000000"/>
                <w:kern w:val="0"/>
                <w:sz w:val="18"/>
                <w:szCs w:val="18"/>
              </w:rPr>
              <w:t>指标解释</w:t>
            </w:r>
          </w:p>
        </w:tc>
        <w:tc>
          <w:tcPr>
            <w:tcW w:w="5216" w:type="dxa"/>
            <w:shd w:val="clear" w:color="auto" w:fill="FFFFFF"/>
            <w:vAlign w:val="center"/>
          </w:tcPr>
          <w:p w14:paraId="177A87D0">
            <w:pPr>
              <w:widowControl/>
              <w:spacing w:line="0" w:lineRule="atLeast"/>
              <w:jc w:val="center"/>
              <w:rPr>
                <w:rFonts w:hint="default" w:ascii="Times New Roman" w:hAnsi="Times New Roman" w:eastAsia="仿宋_GB2312" w:cs="Times New Roman"/>
                <w:b/>
                <w:bCs/>
                <w:color w:val="000000"/>
                <w:kern w:val="0"/>
                <w:sz w:val="18"/>
                <w:szCs w:val="18"/>
              </w:rPr>
            </w:pPr>
            <w:r>
              <w:rPr>
                <w:rFonts w:hint="default" w:ascii="Times New Roman" w:hAnsi="Times New Roman" w:eastAsia="仿宋_GB2312" w:cs="Times New Roman"/>
                <w:b/>
                <w:bCs/>
                <w:color w:val="000000"/>
                <w:kern w:val="0"/>
                <w:sz w:val="18"/>
                <w:szCs w:val="18"/>
              </w:rPr>
              <w:t>指标说明</w:t>
            </w:r>
          </w:p>
        </w:tc>
        <w:tc>
          <w:tcPr>
            <w:tcW w:w="1304" w:type="dxa"/>
            <w:gridSpan w:val="2"/>
            <w:shd w:val="clear" w:color="auto" w:fill="FFFFFF"/>
            <w:vAlign w:val="center"/>
          </w:tcPr>
          <w:p w14:paraId="32CF3F4B">
            <w:pPr>
              <w:widowControl/>
              <w:spacing w:line="0" w:lineRule="atLeast"/>
              <w:jc w:val="center"/>
              <w:rPr>
                <w:rFonts w:hint="default" w:ascii="Times New Roman" w:hAnsi="Times New Roman" w:eastAsia="仿宋_GB2312" w:cs="Times New Roman"/>
                <w:b/>
                <w:bCs/>
                <w:color w:val="000000"/>
                <w:kern w:val="0"/>
                <w:sz w:val="18"/>
                <w:szCs w:val="18"/>
              </w:rPr>
            </w:pPr>
            <w:r>
              <w:rPr>
                <w:rFonts w:hint="default" w:ascii="Times New Roman" w:hAnsi="Times New Roman" w:eastAsia="仿宋_GB2312" w:cs="Times New Roman"/>
                <w:b/>
                <w:bCs/>
                <w:color w:val="000000"/>
                <w:kern w:val="0"/>
                <w:sz w:val="18"/>
                <w:szCs w:val="18"/>
              </w:rPr>
              <w:t>权重</w:t>
            </w:r>
          </w:p>
        </w:tc>
        <w:tc>
          <w:tcPr>
            <w:tcW w:w="1365" w:type="dxa"/>
            <w:shd w:val="clear" w:color="auto" w:fill="FFFFFF"/>
            <w:vAlign w:val="center"/>
          </w:tcPr>
          <w:p w14:paraId="3835C89C">
            <w:pPr>
              <w:widowControl/>
              <w:spacing w:line="0" w:lineRule="atLeast"/>
              <w:jc w:val="center"/>
              <w:rPr>
                <w:rFonts w:hint="default" w:ascii="Times New Roman" w:hAnsi="Times New Roman" w:eastAsia="仿宋_GB2312" w:cs="Times New Roman"/>
                <w:b/>
                <w:bCs/>
                <w:color w:val="000000"/>
                <w:kern w:val="0"/>
                <w:sz w:val="18"/>
                <w:szCs w:val="18"/>
              </w:rPr>
            </w:pPr>
            <w:r>
              <w:rPr>
                <w:rFonts w:hint="default" w:ascii="Times New Roman" w:hAnsi="Times New Roman" w:eastAsia="仿宋_GB2312" w:cs="Times New Roman"/>
                <w:b/>
                <w:bCs/>
                <w:color w:val="000000"/>
                <w:kern w:val="0"/>
                <w:sz w:val="18"/>
                <w:szCs w:val="18"/>
              </w:rPr>
              <w:t>得分</w:t>
            </w:r>
          </w:p>
        </w:tc>
      </w:tr>
      <w:tr w14:paraId="094C6F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919" w:hRule="atLeast"/>
          <w:jc w:val="center"/>
        </w:trPr>
        <w:tc>
          <w:tcPr>
            <w:tcW w:w="1002" w:type="dxa"/>
            <w:vMerge w:val="restart"/>
            <w:shd w:val="clear" w:color="auto" w:fill="FFFFFF"/>
            <w:vAlign w:val="center"/>
          </w:tcPr>
          <w:p w14:paraId="422B9EE3">
            <w:pPr>
              <w:widowControl/>
              <w:spacing w:line="0" w:lineRule="atLeast"/>
              <w:jc w:val="center"/>
              <w:rPr>
                <w:rFonts w:hint="default" w:ascii="Times New Roman" w:hAnsi="Times New Roman" w:eastAsia="仿宋_GB2312" w:cs="Times New Roman"/>
                <w:color w:val="000000"/>
                <w:kern w:val="0"/>
                <w:sz w:val="18"/>
                <w:szCs w:val="18"/>
              </w:rPr>
            </w:pPr>
          </w:p>
          <w:p w14:paraId="50AF3131">
            <w:pPr>
              <w:widowControl/>
              <w:spacing w:line="0" w:lineRule="atLeast"/>
              <w:jc w:val="center"/>
              <w:rPr>
                <w:rFonts w:hint="default" w:ascii="Times New Roman" w:hAnsi="Times New Roman" w:eastAsia="仿宋_GB2312" w:cs="Times New Roman"/>
                <w:color w:val="000000"/>
                <w:kern w:val="0"/>
                <w:sz w:val="18"/>
                <w:szCs w:val="18"/>
              </w:rPr>
            </w:pPr>
          </w:p>
          <w:p w14:paraId="03831D23">
            <w:pPr>
              <w:widowControl/>
              <w:spacing w:line="0" w:lineRule="atLeast"/>
              <w:jc w:val="center"/>
              <w:rPr>
                <w:rFonts w:hint="default" w:ascii="Times New Roman" w:hAnsi="Times New Roman" w:eastAsia="仿宋_GB2312" w:cs="Times New Roman"/>
                <w:color w:val="000000"/>
                <w:kern w:val="0"/>
                <w:sz w:val="18"/>
                <w:szCs w:val="18"/>
              </w:rPr>
            </w:pPr>
          </w:p>
          <w:p w14:paraId="375DA359">
            <w:pPr>
              <w:widowControl/>
              <w:spacing w:line="0" w:lineRule="atLeast"/>
              <w:jc w:val="center"/>
              <w:rPr>
                <w:rFonts w:hint="default" w:ascii="Times New Roman" w:hAnsi="Times New Roman" w:eastAsia="仿宋_GB2312" w:cs="Times New Roman"/>
                <w:color w:val="000000"/>
                <w:kern w:val="0"/>
                <w:sz w:val="18"/>
                <w:szCs w:val="18"/>
              </w:rPr>
            </w:pPr>
          </w:p>
          <w:p w14:paraId="680AEC91">
            <w:pPr>
              <w:widowControl/>
              <w:spacing w:line="0" w:lineRule="atLeast"/>
              <w:jc w:val="center"/>
              <w:rPr>
                <w:rFonts w:hint="default" w:ascii="Times New Roman" w:hAnsi="Times New Roman" w:eastAsia="仿宋_GB2312" w:cs="Times New Roman"/>
                <w:color w:val="000000"/>
                <w:kern w:val="0"/>
                <w:sz w:val="18"/>
                <w:szCs w:val="18"/>
              </w:rPr>
            </w:pPr>
          </w:p>
          <w:p w14:paraId="7D7F2E45">
            <w:pPr>
              <w:widowControl/>
              <w:spacing w:line="0" w:lineRule="atLeast"/>
              <w:jc w:val="center"/>
              <w:rPr>
                <w:rFonts w:hint="default" w:ascii="Times New Roman" w:hAnsi="Times New Roman" w:eastAsia="仿宋_GB2312" w:cs="Times New Roman"/>
                <w:color w:val="000000"/>
                <w:kern w:val="0"/>
                <w:sz w:val="18"/>
                <w:szCs w:val="18"/>
              </w:rPr>
            </w:pPr>
          </w:p>
          <w:p w14:paraId="0ACAE950">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决策　</w:t>
            </w:r>
          </w:p>
        </w:tc>
        <w:tc>
          <w:tcPr>
            <w:tcW w:w="1000" w:type="dxa"/>
            <w:vMerge w:val="restart"/>
            <w:shd w:val="clear" w:color="auto" w:fill="FFFFFF"/>
            <w:vAlign w:val="center"/>
          </w:tcPr>
          <w:p w14:paraId="6E7C0D21">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项目立项　</w:t>
            </w:r>
          </w:p>
        </w:tc>
        <w:tc>
          <w:tcPr>
            <w:tcW w:w="1071" w:type="dxa"/>
            <w:shd w:val="clear" w:color="auto" w:fill="FFFFFF"/>
            <w:vAlign w:val="center"/>
          </w:tcPr>
          <w:p w14:paraId="65D3FDEC">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立项依据</w:t>
            </w:r>
          </w:p>
          <w:p w14:paraId="120B978C">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充分性</w:t>
            </w:r>
          </w:p>
        </w:tc>
        <w:tc>
          <w:tcPr>
            <w:tcW w:w="1725" w:type="dxa"/>
            <w:shd w:val="clear" w:color="auto" w:fill="FFFFFF"/>
            <w:vAlign w:val="center"/>
          </w:tcPr>
          <w:p w14:paraId="6186E150">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项目立项是否符合法律法规、相关政策、发展规划以及部门职责，用以反映和考核项目立项依据情况。</w:t>
            </w:r>
          </w:p>
        </w:tc>
        <w:tc>
          <w:tcPr>
            <w:tcW w:w="5216" w:type="dxa"/>
            <w:shd w:val="clear" w:color="auto" w:fill="FFFFFF"/>
            <w:vAlign w:val="center"/>
          </w:tcPr>
          <w:p w14:paraId="47F85B9F">
            <w:pPr>
              <w:widowControl/>
              <w:spacing w:line="0" w:lineRule="atLeast"/>
              <w:jc w:val="lef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评价要点：</w:t>
            </w:r>
            <w:r>
              <w:rPr>
                <w:rFonts w:hint="default" w:ascii="Times New Roman" w:hAnsi="Times New Roman" w:eastAsia="仿宋_GB2312" w:cs="Times New Roman"/>
                <w:color w:val="000000"/>
                <w:kern w:val="0"/>
                <w:sz w:val="18"/>
                <w:szCs w:val="18"/>
              </w:rPr>
              <w:br w:type="textWrapping"/>
            </w:r>
            <w:r>
              <w:rPr>
                <w:rFonts w:hint="default" w:ascii="Times New Roman" w:hAnsi="Times New Roman" w:eastAsia="仿宋_GB2312" w:cs="Times New Roman"/>
                <w:color w:val="000000"/>
                <w:kern w:val="0"/>
                <w:sz w:val="18"/>
                <w:szCs w:val="18"/>
              </w:rPr>
              <w:t>①项目立项是否符合国家法律法规、国民经济发展规划和相关政策；</w:t>
            </w:r>
            <w:r>
              <w:rPr>
                <w:rFonts w:hint="default" w:ascii="Times New Roman" w:hAnsi="Times New Roman" w:eastAsia="仿宋_GB2312" w:cs="Times New Roman"/>
                <w:color w:val="000000"/>
                <w:kern w:val="0"/>
                <w:sz w:val="18"/>
                <w:szCs w:val="18"/>
              </w:rPr>
              <w:br w:type="textWrapping"/>
            </w:r>
            <w:r>
              <w:rPr>
                <w:rFonts w:hint="default" w:ascii="Times New Roman" w:hAnsi="Times New Roman" w:eastAsia="仿宋_GB2312" w:cs="Times New Roman"/>
                <w:color w:val="000000"/>
                <w:kern w:val="0"/>
                <w:sz w:val="18"/>
                <w:szCs w:val="18"/>
              </w:rPr>
              <w:t>②项目立项是否符合行业发展规划和政策要求；</w:t>
            </w:r>
            <w:r>
              <w:rPr>
                <w:rFonts w:hint="default" w:ascii="Times New Roman" w:hAnsi="Times New Roman" w:eastAsia="仿宋_GB2312" w:cs="Times New Roman"/>
                <w:color w:val="000000"/>
                <w:kern w:val="0"/>
                <w:sz w:val="18"/>
                <w:szCs w:val="18"/>
              </w:rPr>
              <w:br w:type="textWrapping"/>
            </w:r>
            <w:r>
              <w:rPr>
                <w:rFonts w:hint="default" w:ascii="Times New Roman" w:hAnsi="Times New Roman" w:eastAsia="仿宋_GB2312" w:cs="Times New Roman"/>
                <w:color w:val="000000"/>
                <w:kern w:val="0"/>
                <w:sz w:val="18"/>
                <w:szCs w:val="18"/>
              </w:rPr>
              <w:t>③项目立项是否与部门职责范围相符，属于部门履职所需；</w:t>
            </w:r>
            <w:r>
              <w:rPr>
                <w:rFonts w:hint="default" w:ascii="Times New Roman" w:hAnsi="Times New Roman" w:eastAsia="仿宋_GB2312" w:cs="Times New Roman"/>
                <w:color w:val="000000"/>
                <w:kern w:val="0"/>
                <w:sz w:val="18"/>
                <w:szCs w:val="18"/>
              </w:rPr>
              <w:br w:type="textWrapping"/>
            </w:r>
            <w:r>
              <w:rPr>
                <w:rFonts w:hint="default" w:ascii="Times New Roman" w:hAnsi="Times New Roman" w:eastAsia="仿宋_GB2312" w:cs="Times New Roman"/>
                <w:color w:val="000000"/>
                <w:kern w:val="0"/>
                <w:sz w:val="18"/>
                <w:szCs w:val="18"/>
              </w:rPr>
              <w:t>④项目是否属于公共财政支持范围，是否符合中央、地方事权支出责任划分原则；</w:t>
            </w:r>
            <w:r>
              <w:rPr>
                <w:rFonts w:hint="default" w:ascii="Times New Roman" w:hAnsi="Times New Roman" w:eastAsia="仿宋_GB2312" w:cs="Times New Roman"/>
                <w:color w:val="000000"/>
                <w:kern w:val="0"/>
                <w:sz w:val="18"/>
                <w:szCs w:val="18"/>
              </w:rPr>
              <w:br w:type="textWrapping"/>
            </w:r>
            <w:r>
              <w:rPr>
                <w:rFonts w:hint="default" w:ascii="Times New Roman" w:hAnsi="Times New Roman" w:eastAsia="仿宋_GB2312" w:cs="Times New Roman"/>
                <w:color w:val="000000"/>
                <w:kern w:val="0"/>
                <w:sz w:val="18"/>
                <w:szCs w:val="18"/>
              </w:rPr>
              <w:t>⑤项目是否与相关部门同类项目或部门内部相关项目重复。</w:t>
            </w:r>
          </w:p>
        </w:tc>
        <w:tc>
          <w:tcPr>
            <w:tcW w:w="1304" w:type="dxa"/>
            <w:gridSpan w:val="2"/>
            <w:shd w:val="clear" w:color="auto" w:fill="FFFFFF"/>
            <w:vAlign w:val="center"/>
          </w:tcPr>
          <w:p w14:paraId="6DCF3AC9">
            <w:pPr>
              <w:widowControl/>
              <w:spacing w:line="0" w:lineRule="atLeast"/>
              <w:jc w:val="center"/>
              <w:rPr>
                <w:rFonts w:hint="default" w:ascii="Times New Roman" w:hAnsi="Times New Roman" w:eastAsia="仿宋_GB2312" w:cs="Times New Roman"/>
                <w:b/>
                <w:bCs/>
                <w:color w:val="000000"/>
                <w:kern w:val="0"/>
                <w:sz w:val="18"/>
                <w:szCs w:val="18"/>
              </w:rPr>
            </w:pPr>
            <w:r>
              <w:rPr>
                <w:rFonts w:hint="default" w:ascii="Times New Roman" w:hAnsi="Times New Roman" w:eastAsia="仿宋_GB2312" w:cs="Times New Roman"/>
                <w:b/>
                <w:bCs/>
                <w:color w:val="000000"/>
                <w:kern w:val="0"/>
                <w:sz w:val="18"/>
                <w:szCs w:val="18"/>
              </w:rPr>
              <w:t>3</w:t>
            </w:r>
          </w:p>
        </w:tc>
        <w:tc>
          <w:tcPr>
            <w:tcW w:w="1365" w:type="dxa"/>
            <w:shd w:val="clear" w:color="auto" w:fill="FFFFFF"/>
            <w:vAlign w:val="center"/>
          </w:tcPr>
          <w:p w14:paraId="14CE5A70">
            <w:pPr>
              <w:widowControl/>
              <w:spacing w:line="0" w:lineRule="atLeast"/>
              <w:jc w:val="center"/>
              <w:rPr>
                <w:rFonts w:hint="eastAsia" w:ascii="Times New Roman" w:hAnsi="Times New Roman" w:eastAsia="仿宋_GB2312" w:cs="Times New Roman"/>
                <w:b/>
                <w:bCs/>
                <w:color w:val="000000"/>
                <w:kern w:val="0"/>
                <w:sz w:val="18"/>
                <w:szCs w:val="18"/>
                <w:highlight w:val="none"/>
                <w:lang w:eastAsia="zh-CN"/>
              </w:rPr>
            </w:pPr>
            <w:r>
              <w:rPr>
                <w:rFonts w:hint="eastAsia" w:eastAsia="仿宋_GB2312" w:cs="Times New Roman"/>
                <w:b/>
                <w:bCs/>
                <w:color w:val="000000"/>
                <w:kern w:val="0"/>
                <w:sz w:val="18"/>
                <w:szCs w:val="18"/>
                <w:highlight w:val="none"/>
                <w:lang w:val="en-US" w:eastAsia="zh-CN"/>
              </w:rPr>
              <w:t>3</w:t>
            </w:r>
          </w:p>
        </w:tc>
      </w:tr>
      <w:tr w14:paraId="1D145A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1002" w:type="dxa"/>
            <w:vMerge w:val="continue"/>
            <w:shd w:val="clear" w:color="auto" w:fill="FFFFFF"/>
            <w:vAlign w:val="center"/>
          </w:tcPr>
          <w:p w14:paraId="4455CC1C">
            <w:pPr>
              <w:spacing w:line="0" w:lineRule="atLeast"/>
              <w:jc w:val="center"/>
              <w:rPr>
                <w:rFonts w:hint="default" w:ascii="Times New Roman" w:hAnsi="Times New Roman" w:eastAsia="仿宋_GB2312" w:cs="Times New Roman"/>
                <w:color w:val="000000"/>
                <w:kern w:val="0"/>
                <w:sz w:val="18"/>
                <w:szCs w:val="18"/>
              </w:rPr>
            </w:pPr>
          </w:p>
        </w:tc>
        <w:tc>
          <w:tcPr>
            <w:tcW w:w="1000" w:type="dxa"/>
            <w:vMerge w:val="continue"/>
            <w:shd w:val="clear" w:color="auto" w:fill="FFFFFF"/>
            <w:vAlign w:val="center"/>
          </w:tcPr>
          <w:p w14:paraId="059F9F1A">
            <w:pPr>
              <w:widowControl/>
              <w:spacing w:line="0" w:lineRule="atLeast"/>
              <w:jc w:val="center"/>
              <w:rPr>
                <w:rFonts w:hint="default" w:ascii="Times New Roman" w:hAnsi="Times New Roman" w:eastAsia="仿宋_GB2312" w:cs="Times New Roman"/>
                <w:color w:val="000000"/>
                <w:kern w:val="0"/>
                <w:sz w:val="18"/>
                <w:szCs w:val="18"/>
              </w:rPr>
            </w:pPr>
          </w:p>
        </w:tc>
        <w:tc>
          <w:tcPr>
            <w:tcW w:w="1071" w:type="dxa"/>
            <w:shd w:val="clear" w:color="auto" w:fill="FFFFFF"/>
            <w:vAlign w:val="center"/>
          </w:tcPr>
          <w:p w14:paraId="3C2A7CC4">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立项程序</w:t>
            </w:r>
          </w:p>
          <w:p w14:paraId="08632004">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规范性</w:t>
            </w:r>
          </w:p>
        </w:tc>
        <w:tc>
          <w:tcPr>
            <w:tcW w:w="1725" w:type="dxa"/>
            <w:shd w:val="clear" w:color="auto" w:fill="FFFFFF"/>
            <w:vAlign w:val="center"/>
          </w:tcPr>
          <w:p w14:paraId="54A283EF">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项目申请、设立过程是否符合相关要求，用以反映和考核项目立项的规范情况。</w:t>
            </w:r>
          </w:p>
        </w:tc>
        <w:tc>
          <w:tcPr>
            <w:tcW w:w="5216" w:type="dxa"/>
            <w:shd w:val="clear" w:color="auto" w:fill="FFFFFF"/>
            <w:vAlign w:val="center"/>
          </w:tcPr>
          <w:p w14:paraId="3F737A03">
            <w:pPr>
              <w:widowControl/>
              <w:spacing w:line="0" w:lineRule="atLeast"/>
              <w:jc w:val="lef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评价要点：</w:t>
            </w:r>
            <w:r>
              <w:rPr>
                <w:rFonts w:hint="default" w:ascii="Times New Roman" w:hAnsi="Times New Roman" w:eastAsia="仿宋_GB2312" w:cs="Times New Roman"/>
                <w:color w:val="000000"/>
                <w:kern w:val="0"/>
                <w:sz w:val="18"/>
                <w:szCs w:val="18"/>
              </w:rPr>
              <w:br w:type="textWrapping"/>
            </w:r>
            <w:r>
              <w:rPr>
                <w:rFonts w:hint="default" w:ascii="Times New Roman" w:hAnsi="Times New Roman" w:eastAsia="仿宋_GB2312" w:cs="Times New Roman"/>
                <w:color w:val="000000"/>
                <w:kern w:val="0"/>
                <w:sz w:val="18"/>
                <w:szCs w:val="18"/>
              </w:rPr>
              <w:t>①项目是否按照规定的程序申请设立；</w:t>
            </w:r>
            <w:r>
              <w:rPr>
                <w:rFonts w:hint="default" w:ascii="Times New Roman" w:hAnsi="Times New Roman" w:eastAsia="仿宋_GB2312" w:cs="Times New Roman"/>
                <w:color w:val="000000"/>
                <w:kern w:val="0"/>
                <w:sz w:val="18"/>
                <w:szCs w:val="18"/>
              </w:rPr>
              <w:br w:type="textWrapping"/>
            </w:r>
            <w:r>
              <w:rPr>
                <w:rFonts w:hint="default" w:ascii="Times New Roman" w:hAnsi="Times New Roman" w:eastAsia="仿宋_GB2312" w:cs="Times New Roman"/>
                <w:color w:val="000000"/>
                <w:kern w:val="0"/>
                <w:sz w:val="18"/>
                <w:szCs w:val="18"/>
              </w:rPr>
              <w:t>②审批文件、材料是否符合相关要求；</w:t>
            </w:r>
            <w:r>
              <w:rPr>
                <w:rFonts w:hint="default" w:ascii="Times New Roman" w:hAnsi="Times New Roman" w:eastAsia="仿宋_GB2312" w:cs="Times New Roman"/>
                <w:color w:val="000000"/>
                <w:kern w:val="0"/>
                <w:sz w:val="18"/>
                <w:szCs w:val="18"/>
              </w:rPr>
              <w:br w:type="textWrapping"/>
            </w:r>
            <w:r>
              <w:rPr>
                <w:rFonts w:hint="default" w:ascii="Times New Roman" w:hAnsi="Times New Roman" w:eastAsia="仿宋_GB2312" w:cs="Times New Roman"/>
                <w:color w:val="000000"/>
                <w:kern w:val="0"/>
                <w:sz w:val="18"/>
                <w:szCs w:val="18"/>
              </w:rPr>
              <w:t>③事前是否已经过必要的可行性研究、专家论证、风险评估、绩效评估、集体决策。</w:t>
            </w:r>
          </w:p>
        </w:tc>
        <w:tc>
          <w:tcPr>
            <w:tcW w:w="1304" w:type="dxa"/>
            <w:gridSpan w:val="2"/>
            <w:shd w:val="clear" w:color="auto" w:fill="FFFFFF"/>
            <w:vAlign w:val="center"/>
          </w:tcPr>
          <w:p w14:paraId="22B00E0E">
            <w:pPr>
              <w:widowControl/>
              <w:spacing w:line="0" w:lineRule="atLeast"/>
              <w:jc w:val="center"/>
              <w:rPr>
                <w:rFonts w:hint="default" w:ascii="Times New Roman" w:hAnsi="Times New Roman" w:eastAsia="仿宋_GB2312" w:cs="Times New Roman"/>
                <w:b/>
                <w:bCs/>
                <w:color w:val="000000"/>
                <w:kern w:val="0"/>
                <w:sz w:val="18"/>
                <w:szCs w:val="18"/>
              </w:rPr>
            </w:pPr>
            <w:r>
              <w:rPr>
                <w:rFonts w:hint="default" w:ascii="Times New Roman" w:hAnsi="Times New Roman" w:eastAsia="仿宋_GB2312" w:cs="Times New Roman"/>
                <w:b/>
                <w:bCs/>
                <w:color w:val="000000"/>
                <w:kern w:val="0"/>
                <w:sz w:val="18"/>
                <w:szCs w:val="18"/>
              </w:rPr>
              <w:t>3</w:t>
            </w:r>
          </w:p>
        </w:tc>
        <w:tc>
          <w:tcPr>
            <w:tcW w:w="1365" w:type="dxa"/>
            <w:shd w:val="clear" w:color="auto" w:fill="FFFFFF"/>
            <w:vAlign w:val="center"/>
          </w:tcPr>
          <w:p w14:paraId="3520EE8C">
            <w:pPr>
              <w:widowControl/>
              <w:spacing w:line="0" w:lineRule="atLeast"/>
              <w:jc w:val="center"/>
              <w:rPr>
                <w:rFonts w:hint="eastAsia" w:ascii="Times New Roman" w:hAnsi="Times New Roman" w:eastAsia="仿宋_GB2312" w:cs="Times New Roman"/>
                <w:b/>
                <w:bCs/>
                <w:color w:val="000000"/>
                <w:kern w:val="0"/>
                <w:sz w:val="18"/>
                <w:szCs w:val="18"/>
                <w:highlight w:val="none"/>
                <w:lang w:eastAsia="zh-CN"/>
              </w:rPr>
            </w:pPr>
            <w:r>
              <w:rPr>
                <w:rFonts w:hint="eastAsia" w:eastAsia="仿宋_GB2312" w:cs="Times New Roman"/>
                <w:b/>
                <w:bCs/>
                <w:color w:val="000000"/>
                <w:kern w:val="0"/>
                <w:sz w:val="18"/>
                <w:szCs w:val="18"/>
                <w:highlight w:val="none"/>
                <w:lang w:val="en-US" w:eastAsia="zh-CN"/>
              </w:rPr>
              <w:t>3</w:t>
            </w:r>
          </w:p>
        </w:tc>
      </w:tr>
      <w:tr w14:paraId="118FC1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1002" w:type="dxa"/>
            <w:vMerge w:val="continue"/>
            <w:shd w:val="clear" w:color="auto" w:fill="FFFFFF"/>
            <w:vAlign w:val="center"/>
          </w:tcPr>
          <w:p w14:paraId="1A9E541F">
            <w:pPr>
              <w:spacing w:line="0" w:lineRule="atLeast"/>
              <w:jc w:val="center"/>
              <w:rPr>
                <w:rFonts w:hint="default" w:ascii="Times New Roman" w:hAnsi="Times New Roman" w:eastAsia="仿宋_GB2312" w:cs="Times New Roman"/>
                <w:color w:val="000000"/>
                <w:kern w:val="0"/>
                <w:sz w:val="18"/>
                <w:szCs w:val="18"/>
              </w:rPr>
            </w:pPr>
          </w:p>
        </w:tc>
        <w:tc>
          <w:tcPr>
            <w:tcW w:w="1000" w:type="dxa"/>
            <w:vMerge w:val="restart"/>
            <w:shd w:val="clear" w:color="auto" w:fill="FFFFFF"/>
            <w:vAlign w:val="center"/>
          </w:tcPr>
          <w:p w14:paraId="4F684C18">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绩效目标　</w:t>
            </w:r>
          </w:p>
        </w:tc>
        <w:tc>
          <w:tcPr>
            <w:tcW w:w="1071" w:type="dxa"/>
            <w:shd w:val="clear" w:color="auto" w:fill="FFFFFF"/>
            <w:vAlign w:val="center"/>
          </w:tcPr>
          <w:p w14:paraId="7348CA46">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绩效目标</w:t>
            </w:r>
          </w:p>
          <w:p w14:paraId="1696D341">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合理性</w:t>
            </w:r>
          </w:p>
        </w:tc>
        <w:tc>
          <w:tcPr>
            <w:tcW w:w="1725" w:type="dxa"/>
            <w:shd w:val="clear" w:color="000000" w:fill="FFFFFF"/>
            <w:vAlign w:val="center"/>
          </w:tcPr>
          <w:p w14:paraId="612545B2">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项目所设定的绩效目标是否依据充分，是否符合客观实际，用以反映和考核项目绩效目标与项目实施的相符情况。</w:t>
            </w:r>
          </w:p>
        </w:tc>
        <w:tc>
          <w:tcPr>
            <w:tcW w:w="5216" w:type="dxa"/>
            <w:shd w:val="clear" w:color="000000" w:fill="FFFFFF"/>
            <w:vAlign w:val="center"/>
          </w:tcPr>
          <w:p w14:paraId="32B03B2A">
            <w:pPr>
              <w:widowControl/>
              <w:spacing w:line="0" w:lineRule="atLeast"/>
              <w:jc w:val="lef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评价要点：</w:t>
            </w:r>
            <w:r>
              <w:rPr>
                <w:rFonts w:hint="default" w:ascii="Times New Roman" w:hAnsi="Times New Roman" w:eastAsia="仿宋_GB2312" w:cs="Times New Roman"/>
                <w:color w:val="000000"/>
                <w:kern w:val="0"/>
                <w:sz w:val="18"/>
                <w:szCs w:val="18"/>
              </w:rPr>
              <w:br w:type="textWrapping"/>
            </w:r>
            <w:r>
              <w:rPr>
                <w:rFonts w:hint="default" w:ascii="Times New Roman" w:hAnsi="Times New Roman" w:eastAsia="仿宋_GB2312" w:cs="Times New Roman"/>
                <w:color w:val="000000"/>
                <w:kern w:val="0"/>
                <w:sz w:val="18"/>
                <w:szCs w:val="18"/>
              </w:rPr>
              <w:t>（如未设定预算绩效目标，也可考核其他工作任务目标）</w:t>
            </w:r>
            <w:r>
              <w:rPr>
                <w:rFonts w:hint="default" w:ascii="Times New Roman" w:hAnsi="Times New Roman" w:eastAsia="仿宋_GB2312" w:cs="Times New Roman"/>
                <w:color w:val="000000"/>
                <w:kern w:val="0"/>
                <w:sz w:val="18"/>
                <w:szCs w:val="18"/>
              </w:rPr>
              <w:br w:type="textWrapping"/>
            </w:r>
            <w:r>
              <w:rPr>
                <w:rFonts w:hint="default" w:ascii="Times New Roman" w:hAnsi="Times New Roman" w:eastAsia="仿宋_GB2312" w:cs="Times New Roman"/>
                <w:color w:val="000000"/>
                <w:kern w:val="0"/>
                <w:sz w:val="18"/>
                <w:szCs w:val="18"/>
              </w:rPr>
              <w:t>①项目是否有绩效目标；</w:t>
            </w:r>
            <w:r>
              <w:rPr>
                <w:rFonts w:hint="default" w:ascii="Times New Roman" w:hAnsi="Times New Roman" w:eastAsia="仿宋_GB2312" w:cs="Times New Roman"/>
                <w:color w:val="000000"/>
                <w:kern w:val="0"/>
                <w:sz w:val="18"/>
                <w:szCs w:val="18"/>
              </w:rPr>
              <w:br w:type="textWrapping"/>
            </w:r>
            <w:r>
              <w:rPr>
                <w:rFonts w:hint="default" w:ascii="Times New Roman" w:hAnsi="Times New Roman" w:eastAsia="仿宋_GB2312" w:cs="Times New Roman"/>
                <w:color w:val="000000"/>
                <w:kern w:val="0"/>
                <w:sz w:val="18"/>
                <w:szCs w:val="18"/>
              </w:rPr>
              <w:t>②项目绩效目标与实际工作内容是否具有相关性；</w:t>
            </w:r>
            <w:r>
              <w:rPr>
                <w:rFonts w:hint="default" w:ascii="Times New Roman" w:hAnsi="Times New Roman" w:eastAsia="仿宋_GB2312" w:cs="Times New Roman"/>
                <w:color w:val="000000"/>
                <w:kern w:val="0"/>
                <w:sz w:val="18"/>
                <w:szCs w:val="18"/>
              </w:rPr>
              <w:br w:type="textWrapping"/>
            </w:r>
            <w:r>
              <w:rPr>
                <w:rFonts w:hint="default" w:ascii="Times New Roman" w:hAnsi="Times New Roman" w:eastAsia="仿宋_GB2312" w:cs="Times New Roman"/>
                <w:color w:val="000000"/>
                <w:kern w:val="0"/>
                <w:sz w:val="18"/>
                <w:szCs w:val="18"/>
              </w:rPr>
              <w:t>③项目预期产出效益和效果是否符合正常的业绩水平；</w:t>
            </w:r>
          </w:p>
          <w:p w14:paraId="2CF63613">
            <w:pPr>
              <w:widowControl/>
              <w:spacing w:line="0" w:lineRule="atLeast"/>
              <w:jc w:val="lef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④是否与预算确定的项目投资额或资金量相匹配。</w:t>
            </w:r>
          </w:p>
        </w:tc>
        <w:tc>
          <w:tcPr>
            <w:tcW w:w="1304" w:type="dxa"/>
            <w:gridSpan w:val="2"/>
            <w:shd w:val="clear" w:color="000000" w:fill="FFFFFF"/>
            <w:vAlign w:val="center"/>
          </w:tcPr>
          <w:p w14:paraId="64FC432F">
            <w:pPr>
              <w:widowControl/>
              <w:spacing w:line="0" w:lineRule="atLeast"/>
              <w:jc w:val="center"/>
              <w:rPr>
                <w:rFonts w:hint="default" w:ascii="Times New Roman" w:hAnsi="Times New Roman" w:eastAsia="仿宋_GB2312" w:cs="Times New Roman"/>
                <w:b/>
                <w:bCs/>
                <w:color w:val="000000"/>
                <w:kern w:val="0"/>
                <w:sz w:val="18"/>
                <w:szCs w:val="18"/>
              </w:rPr>
            </w:pPr>
            <w:r>
              <w:rPr>
                <w:rFonts w:hint="default" w:ascii="Times New Roman" w:hAnsi="Times New Roman" w:eastAsia="仿宋_GB2312" w:cs="Times New Roman"/>
                <w:b/>
                <w:bCs/>
                <w:color w:val="000000"/>
                <w:kern w:val="0"/>
                <w:sz w:val="18"/>
                <w:szCs w:val="18"/>
              </w:rPr>
              <w:t>3</w:t>
            </w:r>
          </w:p>
        </w:tc>
        <w:tc>
          <w:tcPr>
            <w:tcW w:w="1365" w:type="dxa"/>
            <w:shd w:val="clear" w:color="000000" w:fill="FFFFFF"/>
            <w:vAlign w:val="center"/>
          </w:tcPr>
          <w:p w14:paraId="65B89AAC">
            <w:pPr>
              <w:widowControl/>
              <w:spacing w:line="0" w:lineRule="atLeast"/>
              <w:jc w:val="center"/>
              <w:rPr>
                <w:rFonts w:hint="eastAsia" w:ascii="Times New Roman" w:hAnsi="Times New Roman" w:eastAsia="仿宋_GB2312" w:cs="Times New Roman"/>
                <w:b/>
                <w:bCs/>
                <w:color w:val="000000"/>
                <w:kern w:val="0"/>
                <w:sz w:val="18"/>
                <w:szCs w:val="18"/>
                <w:highlight w:val="none"/>
                <w:lang w:eastAsia="zh-CN"/>
              </w:rPr>
            </w:pPr>
            <w:r>
              <w:rPr>
                <w:rFonts w:hint="eastAsia" w:eastAsia="仿宋_GB2312" w:cs="Times New Roman"/>
                <w:b/>
                <w:bCs/>
                <w:color w:val="000000"/>
                <w:kern w:val="0"/>
                <w:sz w:val="18"/>
                <w:szCs w:val="18"/>
                <w:highlight w:val="none"/>
                <w:lang w:val="en-US" w:eastAsia="zh-CN"/>
              </w:rPr>
              <w:t>3</w:t>
            </w:r>
          </w:p>
        </w:tc>
      </w:tr>
      <w:tr w14:paraId="451C40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464" w:hRule="atLeast"/>
          <w:jc w:val="center"/>
        </w:trPr>
        <w:tc>
          <w:tcPr>
            <w:tcW w:w="1002" w:type="dxa"/>
            <w:vMerge w:val="continue"/>
            <w:shd w:val="clear" w:color="auto" w:fill="FFFFFF"/>
            <w:vAlign w:val="center"/>
          </w:tcPr>
          <w:p w14:paraId="2E26D48A">
            <w:pPr>
              <w:widowControl/>
              <w:spacing w:line="0" w:lineRule="atLeast"/>
              <w:jc w:val="center"/>
              <w:rPr>
                <w:rFonts w:hint="default" w:ascii="Times New Roman" w:hAnsi="Times New Roman" w:eastAsia="仿宋_GB2312" w:cs="Times New Roman"/>
                <w:color w:val="000000"/>
                <w:kern w:val="0"/>
                <w:sz w:val="18"/>
                <w:szCs w:val="18"/>
              </w:rPr>
            </w:pPr>
          </w:p>
        </w:tc>
        <w:tc>
          <w:tcPr>
            <w:tcW w:w="1000" w:type="dxa"/>
            <w:vMerge w:val="continue"/>
            <w:shd w:val="clear" w:color="auto" w:fill="FFFFFF"/>
            <w:vAlign w:val="center"/>
          </w:tcPr>
          <w:p w14:paraId="7F0E43D6">
            <w:pPr>
              <w:widowControl/>
              <w:spacing w:line="0" w:lineRule="atLeast"/>
              <w:jc w:val="center"/>
              <w:rPr>
                <w:rFonts w:hint="default" w:ascii="Times New Roman" w:hAnsi="Times New Roman" w:eastAsia="仿宋_GB2312" w:cs="Times New Roman"/>
                <w:color w:val="000000"/>
                <w:kern w:val="0"/>
                <w:sz w:val="18"/>
                <w:szCs w:val="18"/>
              </w:rPr>
            </w:pPr>
          </w:p>
        </w:tc>
        <w:tc>
          <w:tcPr>
            <w:tcW w:w="1071" w:type="dxa"/>
            <w:shd w:val="clear" w:color="auto" w:fill="FFFFFF"/>
            <w:vAlign w:val="center"/>
          </w:tcPr>
          <w:p w14:paraId="58AF82AA">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绩效指标</w:t>
            </w:r>
          </w:p>
          <w:p w14:paraId="26E96E50">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明确性</w:t>
            </w:r>
          </w:p>
        </w:tc>
        <w:tc>
          <w:tcPr>
            <w:tcW w:w="1725" w:type="dxa"/>
            <w:shd w:val="clear" w:color="000000" w:fill="FFFFFF"/>
            <w:vAlign w:val="center"/>
          </w:tcPr>
          <w:p w14:paraId="47D8929E">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依据绩效目标设定的绩效指标是否清晰、细化、可衡量等，用以反映和考核项目绩效目标的明细化情况。</w:t>
            </w:r>
          </w:p>
        </w:tc>
        <w:tc>
          <w:tcPr>
            <w:tcW w:w="5216" w:type="dxa"/>
            <w:shd w:val="clear" w:color="000000" w:fill="FFFFFF"/>
            <w:vAlign w:val="center"/>
          </w:tcPr>
          <w:p w14:paraId="315AEF4A">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评价要点：</w:t>
            </w:r>
            <w:r>
              <w:rPr>
                <w:rFonts w:hint="default" w:ascii="Times New Roman" w:hAnsi="Times New Roman" w:eastAsia="仿宋_GB2312" w:cs="Times New Roman"/>
                <w:color w:val="000000"/>
                <w:kern w:val="0"/>
                <w:sz w:val="18"/>
                <w:szCs w:val="18"/>
              </w:rPr>
              <w:br w:type="textWrapping"/>
            </w:r>
            <w:r>
              <w:rPr>
                <w:rFonts w:hint="default" w:ascii="Times New Roman" w:hAnsi="Times New Roman" w:eastAsia="仿宋_GB2312" w:cs="Times New Roman"/>
                <w:color w:val="000000"/>
                <w:kern w:val="0"/>
                <w:sz w:val="18"/>
                <w:szCs w:val="18"/>
              </w:rPr>
              <w:t>①是否将项目绩效目标细化分解为具体的绩效指标；</w:t>
            </w:r>
            <w:r>
              <w:rPr>
                <w:rFonts w:hint="default" w:ascii="Times New Roman" w:hAnsi="Times New Roman" w:eastAsia="仿宋_GB2312" w:cs="Times New Roman"/>
                <w:color w:val="000000"/>
                <w:kern w:val="0"/>
                <w:sz w:val="18"/>
                <w:szCs w:val="18"/>
              </w:rPr>
              <w:br w:type="textWrapping"/>
            </w:r>
            <w:r>
              <w:rPr>
                <w:rFonts w:hint="default" w:ascii="Times New Roman" w:hAnsi="Times New Roman" w:eastAsia="仿宋_GB2312" w:cs="Times New Roman"/>
                <w:color w:val="000000"/>
                <w:kern w:val="0"/>
                <w:sz w:val="18"/>
                <w:szCs w:val="18"/>
              </w:rPr>
              <w:t>②是否通过清晰、可衡量的指标值予以体现；</w:t>
            </w:r>
            <w:r>
              <w:rPr>
                <w:rFonts w:hint="default" w:ascii="Times New Roman" w:hAnsi="Times New Roman" w:eastAsia="仿宋_GB2312" w:cs="Times New Roman"/>
                <w:color w:val="000000"/>
                <w:kern w:val="0"/>
                <w:sz w:val="18"/>
                <w:szCs w:val="18"/>
              </w:rPr>
              <w:br w:type="textWrapping"/>
            </w:r>
            <w:r>
              <w:rPr>
                <w:rFonts w:hint="default" w:ascii="Times New Roman" w:hAnsi="Times New Roman" w:eastAsia="仿宋_GB2312" w:cs="Times New Roman"/>
                <w:color w:val="000000"/>
                <w:kern w:val="0"/>
                <w:sz w:val="18"/>
                <w:szCs w:val="18"/>
              </w:rPr>
              <w:t>③是否与项目目标任务数或计划数相对应。</w:t>
            </w:r>
            <w:r>
              <w:rPr>
                <w:rFonts w:hint="default" w:ascii="Times New Roman" w:hAnsi="Times New Roman" w:eastAsia="仿宋_GB2312" w:cs="Times New Roman"/>
                <w:color w:val="000000"/>
                <w:kern w:val="0"/>
                <w:sz w:val="18"/>
                <w:szCs w:val="18"/>
              </w:rPr>
              <w:br w:type="textWrapping"/>
            </w:r>
          </w:p>
        </w:tc>
        <w:tc>
          <w:tcPr>
            <w:tcW w:w="1304" w:type="dxa"/>
            <w:gridSpan w:val="2"/>
            <w:shd w:val="clear" w:color="000000" w:fill="FFFFFF"/>
            <w:vAlign w:val="center"/>
          </w:tcPr>
          <w:p w14:paraId="4AC56FB1">
            <w:pPr>
              <w:widowControl/>
              <w:spacing w:line="0" w:lineRule="atLeast"/>
              <w:jc w:val="center"/>
              <w:rPr>
                <w:rFonts w:hint="default" w:ascii="Times New Roman" w:hAnsi="Times New Roman" w:eastAsia="仿宋_GB2312" w:cs="Times New Roman"/>
                <w:b/>
                <w:bCs/>
                <w:color w:val="000000"/>
                <w:kern w:val="0"/>
                <w:sz w:val="18"/>
                <w:szCs w:val="18"/>
              </w:rPr>
            </w:pPr>
            <w:r>
              <w:rPr>
                <w:rFonts w:hint="default" w:ascii="Times New Roman" w:hAnsi="Times New Roman" w:eastAsia="仿宋_GB2312" w:cs="Times New Roman"/>
                <w:b/>
                <w:bCs/>
                <w:color w:val="000000"/>
                <w:kern w:val="0"/>
                <w:sz w:val="18"/>
                <w:szCs w:val="18"/>
              </w:rPr>
              <w:t>3</w:t>
            </w:r>
          </w:p>
        </w:tc>
        <w:tc>
          <w:tcPr>
            <w:tcW w:w="1365" w:type="dxa"/>
            <w:shd w:val="clear" w:color="000000" w:fill="FFFFFF"/>
            <w:vAlign w:val="center"/>
          </w:tcPr>
          <w:p w14:paraId="4C791A1F">
            <w:pPr>
              <w:widowControl/>
              <w:spacing w:line="0" w:lineRule="atLeast"/>
              <w:jc w:val="center"/>
              <w:rPr>
                <w:rFonts w:hint="eastAsia" w:ascii="Times New Roman" w:hAnsi="Times New Roman" w:eastAsia="仿宋_GB2312" w:cs="Times New Roman"/>
                <w:b/>
                <w:bCs/>
                <w:color w:val="000000"/>
                <w:kern w:val="0"/>
                <w:sz w:val="18"/>
                <w:szCs w:val="18"/>
                <w:highlight w:val="none"/>
                <w:lang w:eastAsia="zh-CN"/>
              </w:rPr>
            </w:pPr>
            <w:r>
              <w:rPr>
                <w:rFonts w:hint="eastAsia" w:eastAsia="仿宋_GB2312" w:cs="Times New Roman"/>
                <w:b/>
                <w:bCs/>
                <w:color w:val="000000"/>
                <w:kern w:val="0"/>
                <w:sz w:val="18"/>
                <w:szCs w:val="18"/>
                <w:highlight w:val="none"/>
                <w:lang w:val="en-US" w:eastAsia="zh-CN"/>
              </w:rPr>
              <w:t>3</w:t>
            </w:r>
          </w:p>
        </w:tc>
      </w:tr>
      <w:tr w14:paraId="068F36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942" w:hRule="atLeast"/>
          <w:jc w:val="center"/>
        </w:trPr>
        <w:tc>
          <w:tcPr>
            <w:tcW w:w="1002" w:type="dxa"/>
            <w:vMerge w:val="continue"/>
            <w:shd w:val="clear" w:color="auto" w:fill="FFFFFF"/>
            <w:vAlign w:val="center"/>
          </w:tcPr>
          <w:p w14:paraId="33759302">
            <w:pPr>
              <w:spacing w:line="0" w:lineRule="atLeast"/>
              <w:jc w:val="center"/>
              <w:rPr>
                <w:rFonts w:hint="default" w:ascii="Times New Roman" w:hAnsi="Times New Roman" w:eastAsia="仿宋_GB2312" w:cs="Times New Roman"/>
                <w:color w:val="000000"/>
                <w:kern w:val="0"/>
                <w:sz w:val="18"/>
                <w:szCs w:val="18"/>
              </w:rPr>
            </w:pPr>
          </w:p>
        </w:tc>
        <w:tc>
          <w:tcPr>
            <w:tcW w:w="1000" w:type="dxa"/>
            <w:vMerge w:val="restart"/>
            <w:shd w:val="clear" w:color="auto" w:fill="FFFFFF"/>
            <w:vAlign w:val="center"/>
          </w:tcPr>
          <w:p w14:paraId="04CCCBA2">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资金投入</w:t>
            </w:r>
          </w:p>
          <w:p w14:paraId="0385BD79">
            <w:pPr>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　</w:t>
            </w:r>
          </w:p>
        </w:tc>
        <w:tc>
          <w:tcPr>
            <w:tcW w:w="1071" w:type="dxa"/>
            <w:shd w:val="clear" w:color="auto" w:fill="FFFFFF"/>
            <w:vAlign w:val="center"/>
          </w:tcPr>
          <w:p w14:paraId="6B647C04">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预算编制</w:t>
            </w:r>
          </w:p>
          <w:p w14:paraId="72E6BF1A">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科学性</w:t>
            </w:r>
          </w:p>
        </w:tc>
        <w:tc>
          <w:tcPr>
            <w:tcW w:w="1725" w:type="dxa"/>
            <w:shd w:val="clear" w:color="auto" w:fill="FFFFFF"/>
            <w:vAlign w:val="center"/>
          </w:tcPr>
          <w:p w14:paraId="15E246EE">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项目预算编制是否经过科学论证、有明确标准，资金额度与年度目标是否相适应，用以反映和考核项目预算编制的科学性、合理性情况。</w:t>
            </w:r>
          </w:p>
        </w:tc>
        <w:tc>
          <w:tcPr>
            <w:tcW w:w="5216" w:type="dxa"/>
            <w:shd w:val="clear" w:color="auto" w:fill="FFFFFF"/>
            <w:vAlign w:val="center"/>
          </w:tcPr>
          <w:p w14:paraId="70D01799">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评价要点：</w:t>
            </w:r>
            <w:r>
              <w:rPr>
                <w:rFonts w:hint="default" w:ascii="Times New Roman" w:hAnsi="Times New Roman" w:eastAsia="仿宋_GB2312" w:cs="Times New Roman"/>
                <w:color w:val="000000"/>
                <w:kern w:val="0"/>
                <w:sz w:val="18"/>
                <w:szCs w:val="18"/>
              </w:rPr>
              <w:br w:type="textWrapping"/>
            </w:r>
            <w:r>
              <w:rPr>
                <w:rFonts w:hint="default" w:ascii="Times New Roman" w:hAnsi="Times New Roman" w:eastAsia="仿宋_GB2312" w:cs="Times New Roman"/>
                <w:color w:val="000000"/>
                <w:kern w:val="0"/>
                <w:sz w:val="18"/>
                <w:szCs w:val="18"/>
              </w:rPr>
              <w:t>①预算编制是否经过科学论证；</w:t>
            </w:r>
            <w:r>
              <w:rPr>
                <w:rFonts w:hint="default" w:ascii="Times New Roman" w:hAnsi="Times New Roman" w:eastAsia="仿宋_GB2312" w:cs="Times New Roman"/>
                <w:color w:val="000000"/>
                <w:kern w:val="0"/>
                <w:sz w:val="18"/>
                <w:szCs w:val="18"/>
              </w:rPr>
              <w:br w:type="textWrapping"/>
            </w:r>
            <w:r>
              <w:rPr>
                <w:rFonts w:hint="default" w:ascii="Times New Roman" w:hAnsi="Times New Roman" w:eastAsia="仿宋_GB2312" w:cs="Times New Roman"/>
                <w:color w:val="000000"/>
                <w:kern w:val="0"/>
                <w:sz w:val="18"/>
                <w:szCs w:val="18"/>
              </w:rPr>
              <w:t>②预算内容与项目内容是否匹配；</w:t>
            </w:r>
            <w:r>
              <w:rPr>
                <w:rFonts w:hint="default" w:ascii="Times New Roman" w:hAnsi="Times New Roman" w:eastAsia="仿宋_GB2312" w:cs="Times New Roman"/>
                <w:color w:val="000000"/>
                <w:kern w:val="0"/>
                <w:sz w:val="18"/>
                <w:szCs w:val="18"/>
              </w:rPr>
              <w:br w:type="textWrapping"/>
            </w:r>
            <w:r>
              <w:rPr>
                <w:rFonts w:hint="default" w:ascii="Times New Roman" w:hAnsi="Times New Roman" w:eastAsia="仿宋_GB2312" w:cs="Times New Roman"/>
                <w:color w:val="000000"/>
                <w:kern w:val="0"/>
                <w:sz w:val="18"/>
                <w:szCs w:val="18"/>
              </w:rPr>
              <w:t>③预算额度测算依据是否充分，是否按照标准编制；</w:t>
            </w:r>
            <w:r>
              <w:rPr>
                <w:rFonts w:hint="default" w:ascii="Times New Roman" w:hAnsi="Times New Roman" w:eastAsia="仿宋_GB2312" w:cs="Times New Roman"/>
                <w:color w:val="000000"/>
                <w:kern w:val="0"/>
                <w:sz w:val="18"/>
                <w:szCs w:val="18"/>
              </w:rPr>
              <w:br w:type="textWrapping"/>
            </w:r>
            <w:r>
              <w:rPr>
                <w:rFonts w:hint="default" w:ascii="Times New Roman" w:hAnsi="Times New Roman" w:eastAsia="仿宋_GB2312" w:cs="Times New Roman"/>
                <w:color w:val="000000"/>
                <w:kern w:val="0"/>
                <w:sz w:val="18"/>
                <w:szCs w:val="18"/>
              </w:rPr>
              <w:t>④预算确定的项目投资额或资金量是否与工作任务相匹配。</w:t>
            </w:r>
          </w:p>
        </w:tc>
        <w:tc>
          <w:tcPr>
            <w:tcW w:w="1304" w:type="dxa"/>
            <w:gridSpan w:val="2"/>
            <w:shd w:val="clear" w:color="auto" w:fill="FFFFFF"/>
            <w:vAlign w:val="center"/>
          </w:tcPr>
          <w:p w14:paraId="66F9D0DE">
            <w:pPr>
              <w:widowControl/>
              <w:spacing w:line="0" w:lineRule="atLeast"/>
              <w:jc w:val="center"/>
              <w:rPr>
                <w:rFonts w:hint="default" w:ascii="Times New Roman" w:hAnsi="Times New Roman" w:eastAsia="仿宋_GB2312" w:cs="Times New Roman"/>
                <w:b/>
                <w:bCs/>
                <w:color w:val="000000"/>
                <w:kern w:val="0"/>
                <w:sz w:val="18"/>
                <w:szCs w:val="18"/>
              </w:rPr>
            </w:pPr>
            <w:r>
              <w:rPr>
                <w:rFonts w:hint="default" w:ascii="Times New Roman" w:hAnsi="Times New Roman" w:eastAsia="仿宋_GB2312" w:cs="Times New Roman"/>
                <w:b/>
                <w:bCs/>
                <w:color w:val="000000"/>
                <w:kern w:val="0"/>
                <w:sz w:val="18"/>
                <w:szCs w:val="18"/>
              </w:rPr>
              <w:t>4</w:t>
            </w:r>
          </w:p>
        </w:tc>
        <w:tc>
          <w:tcPr>
            <w:tcW w:w="1365" w:type="dxa"/>
            <w:shd w:val="clear" w:color="auto" w:fill="FFFFFF"/>
            <w:vAlign w:val="center"/>
          </w:tcPr>
          <w:p w14:paraId="4C1F9B0B">
            <w:pPr>
              <w:widowControl/>
              <w:spacing w:line="0" w:lineRule="atLeast"/>
              <w:jc w:val="center"/>
              <w:rPr>
                <w:rFonts w:hint="eastAsia" w:ascii="Times New Roman" w:hAnsi="Times New Roman" w:eastAsia="仿宋_GB2312" w:cs="Times New Roman"/>
                <w:b/>
                <w:bCs/>
                <w:color w:val="000000"/>
                <w:kern w:val="0"/>
                <w:sz w:val="18"/>
                <w:szCs w:val="18"/>
                <w:highlight w:val="none"/>
                <w:lang w:eastAsia="zh-CN"/>
              </w:rPr>
            </w:pPr>
            <w:r>
              <w:rPr>
                <w:rFonts w:hint="eastAsia" w:eastAsia="仿宋_GB2312" w:cs="Times New Roman"/>
                <w:b/>
                <w:bCs/>
                <w:color w:val="000000"/>
                <w:kern w:val="0"/>
                <w:sz w:val="18"/>
                <w:szCs w:val="18"/>
                <w:highlight w:val="none"/>
                <w:lang w:val="en-US" w:eastAsia="zh-CN"/>
              </w:rPr>
              <w:t>4</w:t>
            </w:r>
          </w:p>
        </w:tc>
      </w:tr>
      <w:tr w14:paraId="028B4E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06" w:hRule="atLeast"/>
          <w:jc w:val="center"/>
        </w:trPr>
        <w:tc>
          <w:tcPr>
            <w:tcW w:w="1002" w:type="dxa"/>
            <w:vMerge w:val="continue"/>
            <w:shd w:val="clear" w:color="auto" w:fill="FFFFFF"/>
            <w:vAlign w:val="center"/>
          </w:tcPr>
          <w:p w14:paraId="36405961">
            <w:pPr>
              <w:widowControl/>
              <w:spacing w:line="0" w:lineRule="atLeast"/>
              <w:jc w:val="center"/>
              <w:rPr>
                <w:rFonts w:hint="default" w:ascii="Times New Roman" w:hAnsi="Times New Roman" w:eastAsia="仿宋_GB2312" w:cs="Times New Roman"/>
                <w:color w:val="000000"/>
                <w:kern w:val="0"/>
                <w:sz w:val="18"/>
                <w:szCs w:val="18"/>
              </w:rPr>
            </w:pPr>
          </w:p>
        </w:tc>
        <w:tc>
          <w:tcPr>
            <w:tcW w:w="1000" w:type="dxa"/>
            <w:vMerge w:val="continue"/>
            <w:shd w:val="clear" w:color="auto" w:fill="FFFFFF"/>
            <w:vAlign w:val="center"/>
          </w:tcPr>
          <w:p w14:paraId="18FC315E">
            <w:pPr>
              <w:widowControl/>
              <w:spacing w:line="0" w:lineRule="atLeast"/>
              <w:jc w:val="center"/>
              <w:rPr>
                <w:rFonts w:hint="default" w:ascii="Times New Roman" w:hAnsi="Times New Roman" w:eastAsia="仿宋_GB2312" w:cs="Times New Roman"/>
                <w:color w:val="000000"/>
                <w:kern w:val="0"/>
                <w:sz w:val="18"/>
                <w:szCs w:val="18"/>
              </w:rPr>
            </w:pPr>
          </w:p>
        </w:tc>
        <w:tc>
          <w:tcPr>
            <w:tcW w:w="1071" w:type="dxa"/>
            <w:shd w:val="clear" w:color="auto" w:fill="FFFFFF"/>
            <w:vAlign w:val="center"/>
          </w:tcPr>
          <w:p w14:paraId="5181E8B2">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资金分配</w:t>
            </w:r>
          </w:p>
          <w:p w14:paraId="52E4C9A5">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合理性</w:t>
            </w:r>
          </w:p>
        </w:tc>
        <w:tc>
          <w:tcPr>
            <w:tcW w:w="1725" w:type="dxa"/>
            <w:shd w:val="clear" w:color="auto" w:fill="FFFFFF"/>
            <w:vAlign w:val="center"/>
          </w:tcPr>
          <w:p w14:paraId="3287C90B">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项目预算资金分配是否有测算依据，与补助单位或地方实际是否相适应，用以反映和考核项目预算资金分配的科学性、合理性情况。</w:t>
            </w:r>
          </w:p>
        </w:tc>
        <w:tc>
          <w:tcPr>
            <w:tcW w:w="5216" w:type="dxa"/>
            <w:shd w:val="clear" w:color="auto" w:fill="FFFFFF"/>
            <w:vAlign w:val="center"/>
          </w:tcPr>
          <w:p w14:paraId="6834D18C">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评价要点：</w:t>
            </w:r>
            <w:r>
              <w:rPr>
                <w:rFonts w:hint="default" w:ascii="Times New Roman" w:hAnsi="Times New Roman" w:eastAsia="仿宋_GB2312" w:cs="Times New Roman"/>
                <w:color w:val="000000"/>
                <w:kern w:val="0"/>
                <w:sz w:val="18"/>
                <w:szCs w:val="18"/>
              </w:rPr>
              <w:br w:type="textWrapping"/>
            </w:r>
            <w:r>
              <w:rPr>
                <w:rFonts w:hint="default" w:ascii="Times New Roman" w:hAnsi="Times New Roman" w:eastAsia="仿宋_GB2312" w:cs="Times New Roman"/>
                <w:color w:val="000000"/>
                <w:kern w:val="0"/>
                <w:sz w:val="18"/>
                <w:szCs w:val="18"/>
              </w:rPr>
              <w:t>①预算资金分配依据是否充分；</w:t>
            </w:r>
            <w:r>
              <w:rPr>
                <w:rFonts w:hint="default" w:ascii="Times New Roman" w:hAnsi="Times New Roman" w:eastAsia="仿宋_GB2312" w:cs="Times New Roman"/>
                <w:color w:val="000000"/>
                <w:kern w:val="0"/>
                <w:sz w:val="18"/>
                <w:szCs w:val="18"/>
              </w:rPr>
              <w:br w:type="textWrapping"/>
            </w:r>
            <w:r>
              <w:rPr>
                <w:rFonts w:hint="default" w:ascii="Times New Roman" w:hAnsi="Times New Roman" w:eastAsia="仿宋_GB2312" w:cs="Times New Roman"/>
                <w:color w:val="000000"/>
                <w:kern w:val="0"/>
                <w:sz w:val="18"/>
                <w:szCs w:val="18"/>
              </w:rPr>
              <w:t>②资金分配额度是否合理，与项目单位或地方实际是否相适应。</w:t>
            </w:r>
          </w:p>
        </w:tc>
        <w:tc>
          <w:tcPr>
            <w:tcW w:w="1304" w:type="dxa"/>
            <w:gridSpan w:val="2"/>
            <w:shd w:val="clear" w:color="auto" w:fill="FFFFFF"/>
            <w:vAlign w:val="center"/>
          </w:tcPr>
          <w:p w14:paraId="2B9CBA78">
            <w:pPr>
              <w:widowControl/>
              <w:spacing w:line="0" w:lineRule="atLeast"/>
              <w:jc w:val="center"/>
              <w:rPr>
                <w:rFonts w:hint="default" w:ascii="Times New Roman" w:hAnsi="Times New Roman" w:eastAsia="仿宋_GB2312" w:cs="Times New Roman"/>
                <w:b/>
                <w:bCs/>
                <w:color w:val="000000"/>
                <w:kern w:val="0"/>
                <w:sz w:val="18"/>
                <w:szCs w:val="18"/>
              </w:rPr>
            </w:pPr>
            <w:r>
              <w:rPr>
                <w:rFonts w:hint="default" w:ascii="Times New Roman" w:hAnsi="Times New Roman" w:eastAsia="仿宋_GB2312" w:cs="Times New Roman"/>
                <w:b/>
                <w:bCs/>
                <w:color w:val="000000"/>
                <w:kern w:val="0"/>
                <w:sz w:val="18"/>
                <w:szCs w:val="18"/>
              </w:rPr>
              <w:t>4</w:t>
            </w:r>
          </w:p>
        </w:tc>
        <w:tc>
          <w:tcPr>
            <w:tcW w:w="1365" w:type="dxa"/>
            <w:shd w:val="clear" w:color="auto" w:fill="FFFFFF"/>
            <w:vAlign w:val="center"/>
          </w:tcPr>
          <w:p w14:paraId="1E8FCC1D">
            <w:pPr>
              <w:widowControl/>
              <w:spacing w:line="0" w:lineRule="atLeast"/>
              <w:jc w:val="center"/>
              <w:rPr>
                <w:rFonts w:hint="eastAsia" w:ascii="Times New Roman" w:hAnsi="Times New Roman" w:eastAsia="仿宋_GB2312" w:cs="Times New Roman"/>
                <w:b/>
                <w:bCs/>
                <w:color w:val="000000"/>
                <w:kern w:val="0"/>
                <w:sz w:val="18"/>
                <w:szCs w:val="18"/>
                <w:highlight w:val="none"/>
                <w:lang w:eastAsia="zh-CN"/>
              </w:rPr>
            </w:pPr>
            <w:r>
              <w:rPr>
                <w:rFonts w:hint="eastAsia" w:eastAsia="仿宋_GB2312" w:cs="Times New Roman"/>
                <w:b/>
                <w:bCs/>
                <w:color w:val="000000"/>
                <w:kern w:val="0"/>
                <w:sz w:val="18"/>
                <w:szCs w:val="18"/>
                <w:highlight w:val="none"/>
                <w:lang w:val="en-US" w:eastAsia="zh-CN"/>
              </w:rPr>
              <w:t>4</w:t>
            </w:r>
          </w:p>
        </w:tc>
      </w:tr>
      <w:tr w14:paraId="5ADD12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415" w:hRule="atLeast"/>
          <w:jc w:val="center"/>
        </w:trPr>
        <w:tc>
          <w:tcPr>
            <w:tcW w:w="1002" w:type="dxa"/>
            <w:vMerge w:val="restart"/>
            <w:shd w:val="clear" w:color="auto" w:fill="FFFFFF"/>
            <w:vAlign w:val="center"/>
          </w:tcPr>
          <w:p w14:paraId="39B1EE5A">
            <w:pPr>
              <w:spacing w:line="0" w:lineRule="atLeast"/>
              <w:jc w:val="center"/>
              <w:rPr>
                <w:rFonts w:hint="default" w:ascii="Times New Roman" w:hAnsi="Times New Roman" w:eastAsia="仿宋_GB2312" w:cs="Times New Roman"/>
                <w:color w:val="000000"/>
                <w:kern w:val="0"/>
                <w:sz w:val="18"/>
                <w:szCs w:val="18"/>
              </w:rPr>
            </w:pPr>
          </w:p>
          <w:p w14:paraId="5C893C76">
            <w:pPr>
              <w:spacing w:line="0" w:lineRule="atLeast"/>
              <w:jc w:val="center"/>
              <w:rPr>
                <w:rFonts w:hint="default" w:ascii="Times New Roman" w:hAnsi="Times New Roman" w:eastAsia="仿宋_GB2312" w:cs="Times New Roman"/>
                <w:color w:val="000000"/>
                <w:kern w:val="0"/>
                <w:sz w:val="18"/>
                <w:szCs w:val="18"/>
              </w:rPr>
            </w:pPr>
          </w:p>
          <w:p w14:paraId="370B6744">
            <w:pPr>
              <w:spacing w:line="0" w:lineRule="atLeast"/>
              <w:jc w:val="center"/>
              <w:rPr>
                <w:rFonts w:hint="default" w:ascii="Times New Roman" w:hAnsi="Times New Roman" w:eastAsia="仿宋_GB2312" w:cs="Times New Roman"/>
                <w:color w:val="000000"/>
                <w:kern w:val="0"/>
                <w:sz w:val="18"/>
                <w:szCs w:val="18"/>
              </w:rPr>
            </w:pPr>
          </w:p>
          <w:p w14:paraId="3639159C">
            <w:pPr>
              <w:spacing w:line="0" w:lineRule="atLeast"/>
              <w:jc w:val="center"/>
              <w:rPr>
                <w:rFonts w:hint="default" w:ascii="Times New Roman" w:hAnsi="Times New Roman" w:eastAsia="仿宋_GB2312" w:cs="Times New Roman"/>
                <w:color w:val="000000"/>
                <w:kern w:val="0"/>
                <w:sz w:val="18"/>
                <w:szCs w:val="18"/>
              </w:rPr>
            </w:pPr>
          </w:p>
          <w:p w14:paraId="14D35946">
            <w:pPr>
              <w:spacing w:line="0" w:lineRule="atLeast"/>
              <w:jc w:val="center"/>
              <w:rPr>
                <w:rFonts w:hint="default" w:ascii="Times New Roman" w:hAnsi="Times New Roman" w:eastAsia="仿宋_GB2312" w:cs="Times New Roman"/>
                <w:color w:val="000000"/>
                <w:kern w:val="0"/>
                <w:sz w:val="18"/>
                <w:szCs w:val="18"/>
              </w:rPr>
            </w:pPr>
          </w:p>
          <w:p w14:paraId="00E2C7D0">
            <w:pPr>
              <w:spacing w:line="0" w:lineRule="atLeast"/>
              <w:jc w:val="center"/>
              <w:rPr>
                <w:rFonts w:hint="default" w:ascii="Times New Roman" w:hAnsi="Times New Roman" w:eastAsia="仿宋_GB2312" w:cs="Times New Roman"/>
                <w:color w:val="000000"/>
                <w:kern w:val="0"/>
                <w:sz w:val="18"/>
                <w:szCs w:val="18"/>
              </w:rPr>
            </w:pPr>
          </w:p>
          <w:p w14:paraId="41832228">
            <w:pPr>
              <w:spacing w:line="0" w:lineRule="atLeast"/>
              <w:jc w:val="center"/>
              <w:rPr>
                <w:rFonts w:hint="default" w:ascii="Times New Roman" w:hAnsi="Times New Roman" w:eastAsia="仿宋_GB2312" w:cs="Times New Roman"/>
                <w:color w:val="000000"/>
                <w:kern w:val="0"/>
                <w:sz w:val="18"/>
                <w:szCs w:val="18"/>
              </w:rPr>
            </w:pPr>
          </w:p>
          <w:p w14:paraId="72C781C2">
            <w:pPr>
              <w:spacing w:line="0" w:lineRule="atLeast"/>
              <w:jc w:val="center"/>
              <w:rPr>
                <w:rFonts w:hint="default" w:ascii="Times New Roman" w:hAnsi="Times New Roman" w:eastAsia="仿宋_GB2312" w:cs="Times New Roman"/>
                <w:color w:val="000000"/>
                <w:kern w:val="0"/>
                <w:sz w:val="18"/>
                <w:szCs w:val="18"/>
              </w:rPr>
            </w:pPr>
          </w:p>
          <w:p w14:paraId="3AF6B698">
            <w:pPr>
              <w:spacing w:line="0" w:lineRule="atLeast"/>
              <w:jc w:val="center"/>
              <w:rPr>
                <w:rFonts w:hint="default" w:ascii="Times New Roman" w:hAnsi="Times New Roman" w:eastAsia="仿宋_GB2312" w:cs="Times New Roman"/>
                <w:color w:val="000000"/>
                <w:kern w:val="0"/>
                <w:sz w:val="18"/>
                <w:szCs w:val="18"/>
              </w:rPr>
            </w:pPr>
          </w:p>
          <w:p w14:paraId="1A30289F">
            <w:pPr>
              <w:spacing w:line="0" w:lineRule="atLeast"/>
              <w:jc w:val="center"/>
              <w:rPr>
                <w:rFonts w:hint="default" w:ascii="Times New Roman" w:hAnsi="Times New Roman" w:eastAsia="仿宋_GB2312" w:cs="Times New Roman"/>
                <w:color w:val="000000"/>
                <w:kern w:val="0"/>
                <w:sz w:val="18"/>
                <w:szCs w:val="18"/>
              </w:rPr>
            </w:pPr>
          </w:p>
          <w:p w14:paraId="12A820C7">
            <w:pPr>
              <w:spacing w:line="0" w:lineRule="atLeast"/>
              <w:jc w:val="center"/>
              <w:rPr>
                <w:rFonts w:hint="default" w:ascii="Times New Roman" w:hAnsi="Times New Roman" w:eastAsia="仿宋_GB2312" w:cs="Times New Roman"/>
                <w:color w:val="000000"/>
                <w:kern w:val="0"/>
                <w:sz w:val="18"/>
                <w:szCs w:val="18"/>
              </w:rPr>
            </w:pPr>
          </w:p>
          <w:p w14:paraId="40B6FC01">
            <w:pPr>
              <w:spacing w:line="0" w:lineRule="atLeast"/>
              <w:jc w:val="center"/>
              <w:rPr>
                <w:rFonts w:hint="default" w:ascii="Times New Roman" w:hAnsi="Times New Roman" w:eastAsia="仿宋_GB2312" w:cs="Times New Roman"/>
                <w:color w:val="000000"/>
                <w:kern w:val="0"/>
                <w:sz w:val="18"/>
                <w:szCs w:val="18"/>
              </w:rPr>
            </w:pPr>
          </w:p>
          <w:p w14:paraId="4F19EF57">
            <w:pPr>
              <w:spacing w:line="0" w:lineRule="atLeast"/>
              <w:jc w:val="center"/>
              <w:rPr>
                <w:rFonts w:hint="default" w:ascii="Times New Roman" w:hAnsi="Times New Roman" w:eastAsia="仿宋_GB2312" w:cs="Times New Roman"/>
                <w:color w:val="000000"/>
                <w:kern w:val="0"/>
                <w:sz w:val="18"/>
                <w:szCs w:val="18"/>
              </w:rPr>
            </w:pPr>
          </w:p>
          <w:p w14:paraId="4A6B2F90">
            <w:pPr>
              <w:spacing w:line="0" w:lineRule="atLeast"/>
              <w:jc w:val="center"/>
              <w:rPr>
                <w:rFonts w:hint="default" w:ascii="Times New Roman" w:hAnsi="Times New Roman" w:eastAsia="仿宋_GB2312" w:cs="Times New Roman"/>
                <w:color w:val="000000"/>
                <w:kern w:val="0"/>
                <w:sz w:val="18"/>
                <w:szCs w:val="18"/>
              </w:rPr>
            </w:pPr>
          </w:p>
          <w:p w14:paraId="298C8F9C">
            <w:pPr>
              <w:spacing w:line="0" w:lineRule="atLeast"/>
              <w:jc w:val="center"/>
              <w:rPr>
                <w:rFonts w:hint="default" w:ascii="Times New Roman" w:hAnsi="Times New Roman" w:eastAsia="仿宋_GB2312" w:cs="Times New Roman"/>
                <w:color w:val="000000"/>
                <w:kern w:val="0"/>
                <w:sz w:val="18"/>
                <w:szCs w:val="18"/>
              </w:rPr>
            </w:pPr>
          </w:p>
          <w:p w14:paraId="54B390EF">
            <w:pPr>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过程</w:t>
            </w:r>
          </w:p>
          <w:p w14:paraId="4461BED8">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　　</w:t>
            </w:r>
          </w:p>
        </w:tc>
        <w:tc>
          <w:tcPr>
            <w:tcW w:w="1000" w:type="dxa"/>
            <w:vMerge w:val="restart"/>
            <w:shd w:val="clear" w:color="auto" w:fill="FFFFFF"/>
            <w:vAlign w:val="center"/>
          </w:tcPr>
          <w:p w14:paraId="3D3D4962">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资金管理</w:t>
            </w:r>
          </w:p>
        </w:tc>
        <w:tc>
          <w:tcPr>
            <w:tcW w:w="1071" w:type="dxa"/>
            <w:shd w:val="clear" w:color="auto" w:fill="FFFFFF"/>
            <w:vAlign w:val="center"/>
          </w:tcPr>
          <w:p w14:paraId="630E4BEF">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资金到位率</w:t>
            </w:r>
          </w:p>
        </w:tc>
        <w:tc>
          <w:tcPr>
            <w:tcW w:w="1725" w:type="dxa"/>
            <w:shd w:val="clear" w:color="000000" w:fill="FFFFFF"/>
            <w:vAlign w:val="center"/>
          </w:tcPr>
          <w:p w14:paraId="6F234839">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实际到位资金与预算资金的比率，用以反映和考核资金落实情况对项目实施的总体保障程度。</w:t>
            </w:r>
          </w:p>
        </w:tc>
        <w:tc>
          <w:tcPr>
            <w:tcW w:w="5216" w:type="dxa"/>
            <w:shd w:val="clear" w:color="000000" w:fill="FFFFFF"/>
            <w:vAlign w:val="center"/>
          </w:tcPr>
          <w:p w14:paraId="7DE5D4EB">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资金到位率=（实际到位资金/预算资金）×100%。</w:t>
            </w:r>
          </w:p>
          <w:p w14:paraId="790735C1">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实际到位资金：一定时期（本年度或项目期）内落实到具体项目的资金。</w:t>
            </w:r>
          </w:p>
          <w:p w14:paraId="491E798F">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预算资金：一定时期（本年度或项目期）内预算安排到具体项目的资金。</w:t>
            </w:r>
          </w:p>
        </w:tc>
        <w:tc>
          <w:tcPr>
            <w:tcW w:w="1304" w:type="dxa"/>
            <w:gridSpan w:val="2"/>
            <w:shd w:val="clear" w:color="000000" w:fill="FFFFFF"/>
            <w:vAlign w:val="center"/>
          </w:tcPr>
          <w:p w14:paraId="7573D4A4">
            <w:pPr>
              <w:widowControl/>
              <w:spacing w:line="0" w:lineRule="atLeast"/>
              <w:jc w:val="center"/>
              <w:rPr>
                <w:rFonts w:hint="default" w:ascii="Times New Roman" w:hAnsi="Times New Roman" w:eastAsia="仿宋_GB2312" w:cs="Times New Roman"/>
                <w:b/>
                <w:bCs/>
                <w:color w:val="000000"/>
                <w:kern w:val="0"/>
                <w:sz w:val="18"/>
                <w:szCs w:val="18"/>
              </w:rPr>
            </w:pPr>
            <w:r>
              <w:rPr>
                <w:rFonts w:hint="default" w:ascii="Times New Roman" w:hAnsi="Times New Roman" w:eastAsia="仿宋_GB2312" w:cs="Times New Roman"/>
                <w:b/>
                <w:bCs/>
                <w:color w:val="000000"/>
                <w:kern w:val="0"/>
                <w:sz w:val="18"/>
                <w:szCs w:val="18"/>
              </w:rPr>
              <w:t>4</w:t>
            </w:r>
          </w:p>
        </w:tc>
        <w:tc>
          <w:tcPr>
            <w:tcW w:w="1365" w:type="dxa"/>
            <w:shd w:val="clear" w:color="000000" w:fill="FFFFFF"/>
            <w:vAlign w:val="center"/>
          </w:tcPr>
          <w:p w14:paraId="05C56532">
            <w:pPr>
              <w:widowControl/>
              <w:spacing w:line="0" w:lineRule="atLeast"/>
              <w:jc w:val="center"/>
              <w:rPr>
                <w:rFonts w:hint="eastAsia" w:ascii="Times New Roman" w:hAnsi="Times New Roman" w:eastAsia="仿宋_GB2312" w:cs="Times New Roman"/>
                <w:b/>
                <w:bCs/>
                <w:color w:val="000000"/>
                <w:kern w:val="0"/>
                <w:sz w:val="18"/>
                <w:szCs w:val="18"/>
                <w:highlight w:val="none"/>
                <w:lang w:eastAsia="zh-CN"/>
              </w:rPr>
            </w:pPr>
            <w:r>
              <w:rPr>
                <w:rFonts w:hint="eastAsia" w:eastAsia="仿宋_GB2312" w:cs="Times New Roman"/>
                <w:b/>
                <w:bCs/>
                <w:color w:val="000000"/>
                <w:kern w:val="0"/>
                <w:sz w:val="18"/>
                <w:szCs w:val="18"/>
                <w:highlight w:val="none"/>
                <w:lang w:val="en-US" w:eastAsia="zh-CN"/>
              </w:rPr>
              <w:t>4</w:t>
            </w:r>
          </w:p>
        </w:tc>
      </w:tr>
      <w:tr w14:paraId="2B1D63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320" w:hRule="atLeast"/>
          <w:jc w:val="center"/>
        </w:trPr>
        <w:tc>
          <w:tcPr>
            <w:tcW w:w="1002" w:type="dxa"/>
            <w:vMerge w:val="continue"/>
            <w:shd w:val="clear" w:color="auto" w:fill="FFFFFF"/>
            <w:vAlign w:val="center"/>
          </w:tcPr>
          <w:p w14:paraId="60BC61E0">
            <w:pPr>
              <w:spacing w:line="0" w:lineRule="atLeast"/>
              <w:jc w:val="center"/>
              <w:rPr>
                <w:rFonts w:hint="default" w:ascii="Times New Roman" w:hAnsi="Times New Roman" w:eastAsia="仿宋_GB2312" w:cs="Times New Roman"/>
                <w:color w:val="000000"/>
                <w:kern w:val="0"/>
                <w:sz w:val="18"/>
                <w:szCs w:val="18"/>
              </w:rPr>
            </w:pPr>
          </w:p>
        </w:tc>
        <w:tc>
          <w:tcPr>
            <w:tcW w:w="1000" w:type="dxa"/>
            <w:vMerge w:val="continue"/>
            <w:shd w:val="clear" w:color="auto" w:fill="FFFFFF"/>
            <w:vAlign w:val="center"/>
          </w:tcPr>
          <w:p w14:paraId="7E0363FE">
            <w:pPr>
              <w:spacing w:line="0" w:lineRule="atLeast"/>
              <w:jc w:val="center"/>
              <w:rPr>
                <w:rFonts w:hint="default" w:ascii="Times New Roman" w:hAnsi="Times New Roman" w:eastAsia="仿宋_GB2312" w:cs="Times New Roman"/>
                <w:color w:val="000000"/>
                <w:kern w:val="0"/>
                <w:sz w:val="18"/>
                <w:szCs w:val="18"/>
              </w:rPr>
            </w:pPr>
          </w:p>
        </w:tc>
        <w:tc>
          <w:tcPr>
            <w:tcW w:w="1071" w:type="dxa"/>
            <w:shd w:val="clear" w:color="auto" w:fill="FFFFFF"/>
            <w:vAlign w:val="center"/>
          </w:tcPr>
          <w:p w14:paraId="47C6CECA">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预算执行率</w:t>
            </w:r>
          </w:p>
        </w:tc>
        <w:tc>
          <w:tcPr>
            <w:tcW w:w="1725" w:type="dxa"/>
            <w:shd w:val="clear" w:color="auto" w:fill="FFFFFF"/>
            <w:vAlign w:val="center"/>
          </w:tcPr>
          <w:p w14:paraId="793D9FED">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项目预算资金是否按照计划执行，用以反映或考核项目预算执行情况。</w:t>
            </w:r>
          </w:p>
        </w:tc>
        <w:tc>
          <w:tcPr>
            <w:tcW w:w="5216" w:type="dxa"/>
            <w:shd w:val="clear" w:color="auto" w:fill="FFFFFF"/>
            <w:vAlign w:val="center"/>
          </w:tcPr>
          <w:p w14:paraId="59E354DD">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预算执行率=（实际支出资金/实际到位资金）×100%。</w:t>
            </w:r>
            <w:r>
              <w:rPr>
                <w:rFonts w:hint="default" w:ascii="Times New Roman" w:hAnsi="Times New Roman" w:eastAsia="仿宋_GB2312" w:cs="Times New Roman"/>
                <w:color w:val="000000"/>
                <w:kern w:val="0"/>
                <w:sz w:val="18"/>
                <w:szCs w:val="18"/>
              </w:rPr>
              <w:br w:type="textWrapping"/>
            </w:r>
            <w:r>
              <w:rPr>
                <w:rFonts w:hint="default" w:ascii="Times New Roman" w:hAnsi="Times New Roman" w:eastAsia="仿宋_GB2312" w:cs="Times New Roman"/>
                <w:color w:val="000000"/>
                <w:kern w:val="0"/>
                <w:sz w:val="18"/>
                <w:szCs w:val="18"/>
              </w:rPr>
              <w:t>实际支出资金：一定时期（本年度或项目期）内项目实际拨付的资金。</w:t>
            </w:r>
          </w:p>
        </w:tc>
        <w:tc>
          <w:tcPr>
            <w:tcW w:w="1304" w:type="dxa"/>
            <w:gridSpan w:val="2"/>
            <w:shd w:val="clear" w:color="auto" w:fill="FFFFFF"/>
            <w:vAlign w:val="center"/>
          </w:tcPr>
          <w:p w14:paraId="5AFB9927">
            <w:pPr>
              <w:widowControl/>
              <w:spacing w:line="0" w:lineRule="atLeast"/>
              <w:jc w:val="center"/>
              <w:rPr>
                <w:rFonts w:hint="default" w:ascii="Times New Roman" w:hAnsi="Times New Roman" w:eastAsia="仿宋_GB2312" w:cs="Times New Roman"/>
                <w:b/>
                <w:bCs/>
                <w:color w:val="000000"/>
                <w:kern w:val="0"/>
                <w:sz w:val="18"/>
                <w:szCs w:val="18"/>
                <w:highlight w:val="none"/>
              </w:rPr>
            </w:pPr>
            <w:r>
              <w:rPr>
                <w:rFonts w:hint="default" w:ascii="Times New Roman" w:hAnsi="Times New Roman" w:eastAsia="仿宋_GB2312" w:cs="Times New Roman"/>
                <w:b/>
                <w:bCs/>
                <w:color w:val="000000"/>
                <w:kern w:val="0"/>
                <w:sz w:val="18"/>
                <w:szCs w:val="18"/>
                <w:highlight w:val="none"/>
              </w:rPr>
              <w:t>4</w:t>
            </w:r>
          </w:p>
        </w:tc>
        <w:tc>
          <w:tcPr>
            <w:tcW w:w="1365" w:type="dxa"/>
            <w:shd w:val="clear" w:color="auto" w:fill="FFFFFF"/>
            <w:vAlign w:val="center"/>
          </w:tcPr>
          <w:p w14:paraId="5964ED8F">
            <w:pPr>
              <w:widowControl/>
              <w:spacing w:line="0" w:lineRule="atLeast"/>
              <w:jc w:val="center"/>
              <w:rPr>
                <w:rFonts w:hint="eastAsia" w:ascii="Times New Roman" w:hAnsi="Times New Roman" w:eastAsia="仿宋_GB2312" w:cs="Times New Roman"/>
                <w:b/>
                <w:bCs/>
                <w:color w:val="000000"/>
                <w:kern w:val="0"/>
                <w:sz w:val="18"/>
                <w:szCs w:val="18"/>
                <w:highlight w:val="none"/>
                <w:lang w:eastAsia="zh-CN"/>
              </w:rPr>
            </w:pPr>
            <w:r>
              <w:rPr>
                <w:rFonts w:hint="eastAsia" w:eastAsia="仿宋_GB2312" w:cs="Times New Roman"/>
                <w:b/>
                <w:bCs/>
                <w:color w:val="000000"/>
                <w:kern w:val="0"/>
                <w:sz w:val="18"/>
                <w:szCs w:val="18"/>
                <w:highlight w:val="none"/>
                <w:lang w:val="en-US" w:eastAsia="zh-CN"/>
              </w:rPr>
              <w:t>4</w:t>
            </w:r>
          </w:p>
        </w:tc>
      </w:tr>
      <w:tr w14:paraId="177A1F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76" w:hRule="atLeast"/>
          <w:jc w:val="center"/>
        </w:trPr>
        <w:tc>
          <w:tcPr>
            <w:tcW w:w="1002" w:type="dxa"/>
            <w:vMerge w:val="continue"/>
            <w:shd w:val="clear" w:color="auto" w:fill="FFFFFF"/>
            <w:vAlign w:val="center"/>
          </w:tcPr>
          <w:p w14:paraId="68913A90">
            <w:pPr>
              <w:spacing w:line="0" w:lineRule="atLeast"/>
              <w:jc w:val="center"/>
              <w:rPr>
                <w:rFonts w:hint="default" w:ascii="Times New Roman" w:hAnsi="Times New Roman" w:eastAsia="仿宋_GB2312" w:cs="Times New Roman"/>
                <w:color w:val="000000"/>
                <w:kern w:val="0"/>
                <w:sz w:val="18"/>
                <w:szCs w:val="18"/>
              </w:rPr>
            </w:pPr>
          </w:p>
        </w:tc>
        <w:tc>
          <w:tcPr>
            <w:tcW w:w="1000" w:type="dxa"/>
            <w:shd w:val="clear" w:color="auto" w:fill="FFFFFF"/>
            <w:vAlign w:val="center"/>
          </w:tcPr>
          <w:p w14:paraId="1319C48D">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资金管理</w:t>
            </w:r>
          </w:p>
        </w:tc>
        <w:tc>
          <w:tcPr>
            <w:tcW w:w="1071" w:type="dxa"/>
            <w:shd w:val="clear" w:color="auto" w:fill="FFFFFF"/>
            <w:vAlign w:val="center"/>
          </w:tcPr>
          <w:p w14:paraId="4C340C3B">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资金使用</w:t>
            </w:r>
          </w:p>
          <w:p w14:paraId="1AA6D179">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合规性</w:t>
            </w:r>
          </w:p>
        </w:tc>
        <w:tc>
          <w:tcPr>
            <w:tcW w:w="1725" w:type="dxa"/>
            <w:shd w:val="clear" w:color="000000" w:fill="FFFFFF"/>
            <w:vAlign w:val="center"/>
          </w:tcPr>
          <w:p w14:paraId="5360C6C2">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项目资金使用是否符合相关的财务管理制度规定，用以反映和考核项目资金的规范运行情况。</w:t>
            </w:r>
          </w:p>
        </w:tc>
        <w:tc>
          <w:tcPr>
            <w:tcW w:w="5216" w:type="dxa"/>
            <w:shd w:val="clear" w:color="000000" w:fill="FFFFFF"/>
            <w:vAlign w:val="center"/>
          </w:tcPr>
          <w:p w14:paraId="696BCB1F">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评价要点：</w:t>
            </w:r>
            <w:r>
              <w:rPr>
                <w:rFonts w:hint="default" w:ascii="Times New Roman" w:hAnsi="Times New Roman" w:eastAsia="仿宋_GB2312" w:cs="Times New Roman"/>
                <w:color w:val="000000"/>
                <w:kern w:val="0"/>
                <w:sz w:val="18"/>
                <w:szCs w:val="18"/>
              </w:rPr>
              <w:br w:type="textWrapping"/>
            </w:r>
            <w:r>
              <w:rPr>
                <w:rFonts w:hint="default" w:ascii="Times New Roman" w:hAnsi="Times New Roman" w:eastAsia="仿宋_GB2312" w:cs="Times New Roman"/>
                <w:color w:val="000000"/>
                <w:kern w:val="0"/>
                <w:sz w:val="18"/>
                <w:szCs w:val="18"/>
              </w:rPr>
              <w:t>①是否符合国家财经法规和财务管理制度以及有关专项资金管理办法的规定；</w:t>
            </w:r>
            <w:r>
              <w:rPr>
                <w:rFonts w:hint="default" w:ascii="Times New Roman" w:hAnsi="Times New Roman" w:eastAsia="仿宋_GB2312" w:cs="Times New Roman"/>
                <w:color w:val="000000"/>
                <w:kern w:val="0"/>
                <w:sz w:val="18"/>
                <w:szCs w:val="18"/>
              </w:rPr>
              <w:br w:type="textWrapping"/>
            </w:r>
            <w:r>
              <w:rPr>
                <w:rFonts w:hint="default" w:ascii="Times New Roman" w:hAnsi="Times New Roman" w:eastAsia="仿宋_GB2312" w:cs="Times New Roman"/>
                <w:color w:val="000000"/>
                <w:kern w:val="0"/>
                <w:sz w:val="18"/>
                <w:szCs w:val="18"/>
              </w:rPr>
              <w:t>②资金的拨付是否有完整的审批程序和手续；</w:t>
            </w:r>
            <w:r>
              <w:rPr>
                <w:rFonts w:hint="default" w:ascii="Times New Roman" w:hAnsi="Times New Roman" w:eastAsia="仿宋_GB2312" w:cs="Times New Roman"/>
                <w:color w:val="000000"/>
                <w:kern w:val="0"/>
                <w:sz w:val="18"/>
                <w:szCs w:val="18"/>
              </w:rPr>
              <w:br w:type="textWrapping"/>
            </w:r>
            <w:r>
              <w:rPr>
                <w:rFonts w:hint="default" w:ascii="Times New Roman" w:hAnsi="Times New Roman" w:eastAsia="仿宋_GB2312" w:cs="Times New Roman"/>
                <w:color w:val="000000"/>
                <w:kern w:val="0"/>
                <w:sz w:val="18"/>
                <w:szCs w:val="18"/>
              </w:rPr>
              <w:t>③是否符合项目预算批复或合同规定的用途；</w:t>
            </w:r>
            <w:r>
              <w:rPr>
                <w:rFonts w:hint="default" w:ascii="Times New Roman" w:hAnsi="Times New Roman" w:eastAsia="仿宋_GB2312" w:cs="Times New Roman"/>
                <w:color w:val="000000"/>
                <w:kern w:val="0"/>
                <w:sz w:val="18"/>
                <w:szCs w:val="18"/>
              </w:rPr>
              <w:br w:type="textWrapping"/>
            </w:r>
            <w:r>
              <w:rPr>
                <w:rFonts w:hint="default" w:ascii="Times New Roman" w:hAnsi="Times New Roman" w:eastAsia="仿宋_GB2312" w:cs="Times New Roman"/>
                <w:color w:val="000000"/>
                <w:kern w:val="0"/>
                <w:sz w:val="18"/>
                <w:szCs w:val="18"/>
              </w:rPr>
              <w:t>④是否存在截留、挤占、挪用、虚列支出等情况。</w:t>
            </w:r>
          </w:p>
        </w:tc>
        <w:tc>
          <w:tcPr>
            <w:tcW w:w="1304" w:type="dxa"/>
            <w:gridSpan w:val="2"/>
            <w:shd w:val="clear" w:color="000000" w:fill="FFFFFF"/>
            <w:vAlign w:val="center"/>
          </w:tcPr>
          <w:p w14:paraId="6B1340C8">
            <w:pPr>
              <w:widowControl/>
              <w:spacing w:line="0" w:lineRule="atLeast"/>
              <w:jc w:val="center"/>
              <w:rPr>
                <w:rFonts w:hint="default" w:ascii="Times New Roman" w:hAnsi="Times New Roman" w:eastAsia="仿宋_GB2312" w:cs="Times New Roman"/>
                <w:b/>
                <w:bCs/>
                <w:color w:val="000000"/>
                <w:kern w:val="0"/>
                <w:sz w:val="18"/>
                <w:szCs w:val="18"/>
                <w:highlight w:val="none"/>
              </w:rPr>
            </w:pPr>
            <w:r>
              <w:rPr>
                <w:rFonts w:hint="default" w:ascii="Times New Roman" w:hAnsi="Times New Roman" w:eastAsia="仿宋_GB2312" w:cs="Times New Roman"/>
                <w:b/>
                <w:bCs/>
                <w:color w:val="000000"/>
                <w:kern w:val="0"/>
                <w:sz w:val="18"/>
                <w:szCs w:val="18"/>
                <w:highlight w:val="none"/>
              </w:rPr>
              <w:t>4</w:t>
            </w:r>
          </w:p>
        </w:tc>
        <w:tc>
          <w:tcPr>
            <w:tcW w:w="1365" w:type="dxa"/>
            <w:shd w:val="clear" w:color="000000" w:fill="FFFFFF"/>
            <w:vAlign w:val="center"/>
          </w:tcPr>
          <w:p w14:paraId="31D36F1C">
            <w:pPr>
              <w:widowControl/>
              <w:spacing w:line="0" w:lineRule="atLeast"/>
              <w:jc w:val="center"/>
              <w:rPr>
                <w:rFonts w:hint="eastAsia" w:ascii="Times New Roman" w:hAnsi="Times New Roman" w:eastAsia="仿宋_GB2312" w:cs="Times New Roman"/>
                <w:b/>
                <w:bCs/>
                <w:color w:val="000000"/>
                <w:kern w:val="0"/>
                <w:sz w:val="18"/>
                <w:szCs w:val="18"/>
                <w:highlight w:val="none"/>
                <w:lang w:eastAsia="zh-CN"/>
              </w:rPr>
            </w:pPr>
            <w:r>
              <w:rPr>
                <w:rFonts w:hint="eastAsia" w:eastAsia="仿宋_GB2312" w:cs="Times New Roman"/>
                <w:b/>
                <w:bCs/>
                <w:color w:val="000000"/>
                <w:kern w:val="0"/>
                <w:sz w:val="18"/>
                <w:szCs w:val="18"/>
                <w:highlight w:val="none"/>
                <w:lang w:val="en-US" w:eastAsia="zh-CN"/>
              </w:rPr>
              <w:t>4</w:t>
            </w:r>
          </w:p>
        </w:tc>
      </w:tr>
      <w:tr w14:paraId="429240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97" w:hRule="atLeast"/>
          <w:jc w:val="center"/>
        </w:trPr>
        <w:tc>
          <w:tcPr>
            <w:tcW w:w="1002" w:type="dxa"/>
            <w:vMerge w:val="continue"/>
            <w:shd w:val="clear" w:color="auto" w:fill="FFFFFF"/>
            <w:vAlign w:val="center"/>
          </w:tcPr>
          <w:p w14:paraId="1E02D06B">
            <w:pPr>
              <w:spacing w:line="0" w:lineRule="atLeast"/>
              <w:jc w:val="center"/>
              <w:rPr>
                <w:rFonts w:hint="default" w:ascii="Times New Roman" w:hAnsi="Times New Roman" w:eastAsia="仿宋_GB2312" w:cs="Times New Roman"/>
                <w:color w:val="000000"/>
                <w:kern w:val="0"/>
                <w:sz w:val="18"/>
                <w:szCs w:val="18"/>
              </w:rPr>
            </w:pPr>
          </w:p>
        </w:tc>
        <w:tc>
          <w:tcPr>
            <w:tcW w:w="1000" w:type="dxa"/>
            <w:vMerge w:val="restart"/>
            <w:shd w:val="clear" w:color="auto" w:fill="FFFFFF"/>
            <w:vAlign w:val="center"/>
          </w:tcPr>
          <w:p w14:paraId="390B9843">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组织实施</w:t>
            </w:r>
          </w:p>
          <w:p w14:paraId="57C77B38">
            <w:pPr>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　</w:t>
            </w:r>
          </w:p>
        </w:tc>
        <w:tc>
          <w:tcPr>
            <w:tcW w:w="1071" w:type="dxa"/>
            <w:shd w:val="clear" w:color="auto" w:fill="FFFFFF"/>
            <w:vAlign w:val="center"/>
          </w:tcPr>
          <w:p w14:paraId="0E1B447E">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管理制度</w:t>
            </w:r>
          </w:p>
          <w:p w14:paraId="24E934B7">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健全性</w:t>
            </w:r>
          </w:p>
        </w:tc>
        <w:tc>
          <w:tcPr>
            <w:tcW w:w="1725" w:type="dxa"/>
            <w:shd w:val="clear" w:color="000000" w:fill="FFFFFF"/>
            <w:vAlign w:val="center"/>
          </w:tcPr>
          <w:p w14:paraId="15740669">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项目实施单位的财务和业务管理制度是否健全，用以反映和考核财务和业务管理制度对项目顺利实施的保障情况。</w:t>
            </w:r>
          </w:p>
        </w:tc>
        <w:tc>
          <w:tcPr>
            <w:tcW w:w="5216" w:type="dxa"/>
            <w:shd w:val="clear" w:color="000000" w:fill="FFFFFF"/>
            <w:vAlign w:val="center"/>
          </w:tcPr>
          <w:p w14:paraId="266493D0">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评价要点：</w:t>
            </w:r>
            <w:r>
              <w:rPr>
                <w:rFonts w:hint="default" w:ascii="Times New Roman" w:hAnsi="Times New Roman" w:eastAsia="仿宋_GB2312" w:cs="Times New Roman"/>
                <w:color w:val="000000"/>
                <w:kern w:val="0"/>
                <w:sz w:val="18"/>
                <w:szCs w:val="18"/>
              </w:rPr>
              <w:br w:type="textWrapping"/>
            </w:r>
            <w:r>
              <w:rPr>
                <w:rFonts w:hint="default" w:ascii="Times New Roman" w:hAnsi="Times New Roman" w:eastAsia="仿宋_GB2312" w:cs="Times New Roman"/>
                <w:color w:val="000000"/>
                <w:kern w:val="0"/>
                <w:sz w:val="18"/>
                <w:szCs w:val="18"/>
              </w:rPr>
              <w:t>①是否已制定或具有相应的财务和业务管理制度；</w:t>
            </w:r>
            <w:r>
              <w:rPr>
                <w:rFonts w:hint="default" w:ascii="Times New Roman" w:hAnsi="Times New Roman" w:eastAsia="仿宋_GB2312" w:cs="Times New Roman"/>
                <w:color w:val="000000"/>
                <w:kern w:val="0"/>
                <w:sz w:val="18"/>
                <w:szCs w:val="18"/>
              </w:rPr>
              <w:br w:type="textWrapping"/>
            </w:r>
            <w:r>
              <w:rPr>
                <w:rFonts w:hint="default" w:ascii="Times New Roman" w:hAnsi="Times New Roman" w:eastAsia="仿宋_GB2312" w:cs="Times New Roman"/>
                <w:color w:val="000000"/>
                <w:kern w:val="0"/>
                <w:sz w:val="18"/>
                <w:szCs w:val="18"/>
              </w:rPr>
              <w:t>②财务和业务管理制度是否合法、合规、完整。</w:t>
            </w:r>
          </w:p>
        </w:tc>
        <w:tc>
          <w:tcPr>
            <w:tcW w:w="1304" w:type="dxa"/>
            <w:gridSpan w:val="2"/>
            <w:shd w:val="clear" w:color="000000" w:fill="FFFFFF"/>
            <w:vAlign w:val="center"/>
          </w:tcPr>
          <w:p w14:paraId="578915CD">
            <w:pPr>
              <w:widowControl/>
              <w:spacing w:line="0" w:lineRule="atLeast"/>
              <w:jc w:val="center"/>
              <w:rPr>
                <w:rFonts w:hint="default" w:ascii="Times New Roman" w:hAnsi="Times New Roman" w:eastAsia="仿宋_GB2312" w:cs="Times New Roman"/>
                <w:b/>
                <w:bCs/>
                <w:color w:val="000000"/>
                <w:kern w:val="0"/>
                <w:sz w:val="18"/>
                <w:szCs w:val="18"/>
                <w:highlight w:val="none"/>
              </w:rPr>
            </w:pPr>
            <w:r>
              <w:rPr>
                <w:rFonts w:hint="default" w:ascii="Times New Roman" w:hAnsi="Times New Roman" w:eastAsia="仿宋_GB2312" w:cs="Times New Roman"/>
                <w:b/>
                <w:bCs/>
                <w:color w:val="000000"/>
                <w:kern w:val="0"/>
                <w:sz w:val="18"/>
                <w:szCs w:val="18"/>
                <w:highlight w:val="none"/>
              </w:rPr>
              <w:t>4</w:t>
            </w:r>
          </w:p>
        </w:tc>
        <w:tc>
          <w:tcPr>
            <w:tcW w:w="1365" w:type="dxa"/>
            <w:shd w:val="clear" w:color="000000" w:fill="FFFFFF"/>
            <w:vAlign w:val="center"/>
          </w:tcPr>
          <w:p w14:paraId="1981DCBC">
            <w:pPr>
              <w:widowControl/>
              <w:spacing w:line="0" w:lineRule="atLeast"/>
              <w:jc w:val="center"/>
              <w:rPr>
                <w:rFonts w:hint="eastAsia" w:ascii="Times New Roman" w:hAnsi="Times New Roman" w:eastAsia="仿宋_GB2312" w:cs="Times New Roman"/>
                <w:b/>
                <w:bCs/>
                <w:color w:val="000000"/>
                <w:kern w:val="0"/>
                <w:sz w:val="18"/>
                <w:szCs w:val="18"/>
                <w:highlight w:val="none"/>
                <w:lang w:eastAsia="zh-CN"/>
              </w:rPr>
            </w:pPr>
            <w:r>
              <w:rPr>
                <w:rFonts w:hint="eastAsia" w:eastAsia="仿宋_GB2312" w:cs="Times New Roman"/>
                <w:b/>
                <w:bCs/>
                <w:color w:val="000000"/>
                <w:kern w:val="0"/>
                <w:sz w:val="18"/>
                <w:szCs w:val="18"/>
                <w:highlight w:val="none"/>
                <w:lang w:val="en-US" w:eastAsia="zh-CN"/>
              </w:rPr>
              <w:t>4</w:t>
            </w:r>
          </w:p>
        </w:tc>
      </w:tr>
      <w:tr w14:paraId="5E051E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69" w:hRule="atLeast"/>
          <w:jc w:val="center"/>
        </w:trPr>
        <w:tc>
          <w:tcPr>
            <w:tcW w:w="1002" w:type="dxa"/>
            <w:vMerge w:val="continue"/>
            <w:shd w:val="clear" w:color="auto" w:fill="FFFFFF"/>
            <w:vAlign w:val="center"/>
          </w:tcPr>
          <w:p w14:paraId="6011FE8F">
            <w:pPr>
              <w:widowControl/>
              <w:spacing w:line="0" w:lineRule="atLeast"/>
              <w:jc w:val="center"/>
              <w:rPr>
                <w:rFonts w:hint="default" w:ascii="Times New Roman" w:hAnsi="Times New Roman" w:eastAsia="仿宋_GB2312" w:cs="Times New Roman"/>
                <w:color w:val="000000"/>
                <w:kern w:val="0"/>
                <w:sz w:val="18"/>
                <w:szCs w:val="18"/>
              </w:rPr>
            </w:pPr>
          </w:p>
        </w:tc>
        <w:tc>
          <w:tcPr>
            <w:tcW w:w="1000" w:type="dxa"/>
            <w:vMerge w:val="continue"/>
            <w:shd w:val="clear" w:color="auto" w:fill="FFFFFF"/>
            <w:vAlign w:val="center"/>
          </w:tcPr>
          <w:p w14:paraId="2D9B1CDC">
            <w:pPr>
              <w:widowControl/>
              <w:spacing w:line="0" w:lineRule="atLeast"/>
              <w:jc w:val="center"/>
              <w:rPr>
                <w:rFonts w:hint="default" w:ascii="Times New Roman" w:hAnsi="Times New Roman" w:eastAsia="仿宋_GB2312" w:cs="Times New Roman"/>
                <w:color w:val="000000"/>
                <w:kern w:val="0"/>
                <w:sz w:val="18"/>
                <w:szCs w:val="18"/>
              </w:rPr>
            </w:pPr>
          </w:p>
        </w:tc>
        <w:tc>
          <w:tcPr>
            <w:tcW w:w="1071" w:type="dxa"/>
            <w:shd w:val="clear" w:color="auto" w:fill="FFFFFF"/>
            <w:vAlign w:val="center"/>
          </w:tcPr>
          <w:p w14:paraId="73B5A5E6">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制度执行</w:t>
            </w:r>
          </w:p>
          <w:p w14:paraId="79F4F10B">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有效性</w:t>
            </w:r>
          </w:p>
        </w:tc>
        <w:tc>
          <w:tcPr>
            <w:tcW w:w="1725" w:type="dxa"/>
            <w:shd w:val="clear" w:color="000000" w:fill="FFFFFF"/>
            <w:vAlign w:val="center"/>
          </w:tcPr>
          <w:p w14:paraId="4A88ED09">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项目实施是否符合相关管理规定，用以反映和考核相关管理制度的有效执行情况。</w:t>
            </w:r>
          </w:p>
        </w:tc>
        <w:tc>
          <w:tcPr>
            <w:tcW w:w="5216" w:type="dxa"/>
            <w:shd w:val="clear" w:color="000000" w:fill="FFFFFF"/>
            <w:vAlign w:val="center"/>
          </w:tcPr>
          <w:p w14:paraId="3C4019A7">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评价要点：</w:t>
            </w:r>
            <w:r>
              <w:rPr>
                <w:rFonts w:hint="default" w:ascii="Times New Roman" w:hAnsi="Times New Roman" w:eastAsia="仿宋_GB2312" w:cs="Times New Roman"/>
                <w:color w:val="000000"/>
                <w:kern w:val="0"/>
                <w:sz w:val="18"/>
                <w:szCs w:val="18"/>
              </w:rPr>
              <w:br w:type="textWrapping"/>
            </w:r>
            <w:r>
              <w:rPr>
                <w:rFonts w:hint="default" w:ascii="Times New Roman" w:hAnsi="Times New Roman" w:eastAsia="仿宋_GB2312" w:cs="Times New Roman"/>
                <w:color w:val="000000"/>
                <w:kern w:val="0"/>
                <w:sz w:val="18"/>
                <w:szCs w:val="18"/>
              </w:rPr>
              <w:t>①是否遵守相关法律法规和相关管理规定；</w:t>
            </w:r>
            <w:r>
              <w:rPr>
                <w:rFonts w:hint="default" w:ascii="Times New Roman" w:hAnsi="Times New Roman" w:eastAsia="仿宋_GB2312" w:cs="Times New Roman"/>
                <w:color w:val="000000"/>
                <w:kern w:val="0"/>
                <w:sz w:val="18"/>
                <w:szCs w:val="18"/>
              </w:rPr>
              <w:br w:type="textWrapping"/>
            </w:r>
            <w:r>
              <w:rPr>
                <w:rFonts w:hint="default" w:ascii="Times New Roman" w:hAnsi="Times New Roman" w:eastAsia="仿宋_GB2312" w:cs="Times New Roman"/>
                <w:color w:val="000000"/>
                <w:kern w:val="0"/>
                <w:sz w:val="18"/>
                <w:szCs w:val="18"/>
              </w:rPr>
              <w:t>②项目调整及支出调整手续是否完备；</w:t>
            </w:r>
            <w:r>
              <w:rPr>
                <w:rFonts w:hint="default" w:ascii="Times New Roman" w:hAnsi="Times New Roman" w:eastAsia="仿宋_GB2312" w:cs="Times New Roman"/>
                <w:color w:val="000000"/>
                <w:kern w:val="0"/>
                <w:sz w:val="18"/>
                <w:szCs w:val="18"/>
              </w:rPr>
              <w:br w:type="textWrapping"/>
            </w:r>
            <w:r>
              <w:rPr>
                <w:rFonts w:hint="default" w:ascii="Times New Roman" w:hAnsi="Times New Roman" w:eastAsia="仿宋_GB2312" w:cs="Times New Roman"/>
                <w:color w:val="000000"/>
                <w:kern w:val="0"/>
                <w:sz w:val="18"/>
                <w:szCs w:val="18"/>
              </w:rPr>
              <w:t>③项目合同书、验收报告、技术鉴定等资料是否齐全并及时归档；</w:t>
            </w:r>
            <w:r>
              <w:rPr>
                <w:rFonts w:hint="default" w:ascii="Times New Roman" w:hAnsi="Times New Roman" w:eastAsia="仿宋_GB2312" w:cs="Times New Roman"/>
                <w:color w:val="000000"/>
                <w:kern w:val="0"/>
                <w:sz w:val="18"/>
                <w:szCs w:val="18"/>
              </w:rPr>
              <w:br w:type="textWrapping"/>
            </w:r>
            <w:r>
              <w:rPr>
                <w:rFonts w:hint="default" w:ascii="Times New Roman" w:hAnsi="Times New Roman" w:eastAsia="仿宋_GB2312" w:cs="Times New Roman"/>
                <w:color w:val="000000"/>
                <w:kern w:val="0"/>
                <w:sz w:val="18"/>
                <w:szCs w:val="18"/>
              </w:rPr>
              <w:t>④项目实施的人员条件、场地设备、信息支撑等是否落实到位。</w:t>
            </w:r>
          </w:p>
        </w:tc>
        <w:tc>
          <w:tcPr>
            <w:tcW w:w="1304" w:type="dxa"/>
            <w:gridSpan w:val="2"/>
            <w:shd w:val="clear" w:color="000000" w:fill="FFFFFF"/>
            <w:vAlign w:val="center"/>
          </w:tcPr>
          <w:p w14:paraId="1B987DC0">
            <w:pPr>
              <w:widowControl/>
              <w:spacing w:line="0" w:lineRule="atLeast"/>
              <w:jc w:val="center"/>
              <w:rPr>
                <w:rFonts w:hint="default" w:ascii="Times New Roman" w:hAnsi="Times New Roman" w:eastAsia="仿宋_GB2312" w:cs="Times New Roman"/>
                <w:b/>
                <w:bCs/>
                <w:color w:val="000000"/>
                <w:kern w:val="0"/>
                <w:sz w:val="18"/>
                <w:szCs w:val="18"/>
                <w:highlight w:val="none"/>
              </w:rPr>
            </w:pPr>
            <w:r>
              <w:rPr>
                <w:rFonts w:hint="default" w:ascii="Times New Roman" w:hAnsi="Times New Roman" w:eastAsia="仿宋_GB2312" w:cs="Times New Roman"/>
                <w:b/>
                <w:bCs/>
                <w:color w:val="000000"/>
                <w:kern w:val="0"/>
                <w:sz w:val="18"/>
                <w:szCs w:val="18"/>
                <w:highlight w:val="none"/>
              </w:rPr>
              <w:t>4</w:t>
            </w:r>
          </w:p>
        </w:tc>
        <w:tc>
          <w:tcPr>
            <w:tcW w:w="1365" w:type="dxa"/>
            <w:shd w:val="clear" w:color="000000" w:fill="FFFFFF"/>
            <w:vAlign w:val="center"/>
          </w:tcPr>
          <w:p w14:paraId="2223010E">
            <w:pPr>
              <w:widowControl/>
              <w:spacing w:line="0" w:lineRule="atLeast"/>
              <w:jc w:val="center"/>
              <w:rPr>
                <w:rFonts w:hint="eastAsia" w:ascii="Times New Roman" w:hAnsi="Times New Roman" w:eastAsia="仿宋_GB2312" w:cs="Times New Roman"/>
                <w:b/>
                <w:bCs/>
                <w:color w:val="000000"/>
                <w:kern w:val="0"/>
                <w:sz w:val="18"/>
                <w:szCs w:val="18"/>
                <w:highlight w:val="none"/>
                <w:lang w:eastAsia="zh-CN"/>
              </w:rPr>
            </w:pPr>
            <w:r>
              <w:rPr>
                <w:rFonts w:hint="eastAsia" w:eastAsia="仿宋_GB2312" w:cs="Times New Roman"/>
                <w:b/>
                <w:bCs/>
                <w:color w:val="000000"/>
                <w:kern w:val="0"/>
                <w:sz w:val="18"/>
                <w:szCs w:val="18"/>
                <w:highlight w:val="none"/>
                <w:lang w:val="en-US" w:eastAsia="zh-CN"/>
              </w:rPr>
              <w:t>4</w:t>
            </w:r>
          </w:p>
        </w:tc>
      </w:tr>
      <w:tr w14:paraId="5B1C59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917" w:hRule="atLeast"/>
          <w:jc w:val="center"/>
        </w:trPr>
        <w:tc>
          <w:tcPr>
            <w:tcW w:w="1002" w:type="dxa"/>
            <w:vMerge w:val="restart"/>
            <w:shd w:val="clear" w:color="auto" w:fill="FFFFFF"/>
            <w:vAlign w:val="center"/>
          </w:tcPr>
          <w:p w14:paraId="46298C54">
            <w:pPr>
              <w:widowControl/>
              <w:spacing w:line="0" w:lineRule="atLeast"/>
              <w:jc w:val="center"/>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产出</w:t>
            </w:r>
          </w:p>
        </w:tc>
        <w:tc>
          <w:tcPr>
            <w:tcW w:w="1000" w:type="dxa"/>
            <w:shd w:val="clear" w:color="auto" w:fill="FFFFFF"/>
            <w:vAlign w:val="center"/>
          </w:tcPr>
          <w:p w14:paraId="263CE868">
            <w:pPr>
              <w:widowControl/>
              <w:spacing w:line="0" w:lineRule="atLeast"/>
              <w:jc w:val="center"/>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产出数量</w:t>
            </w:r>
          </w:p>
        </w:tc>
        <w:tc>
          <w:tcPr>
            <w:tcW w:w="1071" w:type="dxa"/>
            <w:shd w:val="clear" w:color="auto" w:fill="FFFFFF"/>
            <w:vAlign w:val="center"/>
          </w:tcPr>
          <w:p w14:paraId="4E2E5D6B">
            <w:pPr>
              <w:widowControl/>
              <w:spacing w:line="0" w:lineRule="atLeast"/>
              <w:jc w:val="center"/>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实际完成率</w:t>
            </w:r>
          </w:p>
        </w:tc>
        <w:tc>
          <w:tcPr>
            <w:tcW w:w="1725" w:type="dxa"/>
            <w:shd w:val="clear" w:color="000000" w:fill="FFFFFF"/>
            <w:vAlign w:val="center"/>
          </w:tcPr>
          <w:p w14:paraId="4C070BF2">
            <w:pPr>
              <w:widowControl/>
              <w:spacing w:line="0" w:lineRule="atLeast"/>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项目实施的实际产出数与计划产出数的比率，用以反映和考核项目产出数量目标的实现程度。</w:t>
            </w:r>
          </w:p>
        </w:tc>
        <w:tc>
          <w:tcPr>
            <w:tcW w:w="5216" w:type="dxa"/>
            <w:shd w:val="clear" w:color="000000" w:fill="FFFFFF"/>
            <w:vAlign w:val="center"/>
          </w:tcPr>
          <w:p w14:paraId="4046E96E">
            <w:pPr>
              <w:widowControl/>
              <w:spacing w:line="0" w:lineRule="atLeast"/>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实际完成率=（实际产出数/计划产出数）×100%。</w:t>
            </w:r>
            <w:r>
              <w:rPr>
                <w:rFonts w:hint="default" w:ascii="Times New Roman" w:hAnsi="Times New Roman" w:eastAsia="仿宋_GB2312" w:cs="Times New Roman"/>
                <w:color w:val="000000"/>
                <w:kern w:val="0"/>
                <w:sz w:val="18"/>
                <w:szCs w:val="18"/>
                <w:highlight w:val="none"/>
              </w:rPr>
              <w:br w:type="textWrapping"/>
            </w:r>
            <w:r>
              <w:rPr>
                <w:rFonts w:hint="default" w:ascii="Times New Roman" w:hAnsi="Times New Roman" w:eastAsia="仿宋_GB2312" w:cs="Times New Roman"/>
                <w:color w:val="000000"/>
                <w:kern w:val="0"/>
                <w:sz w:val="18"/>
                <w:szCs w:val="18"/>
                <w:highlight w:val="none"/>
              </w:rPr>
              <w:t>实际产出数：一定时期（本年度或项目期）内项目实际产出的产品或提供的服务数量。</w:t>
            </w:r>
            <w:r>
              <w:rPr>
                <w:rFonts w:hint="default" w:ascii="Times New Roman" w:hAnsi="Times New Roman" w:eastAsia="仿宋_GB2312" w:cs="Times New Roman"/>
                <w:color w:val="000000"/>
                <w:kern w:val="0"/>
                <w:sz w:val="18"/>
                <w:szCs w:val="18"/>
                <w:highlight w:val="none"/>
              </w:rPr>
              <w:br w:type="textWrapping"/>
            </w:r>
            <w:r>
              <w:rPr>
                <w:rFonts w:hint="default" w:ascii="Times New Roman" w:hAnsi="Times New Roman" w:eastAsia="仿宋_GB2312" w:cs="Times New Roman"/>
                <w:color w:val="000000"/>
                <w:kern w:val="0"/>
                <w:sz w:val="18"/>
                <w:szCs w:val="18"/>
                <w:highlight w:val="none"/>
              </w:rPr>
              <w:t>计划产出数：项目绩效目标确定的在一定时期（本年度或项目期）内计划产出的产品或提供的服务数量。</w:t>
            </w:r>
          </w:p>
        </w:tc>
        <w:tc>
          <w:tcPr>
            <w:tcW w:w="1304" w:type="dxa"/>
            <w:gridSpan w:val="2"/>
            <w:shd w:val="clear" w:color="000000" w:fill="FFFFFF"/>
            <w:vAlign w:val="center"/>
          </w:tcPr>
          <w:p w14:paraId="62A8FB53">
            <w:pPr>
              <w:widowControl/>
              <w:spacing w:line="0" w:lineRule="atLeast"/>
              <w:jc w:val="center"/>
              <w:rPr>
                <w:rFonts w:hint="default" w:ascii="Times New Roman" w:hAnsi="Times New Roman" w:eastAsia="仿宋_GB2312" w:cs="Times New Roman"/>
                <w:b/>
                <w:bCs/>
                <w:color w:val="000000"/>
                <w:kern w:val="0"/>
                <w:sz w:val="18"/>
                <w:szCs w:val="18"/>
                <w:highlight w:val="none"/>
              </w:rPr>
            </w:pPr>
            <w:r>
              <w:rPr>
                <w:rFonts w:hint="default" w:ascii="Times New Roman" w:hAnsi="Times New Roman" w:eastAsia="仿宋_GB2312" w:cs="Times New Roman"/>
                <w:b/>
                <w:bCs/>
                <w:color w:val="000000"/>
                <w:kern w:val="0"/>
                <w:sz w:val="18"/>
                <w:szCs w:val="18"/>
                <w:highlight w:val="none"/>
              </w:rPr>
              <w:t>10</w:t>
            </w:r>
          </w:p>
        </w:tc>
        <w:tc>
          <w:tcPr>
            <w:tcW w:w="1365" w:type="dxa"/>
            <w:shd w:val="clear" w:color="000000" w:fill="FFFFFF"/>
            <w:vAlign w:val="center"/>
          </w:tcPr>
          <w:p w14:paraId="252C0C81">
            <w:pPr>
              <w:widowControl/>
              <w:spacing w:line="0" w:lineRule="atLeast"/>
              <w:jc w:val="center"/>
              <w:rPr>
                <w:rFonts w:hint="default" w:ascii="Times New Roman" w:hAnsi="Times New Roman" w:eastAsia="仿宋_GB2312" w:cs="Times New Roman"/>
                <w:b/>
                <w:bCs/>
                <w:color w:val="000000"/>
                <w:kern w:val="0"/>
                <w:sz w:val="18"/>
                <w:szCs w:val="18"/>
                <w:highlight w:val="none"/>
                <w:lang w:val="en-US" w:eastAsia="zh-CN"/>
              </w:rPr>
            </w:pPr>
            <w:r>
              <w:rPr>
                <w:rFonts w:hint="eastAsia" w:eastAsia="仿宋_GB2312" w:cs="Times New Roman"/>
                <w:b/>
                <w:bCs/>
                <w:color w:val="000000"/>
                <w:kern w:val="0"/>
                <w:sz w:val="18"/>
                <w:szCs w:val="18"/>
                <w:highlight w:val="none"/>
                <w:lang w:val="en-US" w:eastAsia="zh-CN"/>
              </w:rPr>
              <w:t>10</w:t>
            </w:r>
          </w:p>
        </w:tc>
      </w:tr>
      <w:tr w14:paraId="7B78BC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73" w:hRule="atLeast"/>
          <w:jc w:val="center"/>
        </w:trPr>
        <w:tc>
          <w:tcPr>
            <w:tcW w:w="1002" w:type="dxa"/>
            <w:vMerge w:val="continue"/>
            <w:shd w:val="clear" w:color="auto" w:fill="FFFFFF"/>
            <w:vAlign w:val="center"/>
          </w:tcPr>
          <w:p w14:paraId="7C823F93">
            <w:pPr>
              <w:widowControl/>
              <w:spacing w:line="0" w:lineRule="atLeast"/>
              <w:jc w:val="center"/>
              <w:rPr>
                <w:rFonts w:hint="default" w:ascii="Times New Roman" w:hAnsi="Times New Roman" w:eastAsia="仿宋_GB2312" w:cs="Times New Roman"/>
                <w:color w:val="000000"/>
                <w:kern w:val="0"/>
                <w:sz w:val="18"/>
                <w:szCs w:val="18"/>
                <w:highlight w:val="none"/>
              </w:rPr>
            </w:pPr>
          </w:p>
        </w:tc>
        <w:tc>
          <w:tcPr>
            <w:tcW w:w="1000" w:type="dxa"/>
            <w:shd w:val="clear" w:color="auto" w:fill="FFFFFF"/>
            <w:vAlign w:val="center"/>
          </w:tcPr>
          <w:p w14:paraId="46D7C957">
            <w:pPr>
              <w:widowControl/>
              <w:spacing w:line="0" w:lineRule="atLeast"/>
              <w:jc w:val="center"/>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产出质量</w:t>
            </w:r>
          </w:p>
        </w:tc>
        <w:tc>
          <w:tcPr>
            <w:tcW w:w="1071" w:type="dxa"/>
            <w:shd w:val="clear" w:color="auto" w:fill="FFFFFF"/>
            <w:vAlign w:val="center"/>
          </w:tcPr>
          <w:p w14:paraId="5EB869AA">
            <w:pPr>
              <w:widowControl/>
              <w:spacing w:line="0" w:lineRule="atLeast"/>
              <w:jc w:val="center"/>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质量达标率</w:t>
            </w:r>
          </w:p>
        </w:tc>
        <w:tc>
          <w:tcPr>
            <w:tcW w:w="1725" w:type="dxa"/>
            <w:shd w:val="clear" w:color="000000" w:fill="FFFFFF"/>
            <w:vAlign w:val="center"/>
          </w:tcPr>
          <w:p w14:paraId="4454EE4C">
            <w:pPr>
              <w:widowControl/>
              <w:spacing w:line="0" w:lineRule="atLeast"/>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项目完成的质量达标产出数与实际产出数的比率，用以反映和考核项目产出质量目标的实现程度。</w:t>
            </w:r>
          </w:p>
        </w:tc>
        <w:tc>
          <w:tcPr>
            <w:tcW w:w="5216" w:type="dxa"/>
            <w:shd w:val="clear" w:color="000000" w:fill="FFFFFF"/>
            <w:vAlign w:val="center"/>
          </w:tcPr>
          <w:p w14:paraId="7EE27994">
            <w:pPr>
              <w:widowControl/>
              <w:spacing w:line="0" w:lineRule="atLeast"/>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质量达标率=（质量达标产出数/实际产出数）×100%。</w:t>
            </w:r>
          </w:p>
          <w:p w14:paraId="24125870">
            <w:pPr>
              <w:widowControl/>
              <w:spacing w:line="0" w:lineRule="atLeast"/>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质量达标产出数：一定时期（本年度或项目期）内实际达到既定质量标准的产品或服务数量。既定质量标准是指项目实施单位设立绩效目标时依据计划标准、行业标准、历史标准或其他标准而设定的绩效指标值。</w:t>
            </w:r>
          </w:p>
        </w:tc>
        <w:tc>
          <w:tcPr>
            <w:tcW w:w="1304" w:type="dxa"/>
            <w:gridSpan w:val="2"/>
            <w:shd w:val="clear" w:color="000000" w:fill="FFFFFF"/>
            <w:vAlign w:val="center"/>
          </w:tcPr>
          <w:p w14:paraId="38CE6F5D">
            <w:pPr>
              <w:widowControl/>
              <w:spacing w:line="0" w:lineRule="atLeast"/>
              <w:jc w:val="center"/>
              <w:rPr>
                <w:rFonts w:hint="default" w:ascii="Times New Roman" w:hAnsi="Times New Roman" w:eastAsia="仿宋_GB2312" w:cs="Times New Roman"/>
                <w:b/>
                <w:bCs/>
                <w:color w:val="000000"/>
                <w:kern w:val="0"/>
                <w:sz w:val="18"/>
                <w:szCs w:val="18"/>
                <w:highlight w:val="none"/>
              </w:rPr>
            </w:pPr>
            <w:r>
              <w:rPr>
                <w:rFonts w:hint="default" w:ascii="Times New Roman" w:hAnsi="Times New Roman" w:eastAsia="仿宋_GB2312" w:cs="Times New Roman"/>
                <w:b/>
                <w:bCs/>
                <w:color w:val="000000"/>
                <w:kern w:val="0"/>
                <w:sz w:val="18"/>
                <w:szCs w:val="18"/>
                <w:highlight w:val="none"/>
              </w:rPr>
              <w:t>10</w:t>
            </w:r>
          </w:p>
        </w:tc>
        <w:tc>
          <w:tcPr>
            <w:tcW w:w="1365" w:type="dxa"/>
            <w:shd w:val="clear" w:color="000000" w:fill="FFFFFF"/>
            <w:vAlign w:val="center"/>
          </w:tcPr>
          <w:p w14:paraId="6C62F9D5">
            <w:pPr>
              <w:widowControl/>
              <w:spacing w:line="0" w:lineRule="atLeast"/>
              <w:jc w:val="center"/>
              <w:rPr>
                <w:rFonts w:hint="default" w:ascii="Times New Roman" w:hAnsi="Times New Roman" w:eastAsia="仿宋_GB2312" w:cs="Times New Roman"/>
                <w:b/>
                <w:bCs/>
                <w:color w:val="000000"/>
                <w:kern w:val="0"/>
                <w:sz w:val="18"/>
                <w:szCs w:val="18"/>
                <w:highlight w:val="none"/>
                <w:lang w:val="en-US" w:eastAsia="zh-CN"/>
              </w:rPr>
            </w:pPr>
            <w:r>
              <w:rPr>
                <w:rFonts w:hint="eastAsia" w:eastAsia="仿宋_GB2312" w:cs="Times New Roman"/>
                <w:b/>
                <w:bCs/>
                <w:color w:val="000000"/>
                <w:kern w:val="0"/>
                <w:sz w:val="18"/>
                <w:szCs w:val="18"/>
                <w:highlight w:val="none"/>
                <w:lang w:val="en-US" w:eastAsia="zh-CN"/>
              </w:rPr>
              <w:t>10</w:t>
            </w:r>
          </w:p>
        </w:tc>
      </w:tr>
      <w:tr w14:paraId="61AEF3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506" w:hRule="atLeast"/>
          <w:jc w:val="center"/>
        </w:trPr>
        <w:tc>
          <w:tcPr>
            <w:tcW w:w="1002" w:type="dxa"/>
            <w:vMerge w:val="continue"/>
            <w:shd w:val="clear" w:color="auto" w:fill="FFFFFF"/>
            <w:vAlign w:val="center"/>
          </w:tcPr>
          <w:p w14:paraId="56537673">
            <w:pPr>
              <w:spacing w:line="0" w:lineRule="atLeast"/>
              <w:jc w:val="center"/>
              <w:rPr>
                <w:rFonts w:hint="default" w:ascii="Times New Roman" w:hAnsi="Times New Roman" w:eastAsia="仿宋_GB2312" w:cs="Times New Roman"/>
                <w:color w:val="000000"/>
                <w:kern w:val="0"/>
                <w:sz w:val="18"/>
                <w:szCs w:val="18"/>
                <w:highlight w:val="none"/>
              </w:rPr>
            </w:pPr>
          </w:p>
        </w:tc>
        <w:tc>
          <w:tcPr>
            <w:tcW w:w="1000" w:type="dxa"/>
            <w:shd w:val="clear" w:color="auto" w:fill="FFFFFF"/>
            <w:vAlign w:val="center"/>
          </w:tcPr>
          <w:p w14:paraId="2AB52A37">
            <w:pPr>
              <w:spacing w:line="0" w:lineRule="atLeast"/>
              <w:jc w:val="center"/>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产出时效</w:t>
            </w:r>
          </w:p>
        </w:tc>
        <w:tc>
          <w:tcPr>
            <w:tcW w:w="1071" w:type="dxa"/>
            <w:shd w:val="clear" w:color="auto" w:fill="FFFFFF"/>
            <w:vAlign w:val="center"/>
          </w:tcPr>
          <w:p w14:paraId="38AB643B">
            <w:pPr>
              <w:widowControl/>
              <w:spacing w:line="0" w:lineRule="atLeast"/>
              <w:jc w:val="center"/>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完成及时性</w:t>
            </w:r>
          </w:p>
        </w:tc>
        <w:tc>
          <w:tcPr>
            <w:tcW w:w="1725" w:type="dxa"/>
            <w:shd w:val="clear" w:color="000000" w:fill="FFFFFF"/>
            <w:vAlign w:val="center"/>
          </w:tcPr>
          <w:p w14:paraId="5F2E0DC3">
            <w:pPr>
              <w:widowControl/>
              <w:spacing w:line="0" w:lineRule="atLeast"/>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项目实际完成时间与计划完成时间的比较，用以反映和考核项目产出时效目标的实现程度。</w:t>
            </w:r>
          </w:p>
        </w:tc>
        <w:tc>
          <w:tcPr>
            <w:tcW w:w="5216" w:type="dxa"/>
            <w:shd w:val="clear" w:color="000000" w:fill="FFFFFF"/>
            <w:vAlign w:val="center"/>
          </w:tcPr>
          <w:p w14:paraId="5A6729E4">
            <w:pPr>
              <w:widowControl/>
              <w:spacing w:line="0" w:lineRule="atLeast"/>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实际完成时间：项目实施单位完成该项目实际所耗用的时间。</w:t>
            </w:r>
            <w:r>
              <w:rPr>
                <w:rFonts w:hint="default" w:ascii="Times New Roman" w:hAnsi="Times New Roman" w:eastAsia="仿宋_GB2312" w:cs="Times New Roman"/>
                <w:color w:val="000000"/>
                <w:kern w:val="0"/>
                <w:sz w:val="18"/>
                <w:szCs w:val="18"/>
                <w:highlight w:val="none"/>
              </w:rPr>
              <w:br w:type="textWrapping"/>
            </w:r>
            <w:r>
              <w:rPr>
                <w:rFonts w:hint="default" w:ascii="Times New Roman" w:hAnsi="Times New Roman" w:eastAsia="仿宋_GB2312" w:cs="Times New Roman"/>
                <w:color w:val="000000"/>
                <w:kern w:val="0"/>
                <w:sz w:val="18"/>
                <w:szCs w:val="18"/>
                <w:highlight w:val="none"/>
              </w:rPr>
              <w:t>计划完成时间：按照项目实施计划或相关规定完成该项目所需的时间。</w:t>
            </w:r>
          </w:p>
        </w:tc>
        <w:tc>
          <w:tcPr>
            <w:tcW w:w="1304" w:type="dxa"/>
            <w:gridSpan w:val="2"/>
            <w:shd w:val="clear" w:color="000000" w:fill="FFFFFF"/>
            <w:vAlign w:val="center"/>
          </w:tcPr>
          <w:p w14:paraId="4DADA684">
            <w:pPr>
              <w:widowControl/>
              <w:spacing w:line="0" w:lineRule="atLeast"/>
              <w:jc w:val="center"/>
              <w:rPr>
                <w:rFonts w:hint="default" w:ascii="Times New Roman" w:hAnsi="Times New Roman" w:eastAsia="仿宋_GB2312" w:cs="Times New Roman"/>
                <w:b/>
                <w:bCs/>
                <w:color w:val="000000"/>
                <w:kern w:val="0"/>
                <w:sz w:val="18"/>
                <w:szCs w:val="18"/>
                <w:highlight w:val="none"/>
              </w:rPr>
            </w:pPr>
            <w:r>
              <w:rPr>
                <w:rFonts w:hint="default" w:ascii="Times New Roman" w:hAnsi="Times New Roman" w:eastAsia="仿宋_GB2312" w:cs="Times New Roman"/>
                <w:b/>
                <w:bCs/>
                <w:color w:val="000000"/>
                <w:kern w:val="0"/>
                <w:sz w:val="18"/>
                <w:szCs w:val="18"/>
                <w:highlight w:val="none"/>
              </w:rPr>
              <w:t>10</w:t>
            </w:r>
          </w:p>
        </w:tc>
        <w:tc>
          <w:tcPr>
            <w:tcW w:w="1365" w:type="dxa"/>
            <w:shd w:val="clear" w:color="000000" w:fill="FFFFFF"/>
            <w:vAlign w:val="center"/>
          </w:tcPr>
          <w:p w14:paraId="0B351A9B">
            <w:pPr>
              <w:widowControl/>
              <w:spacing w:line="0" w:lineRule="atLeast"/>
              <w:jc w:val="center"/>
              <w:rPr>
                <w:rFonts w:hint="default" w:ascii="Times New Roman" w:hAnsi="Times New Roman" w:eastAsia="仿宋_GB2312" w:cs="Times New Roman"/>
                <w:b/>
                <w:bCs/>
                <w:color w:val="000000"/>
                <w:kern w:val="0"/>
                <w:sz w:val="18"/>
                <w:szCs w:val="18"/>
                <w:highlight w:val="none"/>
                <w:lang w:val="en-US" w:eastAsia="zh-CN"/>
              </w:rPr>
            </w:pPr>
            <w:r>
              <w:rPr>
                <w:rFonts w:hint="eastAsia" w:eastAsia="仿宋_GB2312" w:cs="Times New Roman"/>
                <w:b/>
                <w:bCs/>
                <w:color w:val="000000"/>
                <w:kern w:val="0"/>
                <w:sz w:val="18"/>
                <w:szCs w:val="18"/>
                <w:highlight w:val="none"/>
                <w:lang w:val="en-US" w:eastAsia="zh-CN"/>
              </w:rPr>
              <w:t>10</w:t>
            </w:r>
          </w:p>
        </w:tc>
      </w:tr>
      <w:tr w14:paraId="4F7DE9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76" w:hRule="atLeast"/>
          <w:jc w:val="center"/>
        </w:trPr>
        <w:tc>
          <w:tcPr>
            <w:tcW w:w="1002" w:type="dxa"/>
            <w:vMerge w:val="continue"/>
            <w:shd w:val="clear" w:color="auto" w:fill="FFFFFF"/>
            <w:vAlign w:val="center"/>
          </w:tcPr>
          <w:p w14:paraId="6FB0E787">
            <w:pPr>
              <w:widowControl/>
              <w:spacing w:line="0" w:lineRule="atLeast"/>
              <w:jc w:val="center"/>
              <w:rPr>
                <w:rFonts w:hint="default" w:ascii="Times New Roman" w:hAnsi="Times New Roman" w:eastAsia="仿宋_GB2312" w:cs="Times New Roman"/>
                <w:color w:val="000000"/>
                <w:kern w:val="0"/>
                <w:sz w:val="18"/>
                <w:szCs w:val="18"/>
                <w:highlight w:val="none"/>
              </w:rPr>
            </w:pPr>
          </w:p>
        </w:tc>
        <w:tc>
          <w:tcPr>
            <w:tcW w:w="1000" w:type="dxa"/>
            <w:shd w:val="clear" w:color="auto" w:fill="FFFFFF"/>
            <w:vAlign w:val="center"/>
          </w:tcPr>
          <w:p w14:paraId="72F194D2">
            <w:pPr>
              <w:widowControl/>
              <w:spacing w:line="0" w:lineRule="atLeast"/>
              <w:jc w:val="center"/>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产出成本</w:t>
            </w:r>
          </w:p>
        </w:tc>
        <w:tc>
          <w:tcPr>
            <w:tcW w:w="1071" w:type="dxa"/>
            <w:shd w:val="clear" w:color="auto" w:fill="FFFFFF"/>
            <w:vAlign w:val="center"/>
          </w:tcPr>
          <w:p w14:paraId="38DC3D0B">
            <w:pPr>
              <w:widowControl/>
              <w:spacing w:line="0" w:lineRule="atLeast"/>
              <w:jc w:val="center"/>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成本节约率</w:t>
            </w:r>
          </w:p>
        </w:tc>
        <w:tc>
          <w:tcPr>
            <w:tcW w:w="1725" w:type="dxa"/>
            <w:shd w:val="clear" w:color="000000" w:fill="FFFFFF"/>
            <w:vAlign w:val="center"/>
          </w:tcPr>
          <w:p w14:paraId="38B00DC5">
            <w:pPr>
              <w:widowControl/>
              <w:spacing w:line="0" w:lineRule="atLeast"/>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完成项目计划工作目标的实际节约成本与计划成本的比率，用以反映和考核项目的成本节约程度。</w:t>
            </w:r>
          </w:p>
        </w:tc>
        <w:tc>
          <w:tcPr>
            <w:tcW w:w="5216" w:type="dxa"/>
            <w:shd w:val="clear" w:color="000000" w:fill="FFFFFF"/>
            <w:vAlign w:val="center"/>
          </w:tcPr>
          <w:p w14:paraId="11F8D8B0">
            <w:pPr>
              <w:widowControl/>
              <w:spacing w:line="0" w:lineRule="atLeast"/>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br w:type="textWrapping"/>
            </w:r>
            <w:r>
              <w:rPr>
                <w:rFonts w:hint="default" w:ascii="Times New Roman" w:hAnsi="Times New Roman" w:eastAsia="仿宋_GB2312" w:cs="Times New Roman"/>
                <w:color w:val="000000"/>
                <w:kern w:val="0"/>
                <w:sz w:val="18"/>
                <w:szCs w:val="18"/>
                <w:highlight w:val="none"/>
              </w:rPr>
              <w:t>成本节约率=[（计划成本-实际成本）/计划成本]×100%。</w:t>
            </w:r>
            <w:r>
              <w:rPr>
                <w:rFonts w:hint="default" w:ascii="Times New Roman" w:hAnsi="Times New Roman" w:eastAsia="仿宋_GB2312" w:cs="Times New Roman"/>
                <w:color w:val="000000"/>
                <w:kern w:val="0"/>
                <w:sz w:val="18"/>
                <w:szCs w:val="18"/>
                <w:highlight w:val="none"/>
              </w:rPr>
              <w:br w:type="textWrapping"/>
            </w:r>
            <w:r>
              <w:rPr>
                <w:rFonts w:hint="default" w:ascii="Times New Roman" w:hAnsi="Times New Roman" w:eastAsia="仿宋_GB2312" w:cs="Times New Roman"/>
                <w:color w:val="000000"/>
                <w:kern w:val="0"/>
                <w:sz w:val="18"/>
                <w:szCs w:val="18"/>
                <w:highlight w:val="none"/>
              </w:rPr>
              <w:t>实际成本：项目实施单位如期、保质、保量完成既定工作目标实际所耗费的支出。</w:t>
            </w:r>
            <w:r>
              <w:rPr>
                <w:rFonts w:hint="default" w:ascii="Times New Roman" w:hAnsi="Times New Roman" w:eastAsia="仿宋_GB2312" w:cs="Times New Roman"/>
                <w:color w:val="000000"/>
                <w:kern w:val="0"/>
                <w:sz w:val="18"/>
                <w:szCs w:val="18"/>
                <w:highlight w:val="none"/>
              </w:rPr>
              <w:br w:type="textWrapping"/>
            </w:r>
            <w:r>
              <w:rPr>
                <w:rFonts w:hint="default" w:ascii="Times New Roman" w:hAnsi="Times New Roman" w:eastAsia="仿宋_GB2312" w:cs="Times New Roman"/>
                <w:color w:val="000000"/>
                <w:kern w:val="0"/>
                <w:sz w:val="18"/>
                <w:szCs w:val="18"/>
                <w:highlight w:val="none"/>
              </w:rPr>
              <w:t>计划成本：项目实施单位为完成工作目标计划安排的支出，一般以项目预算为参考。</w:t>
            </w:r>
          </w:p>
        </w:tc>
        <w:tc>
          <w:tcPr>
            <w:tcW w:w="1304" w:type="dxa"/>
            <w:gridSpan w:val="2"/>
            <w:shd w:val="clear" w:color="000000" w:fill="FFFFFF"/>
            <w:vAlign w:val="center"/>
          </w:tcPr>
          <w:p w14:paraId="6C9B0BD8">
            <w:pPr>
              <w:widowControl/>
              <w:spacing w:line="0" w:lineRule="atLeast"/>
              <w:jc w:val="center"/>
              <w:rPr>
                <w:rFonts w:hint="default" w:ascii="Times New Roman" w:hAnsi="Times New Roman" w:eastAsia="仿宋_GB2312" w:cs="Times New Roman"/>
                <w:b/>
                <w:bCs/>
                <w:color w:val="000000"/>
                <w:kern w:val="0"/>
                <w:sz w:val="18"/>
                <w:szCs w:val="18"/>
                <w:highlight w:val="none"/>
              </w:rPr>
            </w:pPr>
            <w:r>
              <w:rPr>
                <w:rFonts w:hint="default" w:ascii="Times New Roman" w:hAnsi="Times New Roman" w:eastAsia="仿宋_GB2312" w:cs="Times New Roman"/>
                <w:b/>
                <w:bCs/>
                <w:color w:val="000000"/>
                <w:kern w:val="0"/>
                <w:sz w:val="18"/>
                <w:szCs w:val="18"/>
                <w:highlight w:val="none"/>
              </w:rPr>
              <w:t>10</w:t>
            </w:r>
          </w:p>
        </w:tc>
        <w:tc>
          <w:tcPr>
            <w:tcW w:w="1365" w:type="dxa"/>
            <w:shd w:val="clear" w:color="000000" w:fill="FFFFFF"/>
            <w:vAlign w:val="center"/>
          </w:tcPr>
          <w:p w14:paraId="2FB0014E">
            <w:pPr>
              <w:widowControl/>
              <w:spacing w:line="0" w:lineRule="atLeast"/>
              <w:jc w:val="center"/>
              <w:rPr>
                <w:rFonts w:hint="default" w:ascii="Times New Roman" w:hAnsi="Times New Roman" w:eastAsia="仿宋_GB2312" w:cs="Times New Roman"/>
                <w:b/>
                <w:bCs/>
                <w:color w:val="000000"/>
                <w:kern w:val="0"/>
                <w:sz w:val="18"/>
                <w:szCs w:val="18"/>
                <w:highlight w:val="none"/>
                <w:lang w:val="en-US" w:eastAsia="zh-CN"/>
              </w:rPr>
            </w:pPr>
            <w:r>
              <w:rPr>
                <w:rFonts w:hint="eastAsia" w:eastAsia="仿宋_GB2312" w:cs="Times New Roman"/>
                <w:b/>
                <w:bCs/>
                <w:color w:val="000000"/>
                <w:kern w:val="0"/>
                <w:sz w:val="18"/>
                <w:szCs w:val="18"/>
                <w:highlight w:val="none"/>
                <w:lang w:val="en-US" w:eastAsia="zh-CN"/>
              </w:rPr>
              <w:t>10</w:t>
            </w:r>
          </w:p>
        </w:tc>
      </w:tr>
      <w:tr w14:paraId="139F5E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89" w:hRule="atLeast"/>
          <w:jc w:val="center"/>
        </w:trPr>
        <w:tc>
          <w:tcPr>
            <w:tcW w:w="1002" w:type="dxa"/>
            <w:vMerge w:val="restart"/>
            <w:shd w:val="clear" w:color="auto" w:fill="FFFFFF"/>
            <w:vAlign w:val="center"/>
          </w:tcPr>
          <w:p w14:paraId="52D834FD">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效益　</w:t>
            </w:r>
          </w:p>
        </w:tc>
        <w:tc>
          <w:tcPr>
            <w:tcW w:w="1000" w:type="dxa"/>
            <w:vMerge w:val="restart"/>
            <w:shd w:val="clear" w:color="auto" w:fill="FFFFFF"/>
            <w:vAlign w:val="center"/>
          </w:tcPr>
          <w:p w14:paraId="3C879F9B">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项目效益　</w:t>
            </w:r>
          </w:p>
        </w:tc>
        <w:tc>
          <w:tcPr>
            <w:tcW w:w="1071" w:type="dxa"/>
            <w:shd w:val="clear" w:color="auto" w:fill="FFFFFF"/>
            <w:vAlign w:val="center"/>
          </w:tcPr>
          <w:p w14:paraId="0D5EF02D">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实施效益</w:t>
            </w:r>
          </w:p>
        </w:tc>
        <w:tc>
          <w:tcPr>
            <w:tcW w:w="1725" w:type="dxa"/>
            <w:shd w:val="clear" w:color="auto" w:fill="FFFFFF"/>
            <w:vAlign w:val="center"/>
          </w:tcPr>
          <w:p w14:paraId="25C94DE2">
            <w:pPr>
              <w:widowControl/>
              <w:spacing w:line="0" w:lineRule="atLeast"/>
              <w:jc w:val="lef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项目实施所产生的效益。</w:t>
            </w:r>
          </w:p>
        </w:tc>
        <w:tc>
          <w:tcPr>
            <w:tcW w:w="5216" w:type="dxa"/>
            <w:shd w:val="clear" w:color="auto" w:fill="FFFFFF"/>
            <w:vAlign w:val="center"/>
          </w:tcPr>
          <w:p w14:paraId="282B6FFC">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项目实施所产生的社会效益、经济效益、生态效益、可持续影响等。可根据项目实际情况有选择地设置和细化。</w:t>
            </w:r>
          </w:p>
        </w:tc>
        <w:tc>
          <w:tcPr>
            <w:tcW w:w="1304" w:type="dxa"/>
            <w:gridSpan w:val="2"/>
            <w:shd w:val="clear" w:color="auto" w:fill="FFFFFF"/>
            <w:vAlign w:val="center"/>
          </w:tcPr>
          <w:p w14:paraId="1A8A4135">
            <w:pPr>
              <w:widowControl/>
              <w:spacing w:line="0" w:lineRule="atLeast"/>
              <w:jc w:val="center"/>
              <w:rPr>
                <w:rFonts w:hint="default" w:ascii="Times New Roman" w:hAnsi="Times New Roman" w:eastAsia="仿宋_GB2312" w:cs="Times New Roman"/>
                <w:b/>
                <w:bCs/>
                <w:color w:val="000000"/>
                <w:kern w:val="0"/>
                <w:sz w:val="18"/>
                <w:szCs w:val="18"/>
              </w:rPr>
            </w:pPr>
            <w:r>
              <w:rPr>
                <w:rFonts w:hint="default" w:ascii="Times New Roman" w:hAnsi="Times New Roman" w:eastAsia="仿宋_GB2312" w:cs="Times New Roman"/>
                <w:b/>
                <w:bCs/>
                <w:color w:val="000000"/>
                <w:kern w:val="0"/>
                <w:sz w:val="18"/>
                <w:szCs w:val="18"/>
              </w:rPr>
              <w:t>10</w:t>
            </w:r>
          </w:p>
        </w:tc>
        <w:tc>
          <w:tcPr>
            <w:tcW w:w="1365" w:type="dxa"/>
            <w:shd w:val="clear" w:color="auto" w:fill="FFFFFF"/>
            <w:vAlign w:val="center"/>
          </w:tcPr>
          <w:p w14:paraId="05190AFB">
            <w:pPr>
              <w:widowControl/>
              <w:spacing w:line="0" w:lineRule="atLeast"/>
              <w:jc w:val="center"/>
              <w:rPr>
                <w:rFonts w:hint="default" w:ascii="Times New Roman" w:hAnsi="Times New Roman" w:eastAsia="仿宋_GB2312" w:cs="Times New Roman"/>
                <w:b/>
                <w:bCs/>
                <w:color w:val="000000"/>
                <w:kern w:val="0"/>
                <w:sz w:val="18"/>
                <w:szCs w:val="18"/>
                <w:highlight w:val="none"/>
                <w:lang w:val="en-US" w:eastAsia="zh-CN"/>
              </w:rPr>
            </w:pPr>
            <w:r>
              <w:rPr>
                <w:rFonts w:hint="eastAsia" w:eastAsia="仿宋_GB2312" w:cs="Times New Roman"/>
                <w:b/>
                <w:bCs/>
                <w:color w:val="000000"/>
                <w:kern w:val="0"/>
                <w:sz w:val="18"/>
                <w:szCs w:val="18"/>
                <w:highlight w:val="none"/>
                <w:lang w:val="en-US" w:eastAsia="zh-CN"/>
              </w:rPr>
              <w:t>10</w:t>
            </w:r>
          </w:p>
        </w:tc>
      </w:tr>
      <w:tr w14:paraId="550B5B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137" w:hRule="atLeast"/>
          <w:jc w:val="center"/>
        </w:trPr>
        <w:tc>
          <w:tcPr>
            <w:tcW w:w="1002" w:type="dxa"/>
            <w:vMerge w:val="continue"/>
            <w:shd w:val="clear" w:color="auto" w:fill="FFFFFF"/>
            <w:vAlign w:val="center"/>
          </w:tcPr>
          <w:p w14:paraId="4F1FEFC5">
            <w:pPr>
              <w:widowControl/>
              <w:spacing w:line="0" w:lineRule="atLeast"/>
              <w:jc w:val="center"/>
              <w:rPr>
                <w:rFonts w:hint="default" w:ascii="Times New Roman" w:hAnsi="Times New Roman" w:eastAsia="仿宋_GB2312" w:cs="Times New Roman"/>
                <w:color w:val="000000"/>
                <w:kern w:val="0"/>
                <w:sz w:val="18"/>
                <w:szCs w:val="18"/>
              </w:rPr>
            </w:pPr>
          </w:p>
        </w:tc>
        <w:tc>
          <w:tcPr>
            <w:tcW w:w="1000" w:type="dxa"/>
            <w:vMerge w:val="continue"/>
            <w:shd w:val="clear" w:color="auto" w:fill="FFFFFF"/>
            <w:vAlign w:val="center"/>
          </w:tcPr>
          <w:p w14:paraId="1FA2C46D">
            <w:pPr>
              <w:widowControl/>
              <w:spacing w:line="0" w:lineRule="atLeast"/>
              <w:jc w:val="center"/>
              <w:rPr>
                <w:rFonts w:hint="default" w:ascii="Times New Roman" w:hAnsi="Times New Roman" w:eastAsia="仿宋_GB2312" w:cs="Times New Roman"/>
                <w:color w:val="000000"/>
                <w:kern w:val="0"/>
                <w:sz w:val="18"/>
                <w:szCs w:val="18"/>
              </w:rPr>
            </w:pPr>
          </w:p>
        </w:tc>
        <w:tc>
          <w:tcPr>
            <w:tcW w:w="1071" w:type="dxa"/>
            <w:shd w:val="clear" w:color="auto" w:fill="FFFFFF"/>
            <w:vAlign w:val="center"/>
          </w:tcPr>
          <w:p w14:paraId="4E2403D9">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highlight w:val="none"/>
              </w:rPr>
              <w:t>满意度</w:t>
            </w:r>
          </w:p>
        </w:tc>
        <w:tc>
          <w:tcPr>
            <w:tcW w:w="1725" w:type="dxa"/>
            <w:shd w:val="clear" w:color="000000" w:fill="FFFFFF"/>
            <w:vAlign w:val="center"/>
          </w:tcPr>
          <w:p w14:paraId="46E85FB8">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社会公众或服务对象对项目实施效果的满意程度。</w:t>
            </w:r>
          </w:p>
        </w:tc>
        <w:tc>
          <w:tcPr>
            <w:tcW w:w="5216" w:type="dxa"/>
            <w:shd w:val="clear" w:color="000000" w:fill="FFFFFF"/>
            <w:vAlign w:val="center"/>
          </w:tcPr>
          <w:p w14:paraId="64E093C2">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社会公众或服务对象是指因该项目实施而受到影响的部门（单位）、群体或个人。一般采取社会调查的方式。</w:t>
            </w:r>
          </w:p>
        </w:tc>
        <w:tc>
          <w:tcPr>
            <w:tcW w:w="1304" w:type="dxa"/>
            <w:gridSpan w:val="2"/>
            <w:shd w:val="clear" w:color="000000" w:fill="FFFFFF"/>
            <w:vAlign w:val="center"/>
          </w:tcPr>
          <w:p w14:paraId="0068A257">
            <w:pPr>
              <w:widowControl/>
              <w:spacing w:line="0" w:lineRule="atLeast"/>
              <w:jc w:val="center"/>
              <w:rPr>
                <w:rFonts w:hint="default" w:ascii="Times New Roman" w:hAnsi="Times New Roman" w:eastAsia="仿宋_GB2312" w:cs="Times New Roman"/>
                <w:b/>
                <w:bCs/>
                <w:color w:val="000000"/>
                <w:kern w:val="0"/>
                <w:sz w:val="18"/>
                <w:szCs w:val="18"/>
              </w:rPr>
            </w:pPr>
            <w:r>
              <w:rPr>
                <w:rFonts w:hint="default" w:ascii="Times New Roman" w:hAnsi="Times New Roman" w:eastAsia="仿宋_GB2312" w:cs="Times New Roman"/>
                <w:b/>
                <w:bCs/>
                <w:color w:val="000000"/>
                <w:kern w:val="0"/>
                <w:sz w:val="18"/>
                <w:szCs w:val="18"/>
              </w:rPr>
              <w:t>10</w:t>
            </w:r>
          </w:p>
        </w:tc>
        <w:tc>
          <w:tcPr>
            <w:tcW w:w="1365" w:type="dxa"/>
            <w:shd w:val="clear" w:color="000000" w:fill="FFFFFF"/>
            <w:vAlign w:val="center"/>
          </w:tcPr>
          <w:p w14:paraId="1EE6A1FE">
            <w:pPr>
              <w:widowControl/>
              <w:spacing w:line="0" w:lineRule="atLeast"/>
              <w:jc w:val="center"/>
              <w:rPr>
                <w:rFonts w:hint="default" w:ascii="Times New Roman" w:hAnsi="Times New Roman" w:eastAsia="仿宋_GB2312" w:cs="Times New Roman"/>
                <w:b/>
                <w:bCs/>
                <w:color w:val="000000"/>
                <w:kern w:val="0"/>
                <w:sz w:val="18"/>
                <w:szCs w:val="18"/>
                <w:highlight w:val="none"/>
                <w:lang w:val="en-US" w:eastAsia="zh-CN"/>
              </w:rPr>
            </w:pPr>
            <w:r>
              <w:rPr>
                <w:rFonts w:hint="eastAsia" w:eastAsia="仿宋_GB2312" w:cs="Times New Roman"/>
                <w:b/>
                <w:bCs/>
                <w:color w:val="000000"/>
                <w:kern w:val="0"/>
                <w:sz w:val="18"/>
                <w:szCs w:val="18"/>
                <w:highlight w:val="none"/>
                <w:lang w:val="en-US" w:eastAsia="zh-CN"/>
              </w:rPr>
              <w:t>10</w:t>
            </w:r>
          </w:p>
        </w:tc>
      </w:tr>
      <w:tr w14:paraId="2776B8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3" w:hRule="atLeast"/>
          <w:jc w:val="center"/>
        </w:trPr>
        <w:tc>
          <w:tcPr>
            <w:tcW w:w="10019" w:type="dxa"/>
            <w:gridSpan w:val="6"/>
            <w:shd w:val="clear" w:color="auto" w:fill="FFFFFF"/>
            <w:vAlign w:val="center"/>
          </w:tcPr>
          <w:p w14:paraId="02F5C5ED">
            <w:pPr>
              <w:widowControl/>
              <w:spacing w:line="0" w:lineRule="atLeast"/>
              <w:jc w:val="center"/>
              <w:rPr>
                <w:rFonts w:hint="eastAsia" w:ascii="Times New Roman" w:hAnsi="Times New Roman" w:eastAsia="仿宋_GB2312" w:cs="Times New Roman"/>
                <w:b/>
                <w:bCs/>
                <w:color w:val="000000"/>
                <w:kern w:val="0"/>
                <w:sz w:val="18"/>
                <w:szCs w:val="18"/>
                <w:lang w:val="en-US" w:eastAsia="zh-CN"/>
              </w:rPr>
            </w:pPr>
            <w:r>
              <w:rPr>
                <w:rFonts w:hint="eastAsia" w:eastAsia="仿宋_GB2312" w:cs="Times New Roman"/>
                <w:b/>
                <w:bCs/>
                <w:color w:val="000000"/>
                <w:kern w:val="0"/>
                <w:sz w:val="18"/>
                <w:szCs w:val="18"/>
                <w:lang w:val="en-US" w:eastAsia="zh-CN"/>
              </w:rPr>
              <w:t>合计</w:t>
            </w:r>
          </w:p>
        </w:tc>
        <w:tc>
          <w:tcPr>
            <w:tcW w:w="1299" w:type="dxa"/>
            <w:shd w:val="clear" w:color="000000" w:fill="FFFFFF"/>
            <w:vAlign w:val="center"/>
          </w:tcPr>
          <w:p w14:paraId="504A9904">
            <w:pPr>
              <w:widowControl/>
              <w:spacing w:line="0" w:lineRule="atLeast"/>
              <w:jc w:val="center"/>
              <w:rPr>
                <w:rFonts w:hint="default" w:ascii="Times New Roman" w:hAnsi="Times New Roman" w:eastAsia="仿宋_GB2312" w:cs="Times New Roman"/>
                <w:b/>
                <w:bCs/>
                <w:color w:val="000000"/>
                <w:kern w:val="0"/>
                <w:sz w:val="18"/>
                <w:szCs w:val="18"/>
              </w:rPr>
            </w:pPr>
            <w:r>
              <w:rPr>
                <w:rFonts w:hint="default" w:ascii="Times New Roman" w:hAnsi="Times New Roman" w:eastAsia="仿宋_GB2312" w:cs="Times New Roman"/>
                <w:b/>
                <w:bCs/>
                <w:color w:val="000000"/>
                <w:kern w:val="0"/>
                <w:sz w:val="18"/>
                <w:szCs w:val="18"/>
              </w:rPr>
              <w:fldChar w:fldCharType="begin"/>
            </w:r>
            <w:r>
              <w:rPr>
                <w:rFonts w:hint="default" w:ascii="Times New Roman" w:hAnsi="Times New Roman" w:eastAsia="仿宋_GB2312" w:cs="Times New Roman"/>
                <w:b/>
                <w:bCs/>
                <w:color w:val="000000"/>
                <w:kern w:val="0"/>
                <w:sz w:val="18"/>
                <w:szCs w:val="18"/>
              </w:rPr>
              <w:instrText xml:space="preserve"> = sum(F2:F18) \* MERGEFORMAT </w:instrText>
            </w:r>
            <w:r>
              <w:rPr>
                <w:rFonts w:hint="default" w:ascii="Times New Roman" w:hAnsi="Times New Roman" w:eastAsia="仿宋_GB2312" w:cs="Times New Roman"/>
                <w:b/>
                <w:bCs/>
                <w:color w:val="000000"/>
                <w:kern w:val="0"/>
                <w:sz w:val="18"/>
                <w:szCs w:val="18"/>
              </w:rPr>
              <w:fldChar w:fldCharType="separate"/>
            </w:r>
            <w:r>
              <w:rPr>
                <w:rFonts w:hint="default" w:ascii="Times New Roman" w:hAnsi="Times New Roman" w:eastAsia="仿宋_GB2312" w:cs="Times New Roman"/>
                <w:b/>
                <w:bCs/>
                <w:color w:val="000000"/>
                <w:kern w:val="0"/>
                <w:sz w:val="18"/>
                <w:szCs w:val="18"/>
              </w:rPr>
              <w:t>100</w:t>
            </w:r>
            <w:r>
              <w:rPr>
                <w:rFonts w:hint="default" w:ascii="Times New Roman" w:hAnsi="Times New Roman" w:eastAsia="仿宋_GB2312" w:cs="Times New Roman"/>
                <w:b/>
                <w:bCs/>
                <w:color w:val="000000"/>
                <w:kern w:val="0"/>
                <w:sz w:val="18"/>
                <w:szCs w:val="18"/>
              </w:rPr>
              <w:fldChar w:fldCharType="end"/>
            </w:r>
          </w:p>
        </w:tc>
        <w:tc>
          <w:tcPr>
            <w:tcW w:w="1365" w:type="dxa"/>
            <w:shd w:val="clear" w:color="000000" w:fill="FFFFFF"/>
            <w:vAlign w:val="center"/>
          </w:tcPr>
          <w:p w14:paraId="02E859BE">
            <w:pPr>
              <w:widowControl/>
              <w:spacing w:line="0" w:lineRule="atLeast"/>
              <w:jc w:val="center"/>
              <w:rPr>
                <w:rFonts w:hint="default" w:ascii="Times New Roman" w:hAnsi="Times New Roman" w:eastAsia="仿宋_GB2312" w:cs="Times New Roman"/>
                <w:b/>
                <w:bCs/>
                <w:color w:val="000000"/>
                <w:kern w:val="0"/>
                <w:sz w:val="18"/>
                <w:szCs w:val="18"/>
                <w:highlight w:val="none"/>
                <w:lang w:val="en-US" w:eastAsia="zh-CN"/>
              </w:rPr>
            </w:pPr>
            <w:r>
              <w:rPr>
                <w:rFonts w:hint="eastAsia" w:eastAsia="仿宋_GB2312" w:cs="Times New Roman"/>
                <w:b/>
                <w:bCs/>
                <w:color w:val="000000"/>
                <w:kern w:val="0"/>
                <w:sz w:val="18"/>
                <w:szCs w:val="18"/>
                <w:highlight w:val="none"/>
                <w:lang w:val="en-US" w:eastAsia="zh-CN"/>
              </w:rPr>
              <w:t>100</w:t>
            </w:r>
          </w:p>
        </w:tc>
      </w:tr>
    </w:tbl>
    <w:p w14:paraId="6B42EBF0">
      <w:pPr>
        <w:rPr>
          <w:rFonts w:hint="default" w:ascii="Times New Roman" w:hAnsi="Times New Roman" w:cs="Times New Roman"/>
        </w:rPr>
        <w:sectPr>
          <w:pgSz w:w="16838" w:h="11906" w:orient="landscape"/>
          <w:pgMar w:top="1800" w:right="1440" w:bottom="1558" w:left="1440" w:header="851" w:footer="992" w:gutter="0"/>
          <w:cols w:space="425" w:num="1"/>
          <w:docGrid w:type="lines" w:linePitch="312" w:charSpace="0"/>
        </w:sectPr>
      </w:pPr>
    </w:p>
    <w:p w14:paraId="3D559DBF">
      <w:pPr>
        <w:spacing w:line="600" w:lineRule="exact"/>
        <w:rPr>
          <w:rFonts w:hint="eastAsia" w:eastAsia="黑体" w:cs="Times New Roman"/>
          <w:sz w:val="32"/>
          <w:szCs w:val="32"/>
          <w:lang w:val="en-US" w:eastAsia="zh-CN"/>
        </w:rPr>
      </w:pPr>
      <w:r>
        <w:rPr>
          <w:rFonts w:hint="eastAsia" w:ascii="Times New Roman" w:hAnsi="Times New Roman" w:eastAsia="黑体" w:cs="Times New Roman"/>
          <w:sz w:val="32"/>
          <w:szCs w:val="32"/>
          <w:lang w:val="en-US" w:eastAsia="zh-CN"/>
        </w:rPr>
        <w:t>附件</w:t>
      </w:r>
      <w:r>
        <w:rPr>
          <w:rFonts w:hint="eastAsia" w:eastAsia="黑体" w:cs="Times New Roman"/>
          <w:sz w:val="32"/>
          <w:szCs w:val="32"/>
          <w:lang w:val="en-US" w:eastAsia="zh-CN"/>
        </w:rPr>
        <w:t>2</w:t>
      </w:r>
    </w:p>
    <w:tbl>
      <w:tblPr>
        <w:tblW w:w="1384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644"/>
        <w:gridCol w:w="644"/>
        <w:gridCol w:w="894"/>
        <w:gridCol w:w="2119"/>
        <w:gridCol w:w="4297"/>
        <w:gridCol w:w="1184"/>
        <w:gridCol w:w="1184"/>
        <w:gridCol w:w="222"/>
        <w:gridCol w:w="391"/>
        <w:gridCol w:w="353"/>
        <w:gridCol w:w="480"/>
        <w:gridCol w:w="591"/>
        <w:gridCol w:w="842"/>
      </w:tblGrid>
      <w:tr w14:paraId="202D6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5" w:hRule="atLeast"/>
        </w:trPr>
        <w:tc>
          <w:tcPr>
            <w:tcW w:w="13851" w:type="dxa"/>
            <w:gridSpan w:val="13"/>
            <w:tcBorders>
              <w:top w:val="nil"/>
              <w:left w:val="nil"/>
              <w:bottom w:val="nil"/>
              <w:right w:val="nil"/>
            </w:tcBorders>
            <w:shd w:val="clear"/>
            <w:vAlign w:val="center"/>
          </w:tcPr>
          <w:p w14:paraId="0939C7C0">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bdr w:val="none" w:color="auto" w:sz="0" w:space="0"/>
                <w:lang w:val="en-US" w:eastAsia="zh-CN" w:bidi="ar"/>
              </w:rPr>
              <w:t>项目支出绩效自评表</w:t>
            </w:r>
          </w:p>
        </w:tc>
      </w:tr>
      <w:tr w14:paraId="21578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13851" w:type="dxa"/>
            <w:gridSpan w:val="13"/>
            <w:tcBorders>
              <w:top w:val="nil"/>
              <w:left w:val="nil"/>
              <w:bottom w:val="nil"/>
              <w:right w:val="nil"/>
            </w:tcBorders>
            <w:shd w:val="clear"/>
            <w:vAlign w:val="center"/>
          </w:tcPr>
          <w:p w14:paraId="3A7E10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(2024年度)</w:t>
            </w:r>
          </w:p>
        </w:tc>
      </w:tr>
      <w:tr w14:paraId="7405A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2160" w:type="dxa"/>
            <w:gridSpan w:val="2"/>
            <w:tcBorders>
              <w:top w:val="single" w:color="000000" w:sz="4" w:space="0"/>
              <w:left w:val="single" w:color="000000" w:sz="4" w:space="0"/>
              <w:bottom w:val="single" w:color="000000" w:sz="4" w:space="0"/>
              <w:right w:val="single" w:color="000000" w:sz="4" w:space="0"/>
            </w:tcBorders>
            <w:shd w:val="clear"/>
            <w:vAlign w:val="center"/>
          </w:tcPr>
          <w:p w14:paraId="42C4E8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项目名称</w:t>
            </w:r>
          </w:p>
        </w:tc>
        <w:tc>
          <w:tcPr>
            <w:tcW w:w="11691" w:type="dxa"/>
            <w:gridSpan w:val="11"/>
            <w:tcBorders>
              <w:top w:val="single" w:color="000000" w:sz="4" w:space="0"/>
              <w:left w:val="single" w:color="000000" w:sz="4" w:space="0"/>
              <w:bottom w:val="single" w:color="000000" w:sz="4" w:space="0"/>
              <w:right w:val="single" w:color="000000" w:sz="4" w:space="0"/>
            </w:tcBorders>
            <w:shd w:val="clear"/>
            <w:vAlign w:val="center"/>
          </w:tcPr>
          <w:p w14:paraId="6EA17B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开展九家湾、雅山中路片区区域控制性详细规划编制工作经费</w:t>
            </w:r>
          </w:p>
        </w:tc>
      </w:tr>
      <w:tr w14:paraId="11F83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8" w:hRule="atLeast"/>
        </w:trPr>
        <w:tc>
          <w:tcPr>
            <w:tcW w:w="2160" w:type="dxa"/>
            <w:gridSpan w:val="2"/>
            <w:tcBorders>
              <w:top w:val="single" w:color="000000" w:sz="4" w:space="0"/>
              <w:left w:val="single" w:color="000000" w:sz="4" w:space="0"/>
              <w:bottom w:val="single" w:color="000000" w:sz="4" w:space="0"/>
              <w:right w:val="single" w:color="000000" w:sz="4" w:space="0"/>
            </w:tcBorders>
            <w:shd w:val="clear"/>
            <w:vAlign w:val="center"/>
          </w:tcPr>
          <w:p w14:paraId="513C53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主管部门</w:t>
            </w:r>
          </w:p>
        </w:tc>
        <w:tc>
          <w:tcPr>
            <w:tcW w:w="4173" w:type="dxa"/>
            <w:gridSpan w:val="3"/>
            <w:tcBorders>
              <w:top w:val="single" w:color="000000" w:sz="4" w:space="0"/>
              <w:left w:val="single" w:color="000000" w:sz="4" w:space="0"/>
              <w:bottom w:val="single" w:color="000000" w:sz="4" w:space="0"/>
              <w:right w:val="single" w:color="000000" w:sz="4" w:space="0"/>
            </w:tcBorders>
            <w:shd w:val="clear"/>
            <w:vAlign w:val="center"/>
          </w:tcPr>
          <w:p w14:paraId="2983F3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乌鲁木齐市沙依巴克区人民政府办公室</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4A355D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实施单位</w:t>
            </w:r>
          </w:p>
        </w:tc>
        <w:tc>
          <w:tcPr>
            <w:tcW w:w="5438" w:type="dxa"/>
            <w:gridSpan w:val="7"/>
            <w:tcBorders>
              <w:top w:val="single" w:color="000000" w:sz="4" w:space="0"/>
              <w:left w:val="single" w:color="000000" w:sz="4" w:space="0"/>
              <w:bottom w:val="single" w:color="000000" w:sz="4" w:space="0"/>
              <w:right w:val="single" w:color="000000" w:sz="4" w:space="0"/>
            </w:tcBorders>
            <w:shd w:val="clear"/>
            <w:vAlign w:val="center"/>
          </w:tcPr>
          <w:p w14:paraId="777A4A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乌鲁木齐市沙依巴克区人民政府办公室</w:t>
            </w:r>
          </w:p>
        </w:tc>
      </w:tr>
      <w:tr w14:paraId="6CB93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8" w:hRule="atLeast"/>
        </w:trPr>
        <w:tc>
          <w:tcPr>
            <w:tcW w:w="2160"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756965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项目资金</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（万元）</w:t>
            </w:r>
          </w:p>
        </w:tc>
        <w:tc>
          <w:tcPr>
            <w:tcW w:w="2600" w:type="dxa"/>
            <w:gridSpan w:val="2"/>
            <w:tcBorders>
              <w:top w:val="single" w:color="000000" w:sz="4" w:space="0"/>
              <w:left w:val="single" w:color="000000" w:sz="4" w:space="0"/>
              <w:bottom w:val="single" w:color="000000" w:sz="4" w:space="0"/>
              <w:right w:val="single" w:color="000000" w:sz="4" w:space="0"/>
            </w:tcBorders>
            <w:shd w:val="clear"/>
            <w:vAlign w:val="center"/>
          </w:tcPr>
          <w:p w14:paraId="6368FF12">
            <w:pPr>
              <w:jc w:val="center"/>
              <w:rPr>
                <w:rFonts w:hint="eastAsia" w:ascii="宋体" w:hAnsi="宋体" w:eastAsia="宋体" w:cs="宋体"/>
                <w:i w:val="0"/>
                <w:iCs w:val="0"/>
                <w:color w:val="000000"/>
                <w:sz w:val="20"/>
                <w:szCs w:val="20"/>
                <w:u w:val="none"/>
              </w:rPr>
            </w:pPr>
          </w:p>
        </w:tc>
        <w:tc>
          <w:tcPr>
            <w:tcW w:w="1573" w:type="dxa"/>
            <w:tcBorders>
              <w:top w:val="single" w:color="000000" w:sz="4" w:space="0"/>
              <w:left w:val="single" w:color="000000" w:sz="4" w:space="0"/>
              <w:bottom w:val="single" w:color="000000" w:sz="4" w:space="0"/>
              <w:right w:val="single" w:color="000000" w:sz="4" w:space="0"/>
            </w:tcBorders>
            <w:shd w:val="clear"/>
            <w:vAlign w:val="center"/>
          </w:tcPr>
          <w:p w14:paraId="16AB60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年初预算数</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46514F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全年预算数</w:t>
            </w:r>
          </w:p>
        </w:tc>
        <w:tc>
          <w:tcPr>
            <w:tcW w:w="2480" w:type="dxa"/>
            <w:gridSpan w:val="2"/>
            <w:tcBorders>
              <w:top w:val="single" w:color="000000" w:sz="4" w:space="0"/>
              <w:left w:val="single" w:color="000000" w:sz="4" w:space="0"/>
              <w:bottom w:val="single" w:color="000000" w:sz="4" w:space="0"/>
              <w:right w:val="single" w:color="000000" w:sz="4" w:space="0"/>
            </w:tcBorders>
            <w:shd w:val="clear"/>
            <w:vAlign w:val="center"/>
          </w:tcPr>
          <w:p w14:paraId="3F76F0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全年执行数</w:t>
            </w:r>
          </w:p>
        </w:tc>
        <w:tc>
          <w:tcPr>
            <w:tcW w:w="786" w:type="dxa"/>
            <w:gridSpan w:val="2"/>
            <w:tcBorders>
              <w:top w:val="single" w:color="000000" w:sz="4" w:space="0"/>
              <w:left w:val="single" w:color="000000" w:sz="4" w:space="0"/>
              <w:bottom w:val="single" w:color="000000" w:sz="4" w:space="0"/>
              <w:right w:val="single" w:color="000000" w:sz="4" w:space="0"/>
            </w:tcBorders>
            <w:shd w:val="clear"/>
            <w:vAlign w:val="center"/>
          </w:tcPr>
          <w:p w14:paraId="682EC9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分值</w:t>
            </w:r>
          </w:p>
        </w:tc>
        <w:tc>
          <w:tcPr>
            <w:tcW w:w="1092" w:type="dxa"/>
            <w:gridSpan w:val="2"/>
            <w:tcBorders>
              <w:top w:val="single" w:color="000000" w:sz="4" w:space="0"/>
              <w:left w:val="single" w:color="000000" w:sz="4" w:space="0"/>
              <w:bottom w:val="single" w:color="000000" w:sz="4" w:space="0"/>
              <w:right w:val="single" w:color="000000" w:sz="4" w:space="0"/>
            </w:tcBorders>
            <w:shd w:val="clear"/>
            <w:vAlign w:val="center"/>
          </w:tcPr>
          <w:p w14:paraId="22DFB2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执行率</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248E2D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得分</w:t>
            </w:r>
          </w:p>
        </w:tc>
      </w:tr>
      <w:tr w14:paraId="70A42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8" w:hRule="atLeast"/>
        </w:trPr>
        <w:tc>
          <w:tcPr>
            <w:tcW w:w="2160"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4A372CB1">
            <w:pPr>
              <w:jc w:val="center"/>
              <w:rPr>
                <w:rFonts w:hint="eastAsia" w:ascii="宋体" w:hAnsi="宋体" w:eastAsia="宋体" w:cs="宋体"/>
                <w:i w:val="0"/>
                <w:iCs w:val="0"/>
                <w:color w:val="000000"/>
                <w:sz w:val="20"/>
                <w:szCs w:val="20"/>
                <w:u w:val="none"/>
              </w:rPr>
            </w:pPr>
          </w:p>
        </w:tc>
        <w:tc>
          <w:tcPr>
            <w:tcW w:w="2600" w:type="dxa"/>
            <w:gridSpan w:val="2"/>
            <w:tcBorders>
              <w:top w:val="single" w:color="000000" w:sz="4" w:space="0"/>
              <w:left w:val="single" w:color="000000" w:sz="4" w:space="0"/>
              <w:bottom w:val="single" w:color="000000" w:sz="4" w:space="0"/>
              <w:right w:val="single" w:color="000000" w:sz="4" w:space="0"/>
            </w:tcBorders>
            <w:shd w:val="clear"/>
            <w:vAlign w:val="center"/>
          </w:tcPr>
          <w:p w14:paraId="5923A3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年度资金总额</w:t>
            </w:r>
          </w:p>
        </w:tc>
        <w:tc>
          <w:tcPr>
            <w:tcW w:w="1573" w:type="dxa"/>
            <w:tcBorders>
              <w:top w:val="single" w:color="000000" w:sz="4" w:space="0"/>
              <w:left w:val="single" w:color="000000" w:sz="4" w:space="0"/>
              <w:bottom w:val="single" w:color="000000" w:sz="4" w:space="0"/>
              <w:right w:val="single" w:color="000000" w:sz="4" w:space="0"/>
            </w:tcBorders>
            <w:shd w:val="clear"/>
            <w:vAlign w:val="center"/>
          </w:tcPr>
          <w:p w14:paraId="648EF1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85.00</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28063A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80.60</w:t>
            </w:r>
          </w:p>
        </w:tc>
        <w:tc>
          <w:tcPr>
            <w:tcW w:w="2480" w:type="dxa"/>
            <w:gridSpan w:val="2"/>
            <w:tcBorders>
              <w:top w:val="single" w:color="000000" w:sz="4" w:space="0"/>
              <w:left w:val="single" w:color="000000" w:sz="4" w:space="0"/>
              <w:bottom w:val="single" w:color="000000" w:sz="4" w:space="0"/>
              <w:right w:val="single" w:color="000000" w:sz="4" w:space="0"/>
            </w:tcBorders>
            <w:shd w:val="clear"/>
            <w:vAlign w:val="center"/>
          </w:tcPr>
          <w:p w14:paraId="2A7449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80.60</w:t>
            </w:r>
          </w:p>
        </w:tc>
        <w:tc>
          <w:tcPr>
            <w:tcW w:w="786" w:type="dxa"/>
            <w:gridSpan w:val="2"/>
            <w:tcBorders>
              <w:top w:val="single" w:color="000000" w:sz="4" w:space="0"/>
              <w:left w:val="single" w:color="000000" w:sz="4" w:space="0"/>
              <w:bottom w:val="single" w:color="000000" w:sz="4" w:space="0"/>
              <w:right w:val="single" w:color="000000" w:sz="4" w:space="0"/>
            </w:tcBorders>
            <w:shd w:val="clear"/>
            <w:vAlign w:val="center"/>
          </w:tcPr>
          <w:p w14:paraId="6A5195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1092" w:type="dxa"/>
            <w:gridSpan w:val="2"/>
            <w:tcBorders>
              <w:top w:val="single" w:color="000000" w:sz="4" w:space="0"/>
              <w:left w:val="single" w:color="000000" w:sz="4" w:space="0"/>
              <w:bottom w:val="single" w:color="000000" w:sz="4" w:space="0"/>
              <w:right w:val="single" w:color="000000" w:sz="4" w:space="0"/>
            </w:tcBorders>
            <w:shd w:val="clear"/>
            <w:vAlign w:val="center"/>
          </w:tcPr>
          <w:p w14:paraId="46E326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100.00%</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090152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10.00分</w:t>
            </w:r>
          </w:p>
        </w:tc>
      </w:tr>
      <w:tr w14:paraId="5D1FB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8" w:hRule="atLeast"/>
        </w:trPr>
        <w:tc>
          <w:tcPr>
            <w:tcW w:w="2160"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2A95E0A9">
            <w:pPr>
              <w:jc w:val="center"/>
              <w:rPr>
                <w:rFonts w:hint="eastAsia" w:ascii="宋体" w:hAnsi="宋体" w:eastAsia="宋体" w:cs="宋体"/>
                <w:i w:val="0"/>
                <w:iCs w:val="0"/>
                <w:color w:val="000000"/>
                <w:sz w:val="20"/>
                <w:szCs w:val="20"/>
                <w:u w:val="none"/>
              </w:rPr>
            </w:pPr>
          </w:p>
        </w:tc>
        <w:tc>
          <w:tcPr>
            <w:tcW w:w="2600" w:type="dxa"/>
            <w:gridSpan w:val="2"/>
            <w:tcBorders>
              <w:top w:val="single" w:color="000000" w:sz="4" w:space="0"/>
              <w:left w:val="single" w:color="000000" w:sz="4" w:space="0"/>
              <w:bottom w:val="single" w:color="000000" w:sz="4" w:space="0"/>
              <w:right w:val="single" w:color="000000" w:sz="4" w:space="0"/>
            </w:tcBorders>
            <w:shd w:val="clear"/>
            <w:vAlign w:val="center"/>
          </w:tcPr>
          <w:p w14:paraId="345C68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其中：当年财政拨款</w:t>
            </w:r>
          </w:p>
        </w:tc>
        <w:tc>
          <w:tcPr>
            <w:tcW w:w="1573" w:type="dxa"/>
            <w:tcBorders>
              <w:top w:val="single" w:color="000000" w:sz="4" w:space="0"/>
              <w:left w:val="single" w:color="000000" w:sz="4" w:space="0"/>
              <w:bottom w:val="single" w:color="000000" w:sz="4" w:space="0"/>
              <w:right w:val="single" w:color="000000" w:sz="4" w:space="0"/>
            </w:tcBorders>
            <w:shd w:val="clear"/>
            <w:vAlign w:val="center"/>
          </w:tcPr>
          <w:p w14:paraId="780F13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85.00</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73F9E7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80.60</w:t>
            </w:r>
          </w:p>
        </w:tc>
        <w:tc>
          <w:tcPr>
            <w:tcW w:w="2480" w:type="dxa"/>
            <w:gridSpan w:val="2"/>
            <w:tcBorders>
              <w:top w:val="single" w:color="000000" w:sz="4" w:space="0"/>
              <w:left w:val="single" w:color="000000" w:sz="4" w:space="0"/>
              <w:bottom w:val="single" w:color="000000" w:sz="4" w:space="0"/>
              <w:right w:val="single" w:color="000000" w:sz="4" w:space="0"/>
            </w:tcBorders>
            <w:shd w:val="clear"/>
            <w:vAlign w:val="center"/>
          </w:tcPr>
          <w:p w14:paraId="756E09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80.60</w:t>
            </w:r>
          </w:p>
        </w:tc>
        <w:tc>
          <w:tcPr>
            <w:tcW w:w="786" w:type="dxa"/>
            <w:gridSpan w:val="2"/>
            <w:tcBorders>
              <w:top w:val="single" w:color="000000" w:sz="4" w:space="0"/>
              <w:left w:val="single" w:color="000000" w:sz="4" w:space="0"/>
              <w:bottom w:val="single" w:color="000000" w:sz="4" w:space="0"/>
              <w:right w:val="single" w:color="000000" w:sz="4" w:space="0"/>
            </w:tcBorders>
            <w:shd w:val="clear"/>
            <w:vAlign w:val="center"/>
          </w:tcPr>
          <w:p w14:paraId="7AB6AC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092" w:type="dxa"/>
            <w:gridSpan w:val="2"/>
            <w:tcBorders>
              <w:top w:val="single" w:color="000000" w:sz="4" w:space="0"/>
              <w:left w:val="single" w:color="000000" w:sz="4" w:space="0"/>
              <w:bottom w:val="single" w:color="000000" w:sz="4" w:space="0"/>
              <w:right w:val="single" w:color="000000" w:sz="4" w:space="0"/>
            </w:tcBorders>
            <w:shd w:val="clear"/>
            <w:vAlign w:val="center"/>
          </w:tcPr>
          <w:p w14:paraId="37A928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091D55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57B10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8" w:hRule="atLeast"/>
        </w:trPr>
        <w:tc>
          <w:tcPr>
            <w:tcW w:w="2160"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58587ADC">
            <w:pPr>
              <w:jc w:val="center"/>
              <w:rPr>
                <w:rFonts w:hint="eastAsia" w:ascii="宋体" w:hAnsi="宋体" w:eastAsia="宋体" w:cs="宋体"/>
                <w:i w:val="0"/>
                <w:iCs w:val="0"/>
                <w:color w:val="000000"/>
                <w:sz w:val="20"/>
                <w:szCs w:val="20"/>
                <w:u w:val="none"/>
              </w:rPr>
            </w:pPr>
          </w:p>
        </w:tc>
        <w:tc>
          <w:tcPr>
            <w:tcW w:w="2600" w:type="dxa"/>
            <w:gridSpan w:val="2"/>
            <w:tcBorders>
              <w:top w:val="single" w:color="000000" w:sz="4" w:space="0"/>
              <w:left w:val="single" w:color="000000" w:sz="4" w:space="0"/>
              <w:bottom w:val="single" w:color="000000" w:sz="4" w:space="0"/>
              <w:right w:val="single" w:color="000000" w:sz="4" w:space="0"/>
            </w:tcBorders>
            <w:shd w:val="clear"/>
            <w:vAlign w:val="center"/>
          </w:tcPr>
          <w:p w14:paraId="5544D8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其他资金</w:t>
            </w:r>
          </w:p>
        </w:tc>
        <w:tc>
          <w:tcPr>
            <w:tcW w:w="1573" w:type="dxa"/>
            <w:tcBorders>
              <w:top w:val="single" w:color="000000" w:sz="4" w:space="0"/>
              <w:left w:val="single" w:color="000000" w:sz="4" w:space="0"/>
              <w:bottom w:val="single" w:color="000000" w:sz="4" w:space="0"/>
              <w:right w:val="single" w:color="000000" w:sz="4" w:space="0"/>
            </w:tcBorders>
            <w:shd w:val="clear"/>
            <w:vAlign w:val="center"/>
          </w:tcPr>
          <w:p w14:paraId="66249B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6B564C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w:t>
            </w:r>
          </w:p>
        </w:tc>
        <w:tc>
          <w:tcPr>
            <w:tcW w:w="2480" w:type="dxa"/>
            <w:gridSpan w:val="2"/>
            <w:tcBorders>
              <w:top w:val="single" w:color="000000" w:sz="4" w:space="0"/>
              <w:left w:val="single" w:color="000000" w:sz="4" w:space="0"/>
              <w:bottom w:val="single" w:color="000000" w:sz="4" w:space="0"/>
              <w:right w:val="single" w:color="000000" w:sz="4" w:space="0"/>
            </w:tcBorders>
            <w:shd w:val="clear"/>
            <w:vAlign w:val="center"/>
          </w:tcPr>
          <w:p w14:paraId="688883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w:t>
            </w:r>
          </w:p>
        </w:tc>
        <w:tc>
          <w:tcPr>
            <w:tcW w:w="786" w:type="dxa"/>
            <w:gridSpan w:val="2"/>
            <w:tcBorders>
              <w:top w:val="single" w:color="000000" w:sz="4" w:space="0"/>
              <w:left w:val="single" w:color="000000" w:sz="4" w:space="0"/>
              <w:bottom w:val="single" w:color="000000" w:sz="4" w:space="0"/>
              <w:right w:val="single" w:color="000000" w:sz="4" w:space="0"/>
            </w:tcBorders>
            <w:shd w:val="clear"/>
            <w:vAlign w:val="center"/>
          </w:tcPr>
          <w:p w14:paraId="011DC2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092" w:type="dxa"/>
            <w:gridSpan w:val="2"/>
            <w:tcBorders>
              <w:top w:val="single" w:color="000000" w:sz="4" w:space="0"/>
              <w:left w:val="single" w:color="000000" w:sz="4" w:space="0"/>
              <w:bottom w:val="single" w:color="000000" w:sz="4" w:space="0"/>
              <w:right w:val="single" w:color="000000" w:sz="4" w:space="0"/>
            </w:tcBorders>
            <w:shd w:val="clear"/>
            <w:vAlign w:val="center"/>
          </w:tcPr>
          <w:p w14:paraId="210F7F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7969D7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1BD62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8"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vAlign w:val="center"/>
          </w:tcPr>
          <w:p w14:paraId="06D636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年度总体目标</w:t>
            </w:r>
          </w:p>
        </w:tc>
        <w:tc>
          <w:tcPr>
            <w:tcW w:w="7333" w:type="dxa"/>
            <w:gridSpan w:val="5"/>
            <w:tcBorders>
              <w:top w:val="single" w:color="000000" w:sz="4" w:space="0"/>
              <w:left w:val="single" w:color="000000" w:sz="4" w:space="0"/>
              <w:bottom w:val="single" w:color="000000" w:sz="4" w:space="0"/>
              <w:right w:val="single" w:color="000000" w:sz="4" w:space="0"/>
            </w:tcBorders>
            <w:shd w:val="clear"/>
            <w:vAlign w:val="center"/>
          </w:tcPr>
          <w:p w14:paraId="12F9BC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预期目标</w:t>
            </w:r>
          </w:p>
        </w:tc>
        <w:tc>
          <w:tcPr>
            <w:tcW w:w="5438" w:type="dxa"/>
            <w:gridSpan w:val="7"/>
            <w:tcBorders>
              <w:top w:val="single" w:color="000000" w:sz="4" w:space="0"/>
              <w:left w:val="single" w:color="000000" w:sz="4" w:space="0"/>
              <w:bottom w:val="single" w:color="000000" w:sz="4" w:space="0"/>
              <w:right w:val="single" w:color="000000" w:sz="4" w:space="0"/>
            </w:tcBorders>
            <w:shd w:val="clear"/>
            <w:vAlign w:val="center"/>
          </w:tcPr>
          <w:p w14:paraId="722E7F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实际完成情况</w:t>
            </w:r>
          </w:p>
        </w:tc>
      </w:tr>
      <w:tr w14:paraId="05BAA9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3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65C8BF2">
            <w:pPr>
              <w:jc w:val="center"/>
              <w:rPr>
                <w:rFonts w:hint="eastAsia" w:ascii="宋体" w:hAnsi="宋体" w:eastAsia="宋体" w:cs="宋体"/>
                <w:i w:val="0"/>
                <w:iCs w:val="0"/>
                <w:color w:val="000000"/>
                <w:sz w:val="20"/>
                <w:szCs w:val="20"/>
                <w:u w:val="none"/>
              </w:rPr>
            </w:pPr>
          </w:p>
        </w:tc>
        <w:tc>
          <w:tcPr>
            <w:tcW w:w="7333" w:type="dxa"/>
            <w:gridSpan w:val="5"/>
            <w:tcBorders>
              <w:top w:val="single" w:color="000000" w:sz="4" w:space="0"/>
              <w:left w:val="single" w:color="000000" w:sz="4" w:space="0"/>
              <w:bottom w:val="single" w:color="000000" w:sz="4" w:space="0"/>
              <w:right w:val="single" w:color="000000" w:sz="4" w:space="0"/>
            </w:tcBorders>
            <w:shd w:val="clear"/>
            <w:vAlign w:val="top"/>
          </w:tcPr>
          <w:p w14:paraId="52C859C7">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此项目为年中新增追加预算项目，用于开展九家湾、雅山中路片区区域控制性详细规划编制工作经费，项目资金及时支付，按时完成，保障该项目圆满完成，验收合格率100%。</w:t>
            </w:r>
          </w:p>
        </w:tc>
        <w:tc>
          <w:tcPr>
            <w:tcW w:w="5438" w:type="dxa"/>
            <w:gridSpan w:val="7"/>
            <w:tcBorders>
              <w:top w:val="single" w:color="000000" w:sz="4" w:space="0"/>
              <w:left w:val="single" w:color="000000" w:sz="4" w:space="0"/>
              <w:bottom w:val="single" w:color="000000" w:sz="4" w:space="0"/>
              <w:right w:val="single" w:color="000000" w:sz="4" w:space="0"/>
            </w:tcBorders>
            <w:shd w:val="clear"/>
            <w:vAlign w:val="top"/>
          </w:tcPr>
          <w:p w14:paraId="29C66873">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该项目为开展九家湾、雅山中路片区区域控制性详细规划编制工作经费，已圆满完成，有效保障开展九家湾、雅山中路片区区域控制性详细规划编制工作正常开展。</w:t>
            </w:r>
          </w:p>
        </w:tc>
      </w:tr>
      <w:tr w14:paraId="5B1D0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vAlign w:val="center"/>
          </w:tcPr>
          <w:p w14:paraId="52B09966">
            <w:pPr>
              <w:jc w:val="center"/>
              <w:rPr>
                <w:rFonts w:hint="eastAsia" w:ascii="宋体" w:hAnsi="宋体" w:eastAsia="宋体" w:cs="宋体"/>
                <w:i w:val="0"/>
                <w:iCs w:val="0"/>
                <w:color w:val="000000"/>
                <w:sz w:val="20"/>
                <w:szCs w:val="20"/>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vAlign w:val="center"/>
          </w:tcPr>
          <w:p w14:paraId="395767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一级指标</w:t>
            </w:r>
          </w:p>
        </w:tc>
        <w:tc>
          <w:tcPr>
            <w:tcW w:w="1520" w:type="dxa"/>
            <w:vMerge w:val="restart"/>
            <w:tcBorders>
              <w:top w:val="single" w:color="000000" w:sz="4" w:space="0"/>
              <w:left w:val="single" w:color="000000" w:sz="4" w:space="0"/>
              <w:bottom w:val="single" w:color="000000" w:sz="4" w:space="0"/>
              <w:right w:val="single" w:color="000000" w:sz="4" w:space="0"/>
            </w:tcBorders>
            <w:shd w:val="clear"/>
            <w:vAlign w:val="center"/>
          </w:tcPr>
          <w:p w14:paraId="3858B4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二级指标</w:t>
            </w:r>
          </w:p>
        </w:tc>
        <w:tc>
          <w:tcPr>
            <w:tcW w:w="2653"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38B953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三级指标</w:t>
            </w:r>
          </w:p>
        </w:tc>
        <w:tc>
          <w:tcPr>
            <w:tcW w:w="2080" w:type="dxa"/>
            <w:vMerge w:val="restart"/>
            <w:tcBorders>
              <w:top w:val="single" w:color="000000" w:sz="4" w:space="0"/>
              <w:left w:val="single" w:color="000000" w:sz="4" w:space="0"/>
              <w:bottom w:val="single" w:color="000000" w:sz="4" w:space="0"/>
              <w:right w:val="single" w:color="000000" w:sz="4" w:space="0"/>
            </w:tcBorders>
            <w:shd w:val="clear"/>
            <w:vAlign w:val="center"/>
          </w:tcPr>
          <w:p w14:paraId="7982CD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年度指标值</w:t>
            </w:r>
          </w:p>
        </w:tc>
        <w:tc>
          <w:tcPr>
            <w:tcW w:w="2080" w:type="dxa"/>
            <w:vMerge w:val="restart"/>
            <w:tcBorders>
              <w:top w:val="single" w:color="000000" w:sz="4" w:space="0"/>
              <w:left w:val="single" w:color="000000" w:sz="4" w:space="0"/>
              <w:bottom w:val="single" w:color="000000" w:sz="4" w:space="0"/>
              <w:right w:val="single" w:color="000000" w:sz="4" w:space="0"/>
            </w:tcBorders>
            <w:shd w:val="clear"/>
            <w:vAlign w:val="center"/>
          </w:tcPr>
          <w:p w14:paraId="48C691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实际完成值</w:t>
            </w:r>
          </w:p>
        </w:tc>
        <w:tc>
          <w:tcPr>
            <w:tcW w:w="800"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73445A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分值</w:t>
            </w:r>
          </w:p>
        </w:tc>
        <w:tc>
          <w:tcPr>
            <w:tcW w:w="772"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6C81F6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得分</w:t>
            </w:r>
          </w:p>
        </w:tc>
        <w:tc>
          <w:tcPr>
            <w:tcW w:w="1786"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33B4E2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偏差原因分析及改进措施</w:t>
            </w:r>
          </w:p>
        </w:tc>
      </w:tr>
      <w:tr w14:paraId="527B1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B8797EE">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4FAF6D5">
            <w:pPr>
              <w:jc w:val="center"/>
              <w:rPr>
                <w:rFonts w:hint="eastAsia" w:ascii="宋体" w:hAnsi="宋体" w:eastAsia="宋体" w:cs="宋体"/>
                <w:i w:val="0"/>
                <w:iCs w:val="0"/>
                <w:color w:val="000000"/>
                <w:sz w:val="20"/>
                <w:szCs w:val="20"/>
                <w:u w:val="none"/>
              </w:rPr>
            </w:pPr>
          </w:p>
        </w:tc>
        <w:tc>
          <w:tcPr>
            <w:tcW w:w="152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8607DD2">
            <w:pPr>
              <w:jc w:val="center"/>
              <w:rPr>
                <w:rFonts w:hint="eastAsia" w:ascii="宋体" w:hAnsi="宋体" w:eastAsia="宋体" w:cs="宋体"/>
                <w:i w:val="0"/>
                <w:iCs w:val="0"/>
                <w:color w:val="000000"/>
                <w:sz w:val="20"/>
                <w:szCs w:val="20"/>
                <w:u w:val="none"/>
              </w:rPr>
            </w:pPr>
          </w:p>
        </w:tc>
        <w:tc>
          <w:tcPr>
            <w:tcW w:w="2653"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0D50BC1F">
            <w:pPr>
              <w:jc w:val="center"/>
              <w:rPr>
                <w:rFonts w:hint="eastAsia" w:ascii="宋体" w:hAnsi="宋体" w:eastAsia="宋体" w:cs="宋体"/>
                <w:i w:val="0"/>
                <w:iCs w:val="0"/>
                <w:color w:val="000000"/>
                <w:sz w:val="20"/>
                <w:szCs w:val="20"/>
                <w:u w:val="none"/>
              </w:rPr>
            </w:pPr>
          </w:p>
        </w:tc>
        <w:tc>
          <w:tcPr>
            <w:tcW w:w="2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1040B7B">
            <w:pPr>
              <w:jc w:val="center"/>
              <w:rPr>
                <w:rFonts w:hint="eastAsia" w:ascii="宋体" w:hAnsi="宋体" w:eastAsia="宋体" w:cs="宋体"/>
                <w:i w:val="0"/>
                <w:iCs w:val="0"/>
                <w:color w:val="000000"/>
                <w:sz w:val="20"/>
                <w:szCs w:val="20"/>
                <w:u w:val="none"/>
              </w:rPr>
            </w:pPr>
          </w:p>
        </w:tc>
        <w:tc>
          <w:tcPr>
            <w:tcW w:w="2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D0D9934">
            <w:pPr>
              <w:jc w:val="center"/>
              <w:rPr>
                <w:rFonts w:hint="eastAsia" w:ascii="宋体" w:hAnsi="宋体" w:eastAsia="宋体" w:cs="宋体"/>
                <w:i w:val="0"/>
                <w:iCs w:val="0"/>
                <w:color w:val="000000"/>
                <w:sz w:val="20"/>
                <w:szCs w:val="20"/>
                <w:u w:val="none"/>
              </w:rPr>
            </w:pPr>
          </w:p>
        </w:tc>
        <w:tc>
          <w:tcPr>
            <w:tcW w:w="800"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25EC4EF0">
            <w:pPr>
              <w:jc w:val="center"/>
              <w:rPr>
                <w:rFonts w:hint="eastAsia" w:ascii="宋体" w:hAnsi="宋体" w:eastAsia="宋体" w:cs="宋体"/>
                <w:i w:val="0"/>
                <w:iCs w:val="0"/>
                <w:color w:val="000000"/>
                <w:sz w:val="20"/>
                <w:szCs w:val="20"/>
                <w:u w:val="none"/>
              </w:rPr>
            </w:pPr>
          </w:p>
        </w:tc>
        <w:tc>
          <w:tcPr>
            <w:tcW w:w="772"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770C3338">
            <w:pPr>
              <w:jc w:val="center"/>
              <w:rPr>
                <w:rFonts w:hint="eastAsia" w:ascii="宋体" w:hAnsi="宋体" w:eastAsia="宋体" w:cs="宋体"/>
                <w:i w:val="0"/>
                <w:iCs w:val="0"/>
                <w:color w:val="000000"/>
                <w:sz w:val="20"/>
                <w:szCs w:val="20"/>
                <w:u w:val="none"/>
              </w:rPr>
            </w:pPr>
          </w:p>
        </w:tc>
        <w:tc>
          <w:tcPr>
            <w:tcW w:w="1786"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2A4B8AC7">
            <w:pPr>
              <w:jc w:val="center"/>
              <w:rPr>
                <w:rFonts w:hint="eastAsia" w:ascii="宋体" w:hAnsi="宋体" w:eastAsia="宋体" w:cs="宋体"/>
                <w:i w:val="0"/>
                <w:iCs w:val="0"/>
                <w:color w:val="000000"/>
                <w:sz w:val="20"/>
                <w:szCs w:val="20"/>
                <w:u w:val="none"/>
              </w:rPr>
            </w:pPr>
          </w:p>
        </w:tc>
      </w:tr>
      <w:tr w14:paraId="3B158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vAlign w:val="center"/>
          </w:tcPr>
          <w:p w14:paraId="7AD0C5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年度绩效指标完成情况</w:t>
            </w:r>
          </w:p>
        </w:tc>
        <w:tc>
          <w:tcPr>
            <w:tcW w:w="1080" w:type="dxa"/>
            <w:vMerge w:val="restart"/>
            <w:tcBorders>
              <w:top w:val="single" w:color="000000" w:sz="4" w:space="0"/>
              <w:left w:val="single" w:color="000000" w:sz="4" w:space="0"/>
              <w:bottom w:val="single" w:color="000000" w:sz="4" w:space="0"/>
              <w:right w:val="single" w:color="000000" w:sz="4" w:space="0"/>
            </w:tcBorders>
            <w:shd w:val="clear"/>
            <w:vAlign w:val="center"/>
          </w:tcPr>
          <w:p w14:paraId="5AE861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产出指标</w:t>
            </w:r>
          </w:p>
        </w:tc>
        <w:tc>
          <w:tcPr>
            <w:tcW w:w="1520" w:type="dxa"/>
            <w:tcBorders>
              <w:top w:val="single" w:color="000000" w:sz="4" w:space="0"/>
              <w:left w:val="single" w:color="000000" w:sz="4" w:space="0"/>
              <w:bottom w:val="single" w:color="000000" w:sz="4" w:space="0"/>
              <w:right w:val="single" w:color="000000" w:sz="4" w:space="0"/>
            </w:tcBorders>
            <w:shd w:val="clear"/>
            <w:vAlign w:val="center"/>
          </w:tcPr>
          <w:p w14:paraId="3C8F61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4B0EA7A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开展九家湾、雅山中路片区区域控制性详细规划编制完成数</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5D6E45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=1次</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328C6C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=1次</w:t>
            </w:r>
          </w:p>
        </w:tc>
        <w:tc>
          <w:tcPr>
            <w:tcW w:w="800" w:type="dxa"/>
            <w:gridSpan w:val="2"/>
            <w:tcBorders>
              <w:top w:val="single" w:color="000000" w:sz="4" w:space="0"/>
              <w:left w:val="single" w:color="000000" w:sz="4" w:space="0"/>
              <w:bottom w:val="single" w:color="000000" w:sz="4" w:space="0"/>
              <w:right w:val="single" w:color="000000" w:sz="4" w:space="0"/>
            </w:tcBorders>
            <w:shd w:val="clear"/>
            <w:vAlign w:val="center"/>
          </w:tcPr>
          <w:p w14:paraId="7A2729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772" w:type="dxa"/>
            <w:gridSpan w:val="2"/>
            <w:tcBorders>
              <w:top w:val="single" w:color="000000" w:sz="4" w:space="0"/>
              <w:left w:val="single" w:color="000000" w:sz="4" w:space="0"/>
              <w:bottom w:val="single" w:color="000000" w:sz="4" w:space="0"/>
              <w:right w:val="single" w:color="000000" w:sz="4" w:space="0"/>
            </w:tcBorders>
            <w:shd w:val="clear"/>
            <w:vAlign w:val="center"/>
          </w:tcPr>
          <w:p w14:paraId="6A71E1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1786" w:type="dxa"/>
            <w:gridSpan w:val="2"/>
            <w:tcBorders>
              <w:top w:val="single" w:color="000000" w:sz="4" w:space="0"/>
              <w:left w:val="single" w:color="000000" w:sz="4" w:space="0"/>
              <w:bottom w:val="single" w:color="000000" w:sz="4" w:space="0"/>
              <w:right w:val="single" w:color="000000" w:sz="4" w:space="0"/>
            </w:tcBorders>
            <w:shd w:val="clear"/>
            <w:vAlign w:val="center"/>
          </w:tcPr>
          <w:p w14:paraId="76E629C5">
            <w:pPr>
              <w:jc w:val="center"/>
              <w:rPr>
                <w:rFonts w:hint="eastAsia" w:ascii="宋体" w:hAnsi="宋体" w:eastAsia="宋体" w:cs="宋体"/>
                <w:i w:val="0"/>
                <w:iCs w:val="0"/>
                <w:color w:val="000000"/>
                <w:sz w:val="20"/>
                <w:szCs w:val="20"/>
                <w:u w:val="none"/>
              </w:rPr>
            </w:pPr>
          </w:p>
        </w:tc>
      </w:tr>
      <w:tr w14:paraId="2D898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6992CE7">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6B297B9">
            <w:pPr>
              <w:jc w:val="center"/>
              <w:rPr>
                <w:rFonts w:hint="eastAsia" w:ascii="宋体" w:hAnsi="宋体" w:eastAsia="宋体" w:cs="宋体"/>
                <w:i w:val="0"/>
                <w:iCs w:val="0"/>
                <w:color w:val="000000"/>
                <w:sz w:val="20"/>
                <w:szCs w:val="20"/>
                <w:u w:val="none"/>
              </w:rPr>
            </w:pPr>
          </w:p>
        </w:tc>
        <w:tc>
          <w:tcPr>
            <w:tcW w:w="1520" w:type="dxa"/>
            <w:vMerge w:val="restart"/>
            <w:tcBorders>
              <w:top w:val="single" w:color="000000" w:sz="4" w:space="0"/>
              <w:left w:val="single" w:color="000000" w:sz="4" w:space="0"/>
              <w:bottom w:val="single" w:color="000000" w:sz="4" w:space="0"/>
              <w:right w:val="single" w:color="000000" w:sz="4" w:space="0"/>
            </w:tcBorders>
            <w:shd w:val="clear"/>
            <w:vAlign w:val="center"/>
          </w:tcPr>
          <w:p w14:paraId="0C4B64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704200D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项目资金执行率</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7E65E3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6B644F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w:t>
            </w:r>
          </w:p>
        </w:tc>
        <w:tc>
          <w:tcPr>
            <w:tcW w:w="800" w:type="dxa"/>
            <w:gridSpan w:val="2"/>
            <w:tcBorders>
              <w:top w:val="single" w:color="000000" w:sz="4" w:space="0"/>
              <w:left w:val="single" w:color="000000" w:sz="4" w:space="0"/>
              <w:bottom w:val="single" w:color="000000" w:sz="4" w:space="0"/>
              <w:right w:val="single" w:color="000000" w:sz="4" w:space="0"/>
            </w:tcBorders>
            <w:shd w:val="clear"/>
            <w:vAlign w:val="center"/>
          </w:tcPr>
          <w:p w14:paraId="779018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772" w:type="dxa"/>
            <w:gridSpan w:val="2"/>
            <w:tcBorders>
              <w:top w:val="single" w:color="000000" w:sz="4" w:space="0"/>
              <w:left w:val="single" w:color="000000" w:sz="4" w:space="0"/>
              <w:bottom w:val="single" w:color="000000" w:sz="4" w:space="0"/>
              <w:right w:val="single" w:color="000000" w:sz="4" w:space="0"/>
            </w:tcBorders>
            <w:shd w:val="clear"/>
            <w:vAlign w:val="center"/>
          </w:tcPr>
          <w:p w14:paraId="55B216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1786" w:type="dxa"/>
            <w:gridSpan w:val="2"/>
            <w:tcBorders>
              <w:top w:val="single" w:color="000000" w:sz="4" w:space="0"/>
              <w:left w:val="single" w:color="000000" w:sz="4" w:space="0"/>
              <w:bottom w:val="single" w:color="000000" w:sz="4" w:space="0"/>
              <w:right w:val="single" w:color="000000" w:sz="4" w:space="0"/>
            </w:tcBorders>
            <w:shd w:val="clear"/>
            <w:vAlign w:val="center"/>
          </w:tcPr>
          <w:p w14:paraId="3A594DE0">
            <w:pPr>
              <w:jc w:val="center"/>
              <w:rPr>
                <w:rFonts w:hint="eastAsia" w:ascii="宋体" w:hAnsi="宋体" w:eastAsia="宋体" w:cs="宋体"/>
                <w:i w:val="0"/>
                <w:iCs w:val="0"/>
                <w:color w:val="000000"/>
                <w:sz w:val="20"/>
                <w:szCs w:val="20"/>
                <w:u w:val="none"/>
              </w:rPr>
            </w:pPr>
          </w:p>
        </w:tc>
      </w:tr>
      <w:tr w14:paraId="508E5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F0B83D6">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DA3DC10">
            <w:pPr>
              <w:jc w:val="center"/>
              <w:rPr>
                <w:rFonts w:hint="eastAsia" w:ascii="宋体" w:hAnsi="宋体" w:eastAsia="宋体" w:cs="宋体"/>
                <w:i w:val="0"/>
                <w:iCs w:val="0"/>
                <w:color w:val="000000"/>
                <w:sz w:val="20"/>
                <w:szCs w:val="20"/>
                <w:u w:val="none"/>
              </w:rPr>
            </w:pPr>
          </w:p>
        </w:tc>
        <w:tc>
          <w:tcPr>
            <w:tcW w:w="152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32FC5C7">
            <w:pPr>
              <w:jc w:val="cente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242CD6C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项目验收合格率</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15BE1F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79ECB2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w:t>
            </w:r>
          </w:p>
        </w:tc>
        <w:tc>
          <w:tcPr>
            <w:tcW w:w="800" w:type="dxa"/>
            <w:gridSpan w:val="2"/>
            <w:tcBorders>
              <w:top w:val="single" w:color="000000" w:sz="4" w:space="0"/>
              <w:left w:val="single" w:color="000000" w:sz="4" w:space="0"/>
              <w:bottom w:val="single" w:color="000000" w:sz="4" w:space="0"/>
              <w:right w:val="single" w:color="000000" w:sz="4" w:space="0"/>
            </w:tcBorders>
            <w:shd w:val="clear"/>
            <w:vAlign w:val="center"/>
          </w:tcPr>
          <w:p w14:paraId="5419ED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772" w:type="dxa"/>
            <w:gridSpan w:val="2"/>
            <w:tcBorders>
              <w:top w:val="single" w:color="000000" w:sz="4" w:space="0"/>
              <w:left w:val="single" w:color="000000" w:sz="4" w:space="0"/>
              <w:bottom w:val="single" w:color="000000" w:sz="4" w:space="0"/>
              <w:right w:val="single" w:color="000000" w:sz="4" w:space="0"/>
            </w:tcBorders>
            <w:shd w:val="clear"/>
            <w:vAlign w:val="center"/>
          </w:tcPr>
          <w:p w14:paraId="1AD752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1786" w:type="dxa"/>
            <w:gridSpan w:val="2"/>
            <w:tcBorders>
              <w:top w:val="single" w:color="000000" w:sz="4" w:space="0"/>
              <w:left w:val="single" w:color="000000" w:sz="4" w:space="0"/>
              <w:bottom w:val="single" w:color="000000" w:sz="4" w:space="0"/>
              <w:right w:val="single" w:color="000000" w:sz="4" w:space="0"/>
            </w:tcBorders>
            <w:shd w:val="clear"/>
            <w:vAlign w:val="center"/>
          </w:tcPr>
          <w:p w14:paraId="6E0F58FE">
            <w:pPr>
              <w:jc w:val="center"/>
              <w:rPr>
                <w:rFonts w:hint="eastAsia" w:ascii="宋体" w:hAnsi="宋体" w:eastAsia="宋体" w:cs="宋体"/>
                <w:i w:val="0"/>
                <w:iCs w:val="0"/>
                <w:color w:val="000000"/>
                <w:sz w:val="20"/>
                <w:szCs w:val="20"/>
                <w:u w:val="none"/>
              </w:rPr>
            </w:pPr>
          </w:p>
        </w:tc>
      </w:tr>
      <w:tr w14:paraId="2019E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C33EB09">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D4102D9">
            <w:pPr>
              <w:jc w:val="center"/>
              <w:rPr>
                <w:rFonts w:hint="eastAsia" w:ascii="宋体" w:hAnsi="宋体" w:eastAsia="宋体" w:cs="宋体"/>
                <w:i w:val="0"/>
                <w:iCs w:val="0"/>
                <w:color w:val="000000"/>
                <w:sz w:val="20"/>
                <w:szCs w:val="20"/>
                <w:u w:val="none"/>
              </w:rPr>
            </w:pPr>
          </w:p>
        </w:tc>
        <w:tc>
          <w:tcPr>
            <w:tcW w:w="1520" w:type="dxa"/>
            <w:tcBorders>
              <w:top w:val="single" w:color="000000" w:sz="4" w:space="0"/>
              <w:left w:val="single" w:color="000000" w:sz="4" w:space="0"/>
              <w:bottom w:val="single" w:color="000000" w:sz="4" w:space="0"/>
              <w:right w:val="single" w:color="000000" w:sz="4" w:space="0"/>
            </w:tcBorders>
            <w:shd w:val="clear"/>
            <w:vAlign w:val="center"/>
          </w:tcPr>
          <w:p w14:paraId="7F2C6E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36A4F5A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项目按计划完成率</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7B1D93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493F7A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w:t>
            </w:r>
          </w:p>
        </w:tc>
        <w:tc>
          <w:tcPr>
            <w:tcW w:w="800" w:type="dxa"/>
            <w:gridSpan w:val="2"/>
            <w:tcBorders>
              <w:top w:val="single" w:color="000000" w:sz="4" w:space="0"/>
              <w:left w:val="single" w:color="000000" w:sz="4" w:space="0"/>
              <w:bottom w:val="single" w:color="000000" w:sz="4" w:space="0"/>
              <w:right w:val="single" w:color="000000" w:sz="4" w:space="0"/>
            </w:tcBorders>
            <w:shd w:val="clear"/>
            <w:vAlign w:val="center"/>
          </w:tcPr>
          <w:p w14:paraId="70C729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772" w:type="dxa"/>
            <w:gridSpan w:val="2"/>
            <w:tcBorders>
              <w:top w:val="single" w:color="000000" w:sz="4" w:space="0"/>
              <w:left w:val="single" w:color="000000" w:sz="4" w:space="0"/>
              <w:bottom w:val="single" w:color="000000" w:sz="4" w:space="0"/>
              <w:right w:val="single" w:color="000000" w:sz="4" w:space="0"/>
            </w:tcBorders>
            <w:shd w:val="clear"/>
            <w:vAlign w:val="center"/>
          </w:tcPr>
          <w:p w14:paraId="22845A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1786" w:type="dxa"/>
            <w:gridSpan w:val="2"/>
            <w:tcBorders>
              <w:top w:val="single" w:color="000000" w:sz="4" w:space="0"/>
              <w:left w:val="single" w:color="000000" w:sz="4" w:space="0"/>
              <w:bottom w:val="single" w:color="000000" w:sz="4" w:space="0"/>
              <w:right w:val="single" w:color="000000" w:sz="4" w:space="0"/>
            </w:tcBorders>
            <w:shd w:val="clear"/>
            <w:vAlign w:val="center"/>
          </w:tcPr>
          <w:p w14:paraId="0E1A098F">
            <w:pPr>
              <w:jc w:val="center"/>
              <w:rPr>
                <w:rFonts w:hint="eastAsia" w:ascii="宋体" w:hAnsi="宋体" w:eastAsia="宋体" w:cs="宋体"/>
                <w:i w:val="0"/>
                <w:iCs w:val="0"/>
                <w:color w:val="000000"/>
                <w:sz w:val="20"/>
                <w:szCs w:val="20"/>
                <w:u w:val="none"/>
              </w:rPr>
            </w:pPr>
          </w:p>
        </w:tc>
      </w:tr>
      <w:tr w14:paraId="3B6C3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4771FDE">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688BBE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成本指标</w:t>
            </w:r>
          </w:p>
        </w:tc>
        <w:tc>
          <w:tcPr>
            <w:tcW w:w="1520" w:type="dxa"/>
            <w:tcBorders>
              <w:top w:val="single" w:color="000000" w:sz="4" w:space="0"/>
              <w:left w:val="single" w:color="000000" w:sz="4" w:space="0"/>
              <w:bottom w:val="single" w:color="000000" w:sz="4" w:space="0"/>
              <w:right w:val="single" w:color="000000" w:sz="4" w:space="0"/>
            </w:tcBorders>
            <w:shd w:val="clear"/>
            <w:vAlign w:val="center"/>
          </w:tcPr>
          <w:p w14:paraId="4E7711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29F1F04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预算控制率</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27ACF1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159BE4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w:t>
            </w:r>
          </w:p>
        </w:tc>
        <w:tc>
          <w:tcPr>
            <w:tcW w:w="800" w:type="dxa"/>
            <w:gridSpan w:val="2"/>
            <w:tcBorders>
              <w:top w:val="single" w:color="000000" w:sz="4" w:space="0"/>
              <w:left w:val="single" w:color="000000" w:sz="4" w:space="0"/>
              <w:bottom w:val="single" w:color="000000" w:sz="4" w:space="0"/>
              <w:right w:val="single" w:color="000000" w:sz="4" w:space="0"/>
            </w:tcBorders>
            <w:shd w:val="clear"/>
            <w:vAlign w:val="center"/>
          </w:tcPr>
          <w:p w14:paraId="212DED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w:t>
            </w:r>
          </w:p>
        </w:tc>
        <w:tc>
          <w:tcPr>
            <w:tcW w:w="772" w:type="dxa"/>
            <w:gridSpan w:val="2"/>
            <w:tcBorders>
              <w:top w:val="single" w:color="000000" w:sz="4" w:space="0"/>
              <w:left w:val="single" w:color="000000" w:sz="4" w:space="0"/>
              <w:bottom w:val="single" w:color="000000" w:sz="4" w:space="0"/>
              <w:right w:val="single" w:color="000000" w:sz="4" w:space="0"/>
            </w:tcBorders>
            <w:shd w:val="clear"/>
            <w:vAlign w:val="center"/>
          </w:tcPr>
          <w:p w14:paraId="3F3882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w:t>
            </w:r>
          </w:p>
        </w:tc>
        <w:tc>
          <w:tcPr>
            <w:tcW w:w="1786" w:type="dxa"/>
            <w:gridSpan w:val="2"/>
            <w:tcBorders>
              <w:top w:val="single" w:color="000000" w:sz="4" w:space="0"/>
              <w:left w:val="single" w:color="000000" w:sz="4" w:space="0"/>
              <w:bottom w:val="single" w:color="000000" w:sz="4" w:space="0"/>
              <w:right w:val="single" w:color="000000" w:sz="4" w:space="0"/>
            </w:tcBorders>
            <w:shd w:val="clear"/>
            <w:vAlign w:val="center"/>
          </w:tcPr>
          <w:p w14:paraId="1BF905F8">
            <w:pPr>
              <w:jc w:val="center"/>
              <w:rPr>
                <w:rFonts w:hint="eastAsia" w:ascii="宋体" w:hAnsi="宋体" w:eastAsia="宋体" w:cs="宋体"/>
                <w:i w:val="0"/>
                <w:iCs w:val="0"/>
                <w:color w:val="000000"/>
                <w:sz w:val="20"/>
                <w:szCs w:val="20"/>
                <w:u w:val="none"/>
              </w:rPr>
            </w:pPr>
          </w:p>
        </w:tc>
      </w:tr>
      <w:tr w14:paraId="32BAB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A76F565">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526C58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效益指标</w:t>
            </w:r>
          </w:p>
        </w:tc>
        <w:tc>
          <w:tcPr>
            <w:tcW w:w="1520" w:type="dxa"/>
            <w:tcBorders>
              <w:top w:val="single" w:color="000000" w:sz="4" w:space="0"/>
              <w:left w:val="single" w:color="000000" w:sz="4" w:space="0"/>
              <w:bottom w:val="single" w:color="000000" w:sz="4" w:space="0"/>
              <w:right w:val="single" w:color="000000" w:sz="4" w:space="0"/>
            </w:tcBorders>
            <w:shd w:val="clear"/>
            <w:vAlign w:val="center"/>
          </w:tcPr>
          <w:p w14:paraId="00CCB8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3DFD7AE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保障开展九家湾、雅山中路片区区域控制性详细规划编制工作正常开展</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546C8D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有效保障</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144BF8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完全达到预期</w:t>
            </w:r>
          </w:p>
        </w:tc>
        <w:tc>
          <w:tcPr>
            <w:tcW w:w="800" w:type="dxa"/>
            <w:gridSpan w:val="2"/>
            <w:tcBorders>
              <w:top w:val="single" w:color="000000" w:sz="4" w:space="0"/>
              <w:left w:val="single" w:color="000000" w:sz="4" w:space="0"/>
              <w:bottom w:val="single" w:color="000000" w:sz="4" w:space="0"/>
              <w:right w:val="single" w:color="000000" w:sz="4" w:space="0"/>
            </w:tcBorders>
            <w:shd w:val="clear"/>
            <w:vAlign w:val="center"/>
          </w:tcPr>
          <w:p w14:paraId="41A5A8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w:t>
            </w:r>
          </w:p>
        </w:tc>
        <w:tc>
          <w:tcPr>
            <w:tcW w:w="772" w:type="dxa"/>
            <w:gridSpan w:val="2"/>
            <w:tcBorders>
              <w:top w:val="single" w:color="000000" w:sz="4" w:space="0"/>
              <w:left w:val="single" w:color="000000" w:sz="4" w:space="0"/>
              <w:bottom w:val="single" w:color="000000" w:sz="4" w:space="0"/>
              <w:right w:val="single" w:color="000000" w:sz="4" w:space="0"/>
            </w:tcBorders>
            <w:shd w:val="clear"/>
            <w:vAlign w:val="center"/>
          </w:tcPr>
          <w:p w14:paraId="640587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w:t>
            </w:r>
          </w:p>
        </w:tc>
        <w:tc>
          <w:tcPr>
            <w:tcW w:w="1786" w:type="dxa"/>
            <w:gridSpan w:val="2"/>
            <w:tcBorders>
              <w:top w:val="single" w:color="000000" w:sz="4" w:space="0"/>
              <w:left w:val="single" w:color="000000" w:sz="4" w:space="0"/>
              <w:bottom w:val="single" w:color="000000" w:sz="4" w:space="0"/>
              <w:right w:val="single" w:color="000000" w:sz="4" w:space="0"/>
            </w:tcBorders>
            <w:shd w:val="clear"/>
            <w:vAlign w:val="center"/>
          </w:tcPr>
          <w:p w14:paraId="4532C506">
            <w:pPr>
              <w:jc w:val="center"/>
              <w:rPr>
                <w:rFonts w:hint="eastAsia" w:ascii="宋体" w:hAnsi="宋体" w:eastAsia="宋体" w:cs="宋体"/>
                <w:i w:val="0"/>
                <w:iCs w:val="0"/>
                <w:color w:val="000000"/>
                <w:sz w:val="20"/>
                <w:szCs w:val="20"/>
                <w:u w:val="none"/>
              </w:rPr>
            </w:pPr>
          </w:p>
        </w:tc>
      </w:tr>
      <w:tr w14:paraId="419FB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9D923A2">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42F89B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满意度指标</w:t>
            </w:r>
          </w:p>
        </w:tc>
        <w:tc>
          <w:tcPr>
            <w:tcW w:w="1520" w:type="dxa"/>
            <w:tcBorders>
              <w:top w:val="single" w:color="000000" w:sz="4" w:space="0"/>
              <w:left w:val="single" w:color="000000" w:sz="4" w:space="0"/>
              <w:bottom w:val="single" w:color="000000" w:sz="4" w:space="0"/>
              <w:right w:val="single" w:color="000000" w:sz="4" w:space="0"/>
            </w:tcBorders>
            <w:shd w:val="clear"/>
            <w:vAlign w:val="center"/>
          </w:tcPr>
          <w:p w14:paraId="14BF00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71EDD8D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相关业务部门满意度</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552DFE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&gt;=95%</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57F94D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=95%</w:t>
            </w:r>
          </w:p>
        </w:tc>
        <w:tc>
          <w:tcPr>
            <w:tcW w:w="800" w:type="dxa"/>
            <w:gridSpan w:val="2"/>
            <w:tcBorders>
              <w:top w:val="single" w:color="000000" w:sz="4" w:space="0"/>
              <w:left w:val="single" w:color="000000" w:sz="4" w:space="0"/>
              <w:bottom w:val="single" w:color="000000" w:sz="4" w:space="0"/>
              <w:right w:val="single" w:color="000000" w:sz="4" w:space="0"/>
            </w:tcBorders>
            <w:shd w:val="clear"/>
            <w:vAlign w:val="center"/>
          </w:tcPr>
          <w:p w14:paraId="5E5665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772" w:type="dxa"/>
            <w:gridSpan w:val="2"/>
            <w:tcBorders>
              <w:top w:val="single" w:color="000000" w:sz="4" w:space="0"/>
              <w:left w:val="single" w:color="000000" w:sz="4" w:space="0"/>
              <w:bottom w:val="single" w:color="000000" w:sz="4" w:space="0"/>
              <w:right w:val="single" w:color="000000" w:sz="4" w:space="0"/>
            </w:tcBorders>
            <w:shd w:val="clear"/>
            <w:vAlign w:val="center"/>
          </w:tcPr>
          <w:p w14:paraId="156D77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1786" w:type="dxa"/>
            <w:gridSpan w:val="2"/>
            <w:tcBorders>
              <w:top w:val="single" w:color="000000" w:sz="4" w:space="0"/>
              <w:left w:val="single" w:color="000000" w:sz="4" w:space="0"/>
              <w:bottom w:val="single" w:color="000000" w:sz="4" w:space="0"/>
              <w:right w:val="single" w:color="000000" w:sz="4" w:space="0"/>
            </w:tcBorders>
            <w:shd w:val="clear"/>
            <w:vAlign w:val="center"/>
          </w:tcPr>
          <w:p w14:paraId="17E46E5E">
            <w:pPr>
              <w:jc w:val="center"/>
              <w:rPr>
                <w:rFonts w:hint="eastAsia" w:ascii="宋体" w:hAnsi="宋体" w:eastAsia="宋体" w:cs="宋体"/>
                <w:i w:val="0"/>
                <w:iCs w:val="0"/>
                <w:color w:val="000000"/>
                <w:sz w:val="20"/>
                <w:szCs w:val="20"/>
                <w:u w:val="none"/>
              </w:rPr>
            </w:pPr>
          </w:p>
        </w:tc>
      </w:tr>
      <w:tr w14:paraId="56DE5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10493" w:type="dxa"/>
            <w:gridSpan w:val="7"/>
            <w:tcBorders>
              <w:top w:val="single" w:color="000000" w:sz="4" w:space="0"/>
              <w:left w:val="single" w:color="000000" w:sz="4" w:space="0"/>
              <w:bottom w:val="single" w:color="000000" w:sz="4" w:space="0"/>
              <w:right w:val="single" w:color="000000" w:sz="4" w:space="0"/>
            </w:tcBorders>
            <w:shd w:val="clear"/>
            <w:vAlign w:val="center"/>
          </w:tcPr>
          <w:p w14:paraId="1625DA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总分</w:t>
            </w:r>
          </w:p>
        </w:tc>
        <w:tc>
          <w:tcPr>
            <w:tcW w:w="800" w:type="dxa"/>
            <w:gridSpan w:val="2"/>
            <w:tcBorders>
              <w:top w:val="single" w:color="000000" w:sz="4" w:space="0"/>
              <w:left w:val="single" w:color="000000" w:sz="4" w:space="0"/>
              <w:bottom w:val="single" w:color="000000" w:sz="4" w:space="0"/>
              <w:right w:val="single" w:color="000000" w:sz="4" w:space="0"/>
            </w:tcBorders>
            <w:shd w:val="clear"/>
            <w:vAlign w:val="center"/>
          </w:tcPr>
          <w:p w14:paraId="550C8E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w:t>
            </w:r>
          </w:p>
        </w:tc>
        <w:tc>
          <w:tcPr>
            <w:tcW w:w="772" w:type="dxa"/>
            <w:gridSpan w:val="2"/>
            <w:tcBorders>
              <w:top w:val="single" w:color="000000" w:sz="4" w:space="0"/>
              <w:left w:val="single" w:color="000000" w:sz="4" w:space="0"/>
              <w:bottom w:val="single" w:color="000000" w:sz="4" w:space="0"/>
              <w:right w:val="single" w:color="000000" w:sz="4" w:space="0"/>
            </w:tcBorders>
            <w:shd w:val="clear"/>
            <w:vAlign w:val="center"/>
          </w:tcPr>
          <w:p w14:paraId="460BBE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100.00分</w:t>
            </w:r>
          </w:p>
        </w:tc>
        <w:tc>
          <w:tcPr>
            <w:tcW w:w="1786" w:type="dxa"/>
            <w:gridSpan w:val="2"/>
            <w:tcBorders>
              <w:top w:val="single" w:color="000000" w:sz="4" w:space="0"/>
              <w:left w:val="single" w:color="000000" w:sz="4" w:space="0"/>
              <w:bottom w:val="single" w:color="000000" w:sz="4" w:space="0"/>
              <w:right w:val="single" w:color="000000" w:sz="4" w:space="0"/>
            </w:tcBorders>
            <w:shd w:val="clear"/>
            <w:vAlign w:val="center"/>
          </w:tcPr>
          <w:p w14:paraId="5D7FF0B8">
            <w:pPr>
              <w:jc w:val="center"/>
              <w:rPr>
                <w:rFonts w:hint="eastAsia" w:ascii="宋体" w:hAnsi="宋体" w:eastAsia="宋体" w:cs="宋体"/>
                <w:i w:val="0"/>
                <w:iCs w:val="0"/>
                <w:color w:val="000000"/>
                <w:sz w:val="20"/>
                <w:szCs w:val="20"/>
                <w:u w:val="none"/>
              </w:rPr>
            </w:pPr>
          </w:p>
        </w:tc>
      </w:tr>
    </w:tbl>
    <w:p w14:paraId="3BD439AD">
      <w:pPr>
        <w:rPr>
          <w:rFonts w:hint="default" w:ascii="Times New Roman" w:hAnsi="Times New Roman" w:cs="Times New Roman"/>
        </w:rPr>
      </w:pPr>
      <w:bookmarkStart w:id="5" w:name="_GoBack"/>
      <w:bookmarkEnd w:id="5"/>
    </w:p>
    <w:sectPr>
      <w:pgSz w:w="16838" w:h="11906" w:orient="landscape"/>
      <w:pgMar w:top="1800" w:right="1440" w:bottom="1558"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_GBK">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68962"/>
    </w:sdtPr>
    <w:sdtContent>
      <w:p w14:paraId="4B3B40C9">
        <w:pPr>
          <w:pStyle w:val="8"/>
          <w:jc w:val="center"/>
        </w:pPr>
        <w:r>
          <w:fldChar w:fldCharType="begin"/>
        </w:r>
        <w:r>
          <w:instrText xml:space="preserve">PAGE   \* MERGEFORMAT</w:instrText>
        </w:r>
        <w:r>
          <w:fldChar w:fldCharType="separate"/>
        </w:r>
        <w:r>
          <w:rPr>
            <w:lang w:val="zh-CN"/>
          </w:rPr>
          <w:t>13</w:t>
        </w:r>
        <w:r>
          <w:fldChar w:fldCharType="end"/>
        </w:r>
      </w:p>
    </w:sdtContent>
  </w:sdt>
  <w:p w14:paraId="380755D6">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E42EEA"/>
    <w:multiLevelType w:val="singleLevel"/>
    <w:tmpl w:val="85E42EEA"/>
    <w:lvl w:ilvl="0" w:tentative="0">
      <w:start w:val="2"/>
      <w:numFmt w:val="decimal"/>
      <w:lvlText w:val="%1."/>
      <w:lvlJc w:val="left"/>
      <w:pPr>
        <w:tabs>
          <w:tab w:val="left" w:pos="312"/>
        </w:tabs>
      </w:pPr>
    </w:lvl>
  </w:abstractNum>
  <w:abstractNum w:abstractNumId="1">
    <w:nsid w:val="F4CD2B0F"/>
    <w:multiLevelType w:val="singleLevel"/>
    <w:tmpl w:val="F4CD2B0F"/>
    <w:lvl w:ilvl="0" w:tentative="0">
      <w:start w:val="1"/>
      <w:numFmt w:val="decimal"/>
      <w:suff w:val="nothing"/>
      <w:lvlText w:val="（%1）"/>
      <w:lvlJc w:val="left"/>
    </w:lvl>
  </w:abstractNum>
  <w:abstractNum w:abstractNumId="2">
    <w:nsid w:val="FF9379A8"/>
    <w:multiLevelType w:val="singleLevel"/>
    <w:tmpl w:val="FF9379A8"/>
    <w:lvl w:ilvl="0" w:tentative="0">
      <w:start w:val="2"/>
      <w:numFmt w:val="chineseCounting"/>
      <w:suff w:val="nothing"/>
      <w:lvlText w:val="（%1）"/>
      <w:lvlJc w:val="left"/>
      <w:rPr>
        <w:rFonts w:hint="eastAsia"/>
      </w:rPr>
    </w:lvl>
  </w:abstractNum>
  <w:abstractNum w:abstractNumId="3">
    <w:nsid w:val="116B29BF"/>
    <w:multiLevelType w:val="singleLevel"/>
    <w:tmpl w:val="116B29BF"/>
    <w:lvl w:ilvl="0" w:tentative="0">
      <w:start w:val="3"/>
      <w:numFmt w:val="chineseCounting"/>
      <w:suff w:val="nothing"/>
      <w:lvlText w:val="%1、"/>
      <w:lvlJc w:val="left"/>
      <w:rPr>
        <w:rFonts w:hint="eastAsia"/>
      </w:rPr>
    </w:lvl>
  </w:abstractNum>
  <w:abstractNum w:abstractNumId="4">
    <w:nsid w:val="1BBF5B25"/>
    <w:multiLevelType w:val="singleLevel"/>
    <w:tmpl w:val="1BBF5B25"/>
    <w:lvl w:ilvl="0" w:tentative="0">
      <w:start w:val="1"/>
      <w:numFmt w:val="decimal"/>
      <w:suff w:val="nothing"/>
      <w:lvlText w:val="（%1）"/>
      <w:lvlJc w:val="left"/>
    </w:lvl>
  </w:abstractNum>
  <w:abstractNum w:abstractNumId="5">
    <w:nsid w:val="27813159"/>
    <w:multiLevelType w:val="singleLevel"/>
    <w:tmpl w:val="27813159"/>
    <w:lvl w:ilvl="0" w:tentative="0">
      <w:start w:val="3"/>
      <w:numFmt w:val="chineseCounting"/>
      <w:suff w:val="nothing"/>
      <w:lvlText w:val="（%1）"/>
      <w:lvlJc w:val="left"/>
      <w:rPr>
        <w:rFonts w:hint="eastAsia"/>
      </w:rPr>
    </w:lvl>
  </w:abstractNum>
  <w:abstractNum w:abstractNumId="6">
    <w:nsid w:val="6FAA0AB1"/>
    <w:multiLevelType w:val="singleLevel"/>
    <w:tmpl w:val="6FAA0AB1"/>
    <w:lvl w:ilvl="0" w:tentative="0">
      <w:start w:val="2"/>
      <w:numFmt w:val="chineseCounting"/>
      <w:suff w:val="nothing"/>
      <w:lvlText w:val="（%1）"/>
      <w:lvlJc w:val="left"/>
      <w:pPr>
        <w:ind w:left="-13"/>
      </w:pPr>
      <w:rPr>
        <w:rFonts w:hint="eastAsia"/>
      </w:rPr>
    </w:lvl>
  </w:abstractNum>
  <w:num w:numId="1">
    <w:abstractNumId w:val="0"/>
  </w:num>
  <w:num w:numId="2">
    <w:abstractNumId w:val="4"/>
  </w:num>
  <w:num w:numId="3">
    <w:abstractNumId w:val="1"/>
  </w:num>
  <w:num w:numId="4">
    <w:abstractNumId w:val="5"/>
  </w:num>
  <w:num w:numId="5">
    <w:abstractNumId w:val="3"/>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iOGM5NzlhN2JhOTc3OTljZTBmY2FhN2MzNTk3ODEifQ=="/>
  </w:docVars>
  <w:rsids>
    <w:rsidRoot w:val="FF6C4049"/>
    <w:rsid w:val="006F7242"/>
    <w:rsid w:val="007B168A"/>
    <w:rsid w:val="008B2CFE"/>
    <w:rsid w:val="00AC7AC4"/>
    <w:rsid w:val="00F26FF6"/>
    <w:rsid w:val="01610122"/>
    <w:rsid w:val="01AF65BA"/>
    <w:rsid w:val="02510197"/>
    <w:rsid w:val="03EC461B"/>
    <w:rsid w:val="05ED30A0"/>
    <w:rsid w:val="07397B77"/>
    <w:rsid w:val="07403AA0"/>
    <w:rsid w:val="09D173BD"/>
    <w:rsid w:val="0AD007F3"/>
    <w:rsid w:val="0BB92314"/>
    <w:rsid w:val="0E3C619F"/>
    <w:rsid w:val="0F6273CA"/>
    <w:rsid w:val="100F38EC"/>
    <w:rsid w:val="11170296"/>
    <w:rsid w:val="11CA312E"/>
    <w:rsid w:val="12C66037"/>
    <w:rsid w:val="12CD1ABC"/>
    <w:rsid w:val="13471461"/>
    <w:rsid w:val="13B90F01"/>
    <w:rsid w:val="155E4C4D"/>
    <w:rsid w:val="16D56138"/>
    <w:rsid w:val="181066D2"/>
    <w:rsid w:val="1C671E73"/>
    <w:rsid w:val="1D1532A5"/>
    <w:rsid w:val="1D322C47"/>
    <w:rsid w:val="23616034"/>
    <w:rsid w:val="23696C97"/>
    <w:rsid w:val="23AE4B8F"/>
    <w:rsid w:val="24480FA2"/>
    <w:rsid w:val="24F43E3B"/>
    <w:rsid w:val="25227A45"/>
    <w:rsid w:val="262555E0"/>
    <w:rsid w:val="26AC3A6A"/>
    <w:rsid w:val="27D7197D"/>
    <w:rsid w:val="29CB70A2"/>
    <w:rsid w:val="2B9D7E25"/>
    <w:rsid w:val="2BFD6A4C"/>
    <w:rsid w:val="2C7C7A3B"/>
    <w:rsid w:val="2CFE59DA"/>
    <w:rsid w:val="2E06595D"/>
    <w:rsid w:val="2E5461D3"/>
    <w:rsid w:val="2E5D6906"/>
    <w:rsid w:val="2F364819"/>
    <w:rsid w:val="2F4E7A5B"/>
    <w:rsid w:val="2F9C715B"/>
    <w:rsid w:val="2FD63906"/>
    <w:rsid w:val="37215DAE"/>
    <w:rsid w:val="38CA40DD"/>
    <w:rsid w:val="395F2B56"/>
    <w:rsid w:val="3B482032"/>
    <w:rsid w:val="3BBA0580"/>
    <w:rsid w:val="3BECE841"/>
    <w:rsid w:val="3C3C6F15"/>
    <w:rsid w:val="3CDE204C"/>
    <w:rsid w:val="3D363C36"/>
    <w:rsid w:val="3E9C3F6D"/>
    <w:rsid w:val="3FF7797D"/>
    <w:rsid w:val="40947A89"/>
    <w:rsid w:val="41316376"/>
    <w:rsid w:val="43F71D03"/>
    <w:rsid w:val="44C420AD"/>
    <w:rsid w:val="46690BD8"/>
    <w:rsid w:val="49792371"/>
    <w:rsid w:val="49F70BF1"/>
    <w:rsid w:val="4B4340EE"/>
    <w:rsid w:val="503D507A"/>
    <w:rsid w:val="51FA74D0"/>
    <w:rsid w:val="52AA4A52"/>
    <w:rsid w:val="533269B7"/>
    <w:rsid w:val="539D3AD1"/>
    <w:rsid w:val="53AF4777"/>
    <w:rsid w:val="59943D66"/>
    <w:rsid w:val="59E051FD"/>
    <w:rsid w:val="59E6355E"/>
    <w:rsid w:val="5B821531"/>
    <w:rsid w:val="5BFF6039"/>
    <w:rsid w:val="5D76A616"/>
    <w:rsid w:val="5D7F20B9"/>
    <w:rsid w:val="5DAC7D0E"/>
    <w:rsid w:val="5F98B5AF"/>
    <w:rsid w:val="5FFE8511"/>
    <w:rsid w:val="5FFEACE2"/>
    <w:rsid w:val="609D5BF6"/>
    <w:rsid w:val="61073070"/>
    <w:rsid w:val="61B9080E"/>
    <w:rsid w:val="61C568AC"/>
    <w:rsid w:val="61DF3FED"/>
    <w:rsid w:val="62606CE8"/>
    <w:rsid w:val="627865BC"/>
    <w:rsid w:val="642B176B"/>
    <w:rsid w:val="643EE26D"/>
    <w:rsid w:val="656019A0"/>
    <w:rsid w:val="65770683"/>
    <w:rsid w:val="65F242EE"/>
    <w:rsid w:val="666D7E19"/>
    <w:rsid w:val="67B93C61"/>
    <w:rsid w:val="68376930"/>
    <w:rsid w:val="68F91E38"/>
    <w:rsid w:val="6A3928DA"/>
    <w:rsid w:val="6B3158B9"/>
    <w:rsid w:val="6BA02A3F"/>
    <w:rsid w:val="6C105349"/>
    <w:rsid w:val="6C1E5A53"/>
    <w:rsid w:val="6D5510E2"/>
    <w:rsid w:val="6F4F7128"/>
    <w:rsid w:val="6F5C41AC"/>
    <w:rsid w:val="6FAF6C78"/>
    <w:rsid w:val="716167CC"/>
    <w:rsid w:val="718A7AD1"/>
    <w:rsid w:val="72A44BC2"/>
    <w:rsid w:val="7317C656"/>
    <w:rsid w:val="734ED73F"/>
    <w:rsid w:val="73C82B32"/>
    <w:rsid w:val="73F94DAE"/>
    <w:rsid w:val="74220495"/>
    <w:rsid w:val="747D1B6F"/>
    <w:rsid w:val="749E5641"/>
    <w:rsid w:val="76271066"/>
    <w:rsid w:val="77FD8BE9"/>
    <w:rsid w:val="78000AED"/>
    <w:rsid w:val="78036054"/>
    <w:rsid w:val="79A9BD3F"/>
    <w:rsid w:val="7AC5270E"/>
    <w:rsid w:val="7B776F12"/>
    <w:rsid w:val="7BFFFDD0"/>
    <w:rsid w:val="7C336E5F"/>
    <w:rsid w:val="7C8D4919"/>
    <w:rsid w:val="7D7A5F86"/>
    <w:rsid w:val="7E4B683A"/>
    <w:rsid w:val="7E5E656D"/>
    <w:rsid w:val="7E8F2BCB"/>
    <w:rsid w:val="7F37BB4E"/>
    <w:rsid w:val="7FEF918E"/>
    <w:rsid w:val="7FF4FB6F"/>
    <w:rsid w:val="7FF7FF27"/>
    <w:rsid w:val="7FFDF714"/>
    <w:rsid w:val="AF3FCD8C"/>
    <w:rsid w:val="B9FA2A43"/>
    <w:rsid w:val="BF7BA1E4"/>
    <w:rsid w:val="BFDF04FA"/>
    <w:rsid w:val="BFE227EF"/>
    <w:rsid w:val="CF2A1ABD"/>
    <w:rsid w:val="DA7D3CD9"/>
    <w:rsid w:val="DBDC0ADA"/>
    <w:rsid w:val="DEDE2B06"/>
    <w:rsid w:val="EBFA31C2"/>
    <w:rsid w:val="F3F4A11B"/>
    <w:rsid w:val="F9FD7907"/>
    <w:rsid w:val="FAEF933D"/>
    <w:rsid w:val="FB3A4A6A"/>
    <w:rsid w:val="FF6C4049"/>
    <w:rsid w:val="FF78F63F"/>
    <w:rsid w:val="FF8D20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9"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3"/>
    <w:basedOn w:val="1"/>
    <w:next w:val="1"/>
    <w:semiHidden/>
    <w:unhideWhenUsed/>
    <w:qFormat/>
    <w:uiPriority w:val="9"/>
    <w:pPr>
      <w:keepNext/>
      <w:widowControl/>
      <w:spacing w:before="240" w:after="60"/>
      <w:jc w:val="left"/>
      <w:outlineLvl w:val="2"/>
    </w:pPr>
    <w:rPr>
      <w:rFonts w:asciiTheme="majorHAnsi" w:hAnsiTheme="majorHAnsi" w:eastAsiaTheme="majorEastAsia"/>
      <w:b/>
      <w:bCs/>
      <w:kern w:val="0"/>
      <w:sz w:val="26"/>
      <w:szCs w:val="26"/>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4"/>
    <w:qFormat/>
    <w:uiPriority w:val="0"/>
    <w:pPr>
      <w:jc w:val="left"/>
    </w:pPr>
  </w:style>
  <w:style w:type="paragraph" w:styleId="5">
    <w:name w:val="Body Text"/>
    <w:basedOn w:val="1"/>
    <w:qFormat/>
    <w:uiPriority w:val="0"/>
    <w:pPr>
      <w:spacing w:after="120"/>
    </w:pPr>
  </w:style>
  <w:style w:type="paragraph" w:styleId="6">
    <w:name w:val="Body Text Indent"/>
    <w:basedOn w:val="1"/>
    <w:qFormat/>
    <w:uiPriority w:val="0"/>
    <w:pPr>
      <w:spacing w:after="120"/>
      <w:ind w:left="420" w:leftChars="200"/>
    </w:pPr>
    <w:rPr>
      <w:rFonts w:ascii="Calibri" w:hAnsi="Calibri"/>
    </w:rPr>
  </w:style>
  <w:style w:type="paragraph" w:styleId="7">
    <w:name w:val="Balloon Text"/>
    <w:basedOn w:val="1"/>
    <w:link w:val="22"/>
    <w:qFormat/>
    <w:uiPriority w:val="0"/>
    <w:rPr>
      <w:sz w:val="18"/>
      <w:szCs w:val="18"/>
    </w:rPr>
  </w:style>
  <w:style w:type="paragraph" w:styleId="8">
    <w:name w:val="footer"/>
    <w:basedOn w:val="1"/>
    <w:unhideWhenUsed/>
    <w:qFormat/>
    <w:uiPriority w:val="99"/>
    <w:pPr>
      <w:tabs>
        <w:tab w:val="center" w:pos="4153"/>
        <w:tab w:val="right" w:pos="8306"/>
      </w:tabs>
      <w:snapToGrid w:val="0"/>
      <w:jc w:val="left"/>
    </w:pPr>
    <w:rPr>
      <w:rFonts w:ascii="Calibri" w:hAnsi="Calibri"/>
      <w:sz w:val="18"/>
      <w:szCs w:val="18"/>
    </w:rPr>
  </w:style>
  <w:style w:type="paragraph" w:styleId="9">
    <w:name w:val="header"/>
    <w:basedOn w:val="1"/>
    <w:link w:val="23"/>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1">
    <w:name w:val="Title"/>
    <w:basedOn w:val="1"/>
    <w:next w:val="1"/>
    <w:qFormat/>
    <w:uiPriority w:val="10"/>
    <w:pPr>
      <w:widowControl/>
      <w:spacing w:before="240" w:after="60"/>
      <w:jc w:val="center"/>
      <w:outlineLvl w:val="0"/>
    </w:pPr>
    <w:rPr>
      <w:rFonts w:asciiTheme="majorHAnsi" w:hAnsiTheme="majorHAnsi" w:eastAsiaTheme="majorEastAsia"/>
      <w:b/>
      <w:bCs/>
      <w:kern w:val="28"/>
      <w:sz w:val="32"/>
      <w:szCs w:val="32"/>
    </w:rPr>
  </w:style>
  <w:style w:type="paragraph" w:styleId="12">
    <w:name w:val="annotation subject"/>
    <w:basedOn w:val="4"/>
    <w:next w:val="4"/>
    <w:link w:val="25"/>
    <w:qFormat/>
    <w:uiPriority w:val="0"/>
    <w:rPr>
      <w:b/>
      <w:bCs/>
    </w:rPr>
  </w:style>
  <w:style w:type="paragraph" w:styleId="13">
    <w:name w:val="Body Text First Indent"/>
    <w:basedOn w:val="5"/>
    <w:qFormat/>
    <w:uiPriority w:val="0"/>
    <w:pPr>
      <w:spacing w:after="0"/>
      <w:ind w:firstLine="200" w:firstLineChars="200"/>
    </w:pPr>
  </w:style>
  <w:style w:type="paragraph" w:styleId="14">
    <w:name w:val="Body Text First Indent 2"/>
    <w:basedOn w:val="6"/>
    <w:qFormat/>
    <w:uiPriority w:val="0"/>
    <w:pPr>
      <w:ind w:firstLine="420" w:firstLineChars="200"/>
    </w:pPr>
  </w:style>
  <w:style w:type="character" w:styleId="17">
    <w:name w:val="Strong"/>
    <w:basedOn w:val="16"/>
    <w:qFormat/>
    <w:uiPriority w:val="0"/>
    <w:rPr>
      <w:b/>
      <w:bCs/>
    </w:rPr>
  </w:style>
  <w:style w:type="character" w:styleId="18">
    <w:name w:val="Hyperlink"/>
    <w:basedOn w:val="16"/>
    <w:uiPriority w:val="0"/>
    <w:rPr>
      <w:color w:val="0000FF"/>
      <w:u w:val="single"/>
    </w:rPr>
  </w:style>
  <w:style w:type="character" w:styleId="19">
    <w:name w:val="annotation reference"/>
    <w:basedOn w:val="16"/>
    <w:qFormat/>
    <w:uiPriority w:val="0"/>
    <w:rPr>
      <w:sz w:val="21"/>
      <w:szCs w:val="21"/>
    </w:rPr>
  </w:style>
  <w:style w:type="character" w:customStyle="1" w:styleId="20">
    <w:name w:val="fontstyle01"/>
    <w:qFormat/>
    <w:uiPriority w:val="0"/>
    <w:rPr>
      <w:rFonts w:ascii="仿宋_GB2312" w:hAnsi="仿宋_GB2312" w:eastAsia="仿宋_GB2312" w:cs="仿宋_GB2312"/>
      <w:color w:val="000000"/>
      <w:sz w:val="32"/>
      <w:szCs w:val="32"/>
    </w:rPr>
  </w:style>
  <w:style w:type="paragraph" w:customStyle="1" w:styleId="21">
    <w:name w:val="闻政-正文段落文字"/>
    <w:basedOn w:val="1"/>
    <w:qFormat/>
    <w:uiPriority w:val="3"/>
    <w:pPr>
      <w:spacing w:line="500" w:lineRule="exact"/>
      <w:ind w:firstLine="200"/>
    </w:pPr>
    <w:rPr>
      <w:kern w:val="0"/>
      <w:szCs w:val="28"/>
    </w:rPr>
  </w:style>
  <w:style w:type="character" w:customStyle="1" w:styleId="22">
    <w:name w:val="批注框文本 字符"/>
    <w:basedOn w:val="16"/>
    <w:link w:val="7"/>
    <w:qFormat/>
    <w:uiPriority w:val="0"/>
    <w:rPr>
      <w:rFonts w:ascii="Times New Roman" w:hAnsi="Times New Roman" w:eastAsia="宋体" w:cs="Times New Roman"/>
      <w:kern w:val="2"/>
      <w:sz w:val="18"/>
      <w:szCs w:val="18"/>
    </w:rPr>
  </w:style>
  <w:style w:type="character" w:customStyle="1" w:styleId="23">
    <w:name w:val="页眉 字符"/>
    <w:basedOn w:val="16"/>
    <w:link w:val="9"/>
    <w:qFormat/>
    <w:uiPriority w:val="0"/>
    <w:rPr>
      <w:rFonts w:ascii="Times New Roman" w:hAnsi="Times New Roman" w:eastAsia="宋体" w:cs="Times New Roman"/>
      <w:kern w:val="2"/>
      <w:sz w:val="18"/>
      <w:szCs w:val="18"/>
    </w:rPr>
  </w:style>
  <w:style w:type="character" w:customStyle="1" w:styleId="24">
    <w:name w:val="批注文字 字符"/>
    <w:basedOn w:val="16"/>
    <w:link w:val="4"/>
    <w:qFormat/>
    <w:uiPriority w:val="0"/>
    <w:rPr>
      <w:rFonts w:ascii="Times New Roman" w:hAnsi="Times New Roman" w:eastAsia="宋体" w:cs="Times New Roman"/>
      <w:kern w:val="2"/>
      <w:sz w:val="21"/>
      <w:szCs w:val="24"/>
    </w:rPr>
  </w:style>
  <w:style w:type="character" w:customStyle="1" w:styleId="25">
    <w:name w:val="批注主题 字符"/>
    <w:basedOn w:val="24"/>
    <w:link w:val="12"/>
    <w:qFormat/>
    <w:uiPriority w:val="0"/>
    <w:rPr>
      <w:rFonts w:ascii="Times New Roman" w:hAnsi="Times New Roman" w:eastAsia="宋体" w:cs="Times New Roman"/>
      <w:b/>
      <w:bCs/>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28</Pages>
  <Words>12034</Words>
  <Characters>12332</Characters>
  <Lines>58</Lines>
  <Paragraphs>16</Paragraphs>
  <TotalTime>2</TotalTime>
  <ScaleCrop>false</ScaleCrop>
  <LinksUpToDate>false</LinksUpToDate>
  <CharactersWithSpaces>12351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2023-03-08T13:13:00Z</dcterms:created>
  <dc:creator>审核人</dc:creator>
  <cp:lastModifiedBy>小糖豆</cp:lastModifiedBy>
  <dcterms:modified xsi:type="dcterms:W3CDTF">2025-11-27T03:51:15Z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7D1BCFDDD0284C61B1B92C0716F4F1E7_13</vt:lpwstr>
  </property>
  <property fmtid="{D5CDD505-2E9C-101B-9397-08002B2CF9AE}" pid="4" name="KSOTemplateDocerSaveRecord">
    <vt:lpwstr>eyJoZGlkIjoiOGFkNmZiY2VjMDdjZjNhYjcxMzg2NTlkY2FmMDAzYzIiLCJ1c2VySWQiOiIzMTEwOTcwNTkifQ==</vt:lpwstr>
  </property>
</Properties>
</file>