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FD98E">
      <w:pPr>
        <w:spacing w:line="540" w:lineRule="exact"/>
        <w:jc w:val="center"/>
        <w:rPr>
          <w:rFonts w:eastAsia="华文中宋"/>
          <w:b/>
          <w:kern w:val="0"/>
          <w:sz w:val="52"/>
          <w:szCs w:val="52"/>
        </w:rPr>
      </w:pPr>
    </w:p>
    <w:p w14:paraId="405677B6">
      <w:pPr>
        <w:spacing w:line="540" w:lineRule="exact"/>
        <w:rPr>
          <w:rFonts w:eastAsia="华文中宋"/>
          <w:b/>
          <w:kern w:val="0"/>
          <w:sz w:val="52"/>
          <w:szCs w:val="52"/>
        </w:rPr>
      </w:pPr>
    </w:p>
    <w:p w14:paraId="1D80B4B9">
      <w:pPr>
        <w:spacing w:line="540" w:lineRule="exact"/>
        <w:jc w:val="center"/>
        <w:rPr>
          <w:rFonts w:eastAsia="华文中宋"/>
          <w:b/>
          <w:kern w:val="0"/>
          <w:sz w:val="52"/>
          <w:szCs w:val="52"/>
        </w:rPr>
      </w:pPr>
    </w:p>
    <w:p w14:paraId="0DBFDA17">
      <w:pPr>
        <w:spacing w:line="540" w:lineRule="exact"/>
        <w:jc w:val="center"/>
        <w:rPr>
          <w:rFonts w:eastAsia="华文中宋"/>
          <w:b/>
          <w:kern w:val="0"/>
          <w:sz w:val="52"/>
          <w:szCs w:val="52"/>
        </w:rPr>
      </w:pPr>
    </w:p>
    <w:p w14:paraId="05B0C9B2">
      <w:pPr>
        <w:spacing w:line="540" w:lineRule="exact"/>
        <w:jc w:val="center"/>
        <w:rPr>
          <w:rFonts w:eastAsia="方正小标宋_GBK"/>
          <w:kern w:val="0"/>
          <w:sz w:val="48"/>
          <w:szCs w:val="48"/>
        </w:rPr>
      </w:pPr>
      <w:bookmarkStart w:id="0" w:name="OLE_LINK23"/>
      <w:r>
        <w:rPr>
          <w:rFonts w:eastAsia="方正小标宋_GBK"/>
          <w:kern w:val="0"/>
          <w:sz w:val="48"/>
          <w:szCs w:val="48"/>
        </w:rPr>
        <w:t>雅山污水处理厂污水处理运行费（污水处理）</w:t>
      </w:r>
      <w:bookmarkEnd w:id="0"/>
      <w:r>
        <w:rPr>
          <w:rFonts w:eastAsia="方正小标宋_GBK"/>
          <w:kern w:val="0"/>
          <w:sz w:val="48"/>
          <w:szCs w:val="48"/>
        </w:rPr>
        <w:t>项目支出绩效评价报告</w:t>
      </w:r>
    </w:p>
    <w:p w14:paraId="1AA872CC">
      <w:pPr>
        <w:spacing w:line="540" w:lineRule="exact"/>
        <w:jc w:val="center"/>
        <w:rPr>
          <w:rFonts w:eastAsia="华文中宋"/>
          <w:b/>
          <w:kern w:val="0"/>
          <w:sz w:val="52"/>
          <w:szCs w:val="52"/>
        </w:rPr>
      </w:pPr>
    </w:p>
    <w:p w14:paraId="27B70971">
      <w:pPr>
        <w:spacing w:line="540" w:lineRule="exact"/>
        <w:jc w:val="center"/>
        <w:rPr>
          <w:rFonts w:eastAsia="仿宋_GB2312"/>
          <w:kern w:val="0"/>
          <w:sz w:val="36"/>
          <w:szCs w:val="36"/>
        </w:rPr>
      </w:pPr>
      <w:r>
        <w:rPr>
          <w:rFonts w:eastAsia="仿宋_GB2312"/>
          <w:kern w:val="0"/>
          <w:sz w:val="36"/>
          <w:szCs w:val="36"/>
        </w:rPr>
        <w:t>（2024年度）</w:t>
      </w:r>
    </w:p>
    <w:p w14:paraId="6A0410AD">
      <w:pPr>
        <w:spacing w:line="540" w:lineRule="exact"/>
        <w:jc w:val="center"/>
        <w:rPr>
          <w:rFonts w:eastAsia="仿宋_GB2312"/>
          <w:kern w:val="0"/>
          <w:sz w:val="30"/>
          <w:szCs w:val="30"/>
        </w:rPr>
      </w:pPr>
    </w:p>
    <w:p w14:paraId="3E415B7B">
      <w:pPr>
        <w:spacing w:line="540" w:lineRule="exact"/>
        <w:jc w:val="center"/>
        <w:rPr>
          <w:rFonts w:eastAsia="仿宋_GB2312"/>
          <w:kern w:val="0"/>
          <w:sz w:val="30"/>
          <w:szCs w:val="30"/>
        </w:rPr>
      </w:pPr>
    </w:p>
    <w:p w14:paraId="238BA306">
      <w:pPr>
        <w:spacing w:line="540" w:lineRule="exact"/>
        <w:jc w:val="center"/>
        <w:rPr>
          <w:rFonts w:eastAsia="仿宋_GB2312"/>
          <w:kern w:val="0"/>
          <w:sz w:val="30"/>
          <w:szCs w:val="30"/>
        </w:rPr>
      </w:pPr>
    </w:p>
    <w:p w14:paraId="3A9CA4D7">
      <w:pPr>
        <w:pStyle w:val="10"/>
        <w:rPr>
          <w:rFonts w:ascii="Times New Roman" w:hAnsi="Times New Roman"/>
        </w:rPr>
      </w:pPr>
    </w:p>
    <w:p w14:paraId="54A7F064">
      <w:pPr>
        <w:spacing w:line="540" w:lineRule="exact"/>
        <w:jc w:val="center"/>
        <w:rPr>
          <w:rFonts w:eastAsia="仿宋_GB2312"/>
          <w:kern w:val="0"/>
          <w:sz w:val="30"/>
          <w:szCs w:val="30"/>
        </w:rPr>
      </w:pPr>
    </w:p>
    <w:p w14:paraId="0FB21626">
      <w:pPr>
        <w:spacing w:line="540" w:lineRule="exact"/>
        <w:rPr>
          <w:rFonts w:eastAsia="仿宋_GB2312"/>
          <w:kern w:val="0"/>
          <w:sz w:val="30"/>
          <w:szCs w:val="30"/>
        </w:rPr>
      </w:pPr>
    </w:p>
    <w:p w14:paraId="75B28EA4">
      <w:pPr>
        <w:spacing w:line="700" w:lineRule="exact"/>
        <w:ind w:firstLine="1440" w:firstLineChars="400"/>
        <w:jc w:val="left"/>
        <w:rPr>
          <w:rFonts w:eastAsia="仿宋_GB2312"/>
          <w:kern w:val="0"/>
          <w:sz w:val="36"/>
          <w:szCs w:val="36"/>
        </w:rPr>
      </w:pPr>
      <w:r>
        <w:rPr>
          <w:rFonts w:eastAsia="仿宋_GB2312"/>
          <w:kern w:val="0"/>
          <w:sz w:val="36"/>
          <w:szCs w:val="36"/>
        </w:rPr>
        <w:t>项目名称：雅山污水处理厂污水处理运行费（污水处理）</w:t>
      </w:r>
    </w:p>
    <w:p w14:paraId="58C6B498">
      <w:pPr>
        <w:spacing w:line="700" w:lineRule="exact"/>
        <w:ind w:firstLine="1440" w:firstLineChars="400"/>
        <w:jc w:val="left"/>
        <w:rPr>
          <w:rFonts w:eastAsia="仿宋_GB2312"/>
          <w:kern w:val="0"/>
          <w:sz w:val="36"/>
          <w:szCs w:val="36"/>
        </w:rPr>
      </w:pPr>
      <w:r>
        <w:rPr>
          <w:rFonts w:eastAsia="仿宋_GB2312"/>
          <w:kern w:val="0"/>
          <w:sz w:val="36"/>
          <w:szCs w:val="36"/>
        </w:rPr>
        <w:t>实施单位（公章）：乌鲁木齐市雅玛里克山污水处理厂</w:t>
      </w:r>
    </w:p>
    <w:p w14:paraId="2C18D917">
      <w:pPr>
        <w:spacing w:line="700" w:lineRule="exact"/>
        <w:ind w:firstLine="1440" w:firstLineChars="400"/>
        <w:jc w:val="left"/>
        <w:rPr>
          <w:rFonts w:eastAsia="仿宋_GB2312"/>
          <w:kern w:val="0"/>
          <w:sz w:val="36"/>
          <w:szCs w:val="36"/>
        </w:rPr>
      </w:pPr>
      <w:r>
        <w:rPr>
          <w:rFonts w:eastAsia="仿宋_GB2312"/>
          <w:kern w:val="0"/>
          <w:sz w:val="36"/>
          <w:szCs w:val="36"/>
        </w:rPr>
        <w:t>主管部门（公章）：乌鲁木齐市雅玛里克山污水处理厂</w:t>
      </w:r>
    </w:p>
    <w:p w14:paraId="523E7D48">
      <w:pPr>
        <w:spacing w:line="700" w:lineRule="exact"/>
        <w:ind w:firstLine="1440" w:firstLineChars="400"/>
        <w:jc w:val="left"/>
        <w:rPr>
          <w:rFonts w:eastAsia="仿宋_GB2312"/>
          <w:kern w:val="0"/>
          <w:sz w:val="36"/>
          <w:szCs w:val="36"/>
        </w:rPr>
      </w:pPr>
      <w:r>
        <w:rPr>
          <w:rFonts w:eastAsia="仿宋_GB2312"/>
          <w:kern w:val="0"/>
          <w:sz w:val="36"/>
          <w:szCs w:val="36"/>
        </w:rPr>
        <w:t>项目负责人（签章）：</w:t>
      </w:r>
      <w:r>
        <w:rPr>
          <w:rFonts w:hint="eastAsia" w:eastAsia="仿宋_GB2312"/>
          <w:kern w:val="0"/>
          <w:sz w:val="36"/>
          <w:szCs w:val="36"/>
        </w:rPr>
        <w:t>汤俊杰</w:t>
      </w:r>
    </w:p>
    <w:p w14:paraId="509E945C">
      <w:pPr>
        <w:spacing w:line="700" w:lineRule="exact"/>
        <w:ind w:firstLine="1440" w:firstLineChars="400"/>
        <w:jc w:val="left"/>
        <w:rPr>
          <w:rFonts w:eastAsia="仿宋_GB2312"/>
          <w:kern w:val="0"/>
          <w:sz w:val="36"/>
          <w:szCs w:val="36"/>
        </w:rPr>
      </w:pPr>
      <w:r>
        <w:rPr>
          <w:rFonts w:eastAsia="仿宋_GB2312"/>
          <w:kern w:val="0"/>
          <w:sz w:val="36"/>
          <w:szCs w:val="36"/>
        </w:rPr>
        <w:t>填报时间：</w:t>
      </w:r>
      <w:r>
        <w:rPr>
          <w:rFonts w:hint="eastAsia" w:eastAsia="仿宋_GB2312"/>
          <w:kern w:val="0"/>
          <w:sz w:val="36"/>
          <w:szCs w:val="36"/>
        </w:rPr>
        <w:t>2025</w:t>
      </w:r>
      <w:r>
        <w:rPr>
          <w:rFonts w:eastAsia="仿宋_GB2312"/>
          <w:kern w:val="0"/>
          <w:sz w:val="36"/>
          <w:szCs w:val="36"/>
        </w:rPr>
        <w:t>年</w:t>
      </w:r>
      <w:r>
        <w:rPr>
          <w:rFonts w:hint="eastAsia" w:eastAsia="仿宋_GB2312"/>
          <w:kern w:val="0"/>
          <w:sz w:val="36"/>
          <w:szCs w:val="36"/>
        </w:rPr>
        <w:t>4</w:t>
      </w:r>
      <w:r>
        <w:rPr>
          <w:rFonts w:eastAsia="仿宋_GB2312"/>
          <w:kern w:val="0"/>
          <w:sz w:val="36"/>
          <w:szCs w:val="36"/>
        </w:rPr>
        <w:t>月</w:t>
      </w:r>
      <w:r>
        <w:rPr>
          <w:rFonts w:hint="eastAsia" w:eastAsia="仿宋_GB2312"/>
          <w:kern w:val="0"/>
          <w:sz w:val="36"/>
          <w:szCs w:val="36"/>
        </w:rPr>
        <w:t>1</w:t>
      </w:r>
      <w:r>
        <w:rPr>
          <w:rFonts w:eastAsia="仿宋_GB2312"/>
          <w:kern w:val="0"/>
          <w:sz w:val="36"/>
          <w:szCs w:val="36"/>
        </w:rPr>
        <w:t>日</w:t>
      </w:r>
    </w:p>
    <w:p w14:paraId="5C32B170">
      <w:pPr>
        <w:spacing w:line="540" w:lineRule="exact"/>
        <w:jc w:val="center"/>
        <w:rPr>
          <w:rFonts w:eastAsia="仿宋_GB2312"/>
          <w:kern w:val="0"/>
          <w:sz w:val="30"/>
          <w:szCs w:val="30"/>
        </w:rPr>
      </w:pPr>
    </w:p>
    <w:p w14:paraId="6DF03DF2">
      <w:pPr>
        <w:spacing w:line="560" w:lineRule="exact"/>
        <w:ind w:firstLine="640" w:firstLineChars="200"/>
        <w:rPr>
          <w:rFonts w:eastAsia="黑体"/>
          <w:bCs/>
          <w:sz w:val="32"/>
          <w:szCs w:val="32"/>
        </w:rPr>
      </w:pPr>
      <w:r>
        <w:rPr>
          <w:rFonts w:eastAsia="黑体"/>
          <w:bCs/>
          <w:sz w:val="32"/>
          <w:szCs w:val="32"/>
        </w:rPr>
        <w:t>一、基本情况</w:t>
      </w:r>
    </w:p>
    <w:p w14:paraId="7518F523">
      <w:pPr>
        <w:spacing w:line="560" w:lineRule="exact"/>
        <w:ind w:firstLine="643" w:firstLineChars="200"/>
        <w:rPr>
          <w:rFonts w:eastAsia="楷体_GB2312"/>
          <w:b/>
          <w:bCs/>
          <w:sz w:val="32"/>
          <w:szCs w:val="32"/>
        </w:rPr>
      </w:pPr>
      <w:r>
        <w:rPr>
          <w:rFonts w:eastAsia="楷体_GB2312"/>
          <w:b/>
          <w:bCs/>
          <w:sz w:val="32"/>
          <w:szCs w:val="32"/>
        </w:rPr>
        <w:t>（一）项目概况</w:t>
      </w:r>
    </w:p>
    <w:p w14:paraId="55D21DC8">
      <w:pPr>
        <w:spacing w:line="560" w:lineRule="exact"/>
        <w:ind w:firstLine="643" w:firstLineChars="200"/>
        <w:rPr>
          <w:rFonts w:eastAsia="仿宋_GB2312"/>
          <w:b/>
          <w:bCs/>
          <w:sz w:val="32"/>
          <w:szCs w:val="32"/>
        </w:rPr>
      </w:pPr>
      <w:r>
        <w:rPr>
          <w:rFonts w:eastAsia="仿宋_GB2312"/>
          <w:b/>
          <w:bCs/>
          <w:sz w:val="32"/>
          <w:szCs w:val="32"/>
        </w:rPr>
        <w:t>1.项目背景</w:t>
      </w:r>
    </w:p>
    <w:p w14:paraId="5C62EF10">
      <w:pPr>
        <w:pStyle w:val="24"/>
        <w:spacing w:line="560" w:lineRule="exact"/>
        <w:ind w:firstLine="640"/>
        <w:rPr>
          <w:rStyle w:val="16"/>
          <w:rFonts w:eastAsia="黑体"/>
          <w:b w:val="0"/>
          <w:spacing w:val="-4"/>
          <w:sz w:val="32"/>
          <w:szCs w:val="32"/>
        </w:rPr>
      </w:pPr>
      <w:r>
        <w:rPr>
          <w:rFonts w:hint="eastAsia" w:eastAsia="仿宋_GB2312"/>
          <w:sz w:val="32"/>
          <w:szCs w:val="32"/>
        </w:rPr>
        <w:t>该项目根据乌财农〔2024〕20号关于拨付雅山污水处理厂污水处理运行费的通知，主要用于支付污水处理厂产生的污水费用。污水处理厂主要是将城市主管网的生活污水经过多级提升进行处理，将处理后的再生水（一级A标准）用于雅玛里克山进行荒山绿化;对城市居民生活杂用水进行处理后浇灌荒山绿化带，生态效益可观。有益于生态功能的恢复，美化自然生态环境，在植物生存繁茂的同时调节了气候，阻隔吸纳了噪声，保持了水土，提供野生动物生活环境，发展了旅游业，给人以美学价值和精神享受。尤其是对可持续发展具有深远的社会效益、经济效益和环境效益。</w:t>
      </w:r>
    </w:p>
    <w:p w14:paraId="403D8FA5">
      <w:pPr>
        <w:pStyle w:val="10"/>
        <w:spacing w:before="0" w:after="0" w:line="560" w:lineRule="exact"/>
        <w:ind w:firstLine="643" w:firstLineChars="200"/>
        <w:jc w:val="both"/>
        <w:rPr>
          <w:rFonts w:ascii="Times New Roman" w:hAnsi="Times New Roman" w:eastAsia="仿宋_GB2312"/>
          <w:kern w:val="2"/>
        </w:rPr>
      </w:pPr>
      <w:r>
        <w:rPr>
          <w:rFonts w:ascii="Times New Roman" w:hAnsi="Times New Roman" w:eastAsia="仿宋_GB2312"/>
          <w:kern w:val="2"/>
        </w:rPr>
        <w:t>2.项目主要内容：</w:t>
      </w:r>
    </w:p>
    <w:p w14:paraId="772AAB58">
      <w:pPr>
        <w:spacing w:line="560" w:lineRule="exact"/>
        <w:ind w:firstLine="600" w:firstLineChars="200"/>
        <w:rPr>
          <w:rFonts w:eastAsia="黑体"/>
        </w:rPr>
      </w:pPr>
      <w:r>
        <w:rPr>
          <w:rFonts w:eastAsia="仿宋_GB2312"/>
          <w:sz w:val="30"/>
          <w:szCs w:val="30"/>
        </w:rPr>
        <w:t>项目主要内容：</w:t>
      </w:r>
      <w:bookmarkStart w:id="1" w:name="OLE_LINK2"/>
      <w:r>
        <w:rPr>
          <w:rFonts w:hint="eastAsia" w:eastAsia="仿宋_GB2312"/>
          <w:sz w:val="30"/>
          <w:szCs w:val="30"/>
        </w:rPr>
        <w:t>用于雅山污水处理厂污水处理运行费用，包括污水处理987.67万吨，</w:t>
      </w:r>
      <w:bookmarkStart w:id="2" w:name="OLE_LINK1"/>
      <w:r>
        <w:rPr>
          <w:rFonts w:hint="eastAsia" w:eastAsia="仿宋_GB2312"/>
          <w:sz w:val="30"/>
          <w:szCs w:val="30"/>
        </w:rPr>
        <w:t>污水处理厂运行期7个月，日处理量达到4.7万吨，并对产生的污水处理费进行支付，及时化解债务，保障污水处理厂的正常运行，为雅玛里克山荒山绿化提供稳定的水源</w:t>
      </w:r>
      <w:bookmarkEnd w:id="2"/>
      <w:r>
        <w:rPr>
          <w:rStyle w:val="16"/>
          <w:rFonts w:eastAsia="黑体"/>
          <w:b w:val="0"/>
          <w:spacing w:val="-4"/>
          <w:sz w:val="32"/>
          <w:szCs w:val="32"/>
        </w:rPr>
        <w:t>。</w:t>
      </w:r>
      <w:bookmarkEnd w:id="1"/>
    </w:p>
    <w:p w14:paraId="50B24B19">
      <w:pPr>
        <w:spacing w:line="560" w:lineRule="exact"/>
        <w:ind w:firstLine="640" w:firstLineChars="200"/>
      </w:pPr>
      <w:r>
        <w:rPr>
          <w:rFonts w:eastAsia="仿宋_GB2312"/>
          <w:sz w:val="32"/>
          <w:szCs w:val="32"/>
        </w:rPr>
        <w:t>项目实施情况：</w:t>
      </w:r>
      <w:r>
        <w:rPr>
          <w:rFonts w:hint="eastAsia" w:eastAsia="仿宋_GB2312"/>
          <w:sz w:val="32"/>
          <w:szCs w:val="32"/>
        </w:rPr>
        <w:t>完成污水处理987.67万吨，污水处理运行期7个月，保障</w:t>
      </w:r>
      <w:r>
        <w:rPr>
          <w:rFonts w:hint="eastAsia" w:eastAsia="仿宋_GB2312"/>
          <w:sz w:val="30"/>
          <w:szCs w:val="30"/>
        </w:rPr>
        <w:t>污水处理厂的正常运行，为雅玛里克山荒山绿化提供稳定的水源</w:t>
      </w:r>
      <w:r>
        <w:rPr>
          <w:rStyle w:val="16"/>
          <w:rFonts w:eastAsia="黑体"/>
          <w:b w:val="0"/>
          <w:spacing w:val="-4"/>
          <w:sz w:val="32"/>
          <w:szCs w:val="32"/>
        </w:rPr>
        <w:t>。</w:t>
      </w:r>
    </w:p>
    <w:p w14:paraId="311F3E27">
      <w:pPr>
        <w:spacing w:line="560" w:lineRule="exact"/>
        <w:ind w:firstLine="643" w:firstLineChars="200"/>
        <w:rPr>
          <w:rFonts w:eastAsia="仿宋_GB2312"/>
          <w:b/>
          <w:bCs/>
          <w:sz w:val="32"/>
          <w:szCs w:val="32"/>
        </w:rPr>
      </w:pPr>
      <w:r>
        <w:rPr>
          <w:rFonts w:eastAsia="仿宋_GB2312"/>
          <w:b/>
          <w:bCs/>
          <w:sz w:val="32"/>
          <w:szCs w:val="32"/>
        </w:rPr>
        <w:t>3.资金投入和使用情况</w:t>
      </w:r>
    </w:p>
    <w:p w14:paraId="1AFB8A4C">
      <w:pPr>
        <w:spacing w:line="600" w:lineRule="exact"/>
        <w:ind w:firstLine="640" w:firstLineChars="200"/>
        <w:outlineLvl w:val="0"/>
        <w:rPr>
          <w:rFonts w:eastAsia="仿宋_GB2312"/>
          <w:sz w:val="32"/>
          <w:szCs w:val="32"/>
        </w:rPr>
      </w:pPr>
      <w:r>
        <w:rPr>
          <w:rFonts w:eastAsia="仿宋_GB2312"/>
          <w:sz w:val="32"/>
          <w:szCs w:val="32"/>
        </w:rPr>
        <w:t>（1）资金投入情况</w:t>
      </w:r>
    </w:p>
    <w:p w14:paraId="40B6E572">
      <w:pPr>
        <w:spacing w:line="600" w:lineRule="exact"/>
        <w:ind w:firstLine="640" w:firstLineChars="200"/>
        <w:outlineLvl w:val="0"/>
        <w:rPr>
          <w:rFonts w:eastAsia="仿宋_GB2312"/>
          <w:sz w:val="32"/>
          <w:szCs w:val="32"/>
        </w:rPr>
      </w:pPr>
      <w:r>
        <w:rPr>
          <w:rFonts w:eastAsia="仿宋_GB2312"/>
          <w:sz w:val="32"/>
          <w:szCs w:val="32"/>
        </w:rPr>
        <w:t>该项目年初预算数</w:t>
      </w:r>
      <w:r>
        <w:rPr>
          <w:rFonts w:hint="eastAsia" w:eastAsia="仿宋_GB2312"/>
          <w:sz w:val="32"/>
          <w:szCs w:val="32"/>
        </w:rPr>
        <w:t>310</w:t>
      </w:r>
      <w:r>
        <w:rPr>
          <w:rFonts w:eastAsia="仿宋_GB2312"/>
          <w:sz w:val="32"/>
          <w:szCs w:val="32"/>
        </w:rPr>
        <w:t>万元，全年预算数</w:t>
      </w:r>
      <w:r>
        <w:rPr>
          <w:rFonts w:hint="eastAsia" w:eastAsia="仿宋_GB2312"/>
          <w:sz w:val="32"/>
          <w:szCs w:val="32"/>
        </w:rPr>
        <w:t>310</w:t>
      </w:r>
      <w:r>
        <w:rPr>
          <w:rFonts w:eastAsia="仿宋_GB2312"/>
          <w:sz w:val="32"/>
          <w:szCs w:val="32"/>
        </w:rPr>
        <w:t>万元，该项目资金已全部落实到位，资金来源为</w:t>
      </w:r>
      <w:r>
        <w:rPr>
          <w:rFonts w:hint="eastAsia" w:eastAsia="仿宋_GB2312"/>
          <w:sz w:val="32"/>
          <w:szCs w:val="32"/>
        </w:rPr>
        <w:t>财政拨款</w:t>
      </w:r>
      <w:r>
        <w:rPr>
          <w:rFonts w:eastAsia="仿宋_GB2312"/>
          <w:sz w:val="32"/>
          <w:szCs w:val="32"/>
        </w:rPr>
        <w:t>。</w:t>
      </w:r>
    </w:p>
    <w:p w14:paraId="36754100">
      <w:pPr>
        <w:spacing w:line="600" w:lineRule="exact"/>
        <w:ind w:firstLine="640" w:firstLineChars="200"/>
        <w:outlineLvl w:val="0"/>
        <w:rPr>
          <w:rFonts w:eastAsia="仿宋_GB2312"/>
          <w:sz w:val="32"/>
          <w:szCs w:val="32"/>
        </w:rPr>
      </w:pPr>
      <w:r>
        <w:rPr>
          <w:rFonts w:eastAsia="仿宋_GB2312"/>
          <w:sz w:val="32"/>
          <w:szCs w:val="32"/>
        </w:rPr>
        <w:t>（2）资金使用情况</w:t>
      </w:r>
    </w:p>
    <w:p w14:paraId="792ABC34">
      <w:pPr>
        <w:spacing w:line="600" w:lineRule="exact"/>
        <w:ind w:firstLine="640" w:firstLineChars="200"/>
        <w:outlineLvl w:val="0"/>
        <w:rPr>
          <w:rFonts w:eastAsia="仿宋_GB2312"/>
          <w:sz w:val="32"/>
          <w:szCs w:val="32"/>
        </w:rPr>
      </w:pPr>
      <w:r>
        <w:rPr>
          <w:rFonts w:eastAsia="仿宋_GB2312"/>
          <w:sz w:val="32"/>
          <w:szCs w:val="32"/>
        </w:rPr>
        <w:t>该项目年初预算数</w:t>
      </w:r>
      <w:r>
        <w:rPr>
          <w:rFonts w:hint="eastAsia" w:eastAsia="仿宋_GB2312"/>
          <w:sz w:val="32"/>
          <w:szCs w:val="32"/>
        </w:rPr>
        <w:t>310</w:t>
      </w:r>
      <w:r>
        <w:rPr>
          <w:rFonts w:eastAsia="仿宋_GB2312"/>
          <w:sz w:val="32"/>
          <w:szCs w:val="32"/>
        </w:rPr>
        <w:t>万元，全年预算数</w:t>
      </w:r>
      <w:r>
        <w:rPr>
          <w:rFonts w:hint="eastAsia" w:eastAsia="仿宋_GB2312"/>
          <w:sz w:val="32"/>
          <w:szCs w:val="32"/>
        </w:rPr>
        <w:t>310</w:t>
      </w:r>
      <w:r>
        <w:rPr>
          <w:rFonts w:eastAsia="仿宋_GB2312"/>
          <w:sz w:val="32"/>
          <w:szCs w:val="32"/>
        </w:rPr>
        <w:t>万元，全年执行数</w:t>
      </w:r>
      <w:r>
        <w:rPr>
          <w:rFonts w:hint="eastAsia" w:eastAsia="仿宋_GB2312"/>
          <w:sz w:val="32"/>
          <w:szCs w:val="32"/>
        </w:rPr>
        <w:t>310</w:t>
      </w:r>
      <w:r>
        <w:rPr>
          <w:rFonts w:eastAsia="仿宋_GB2312"/>
          <w:sz w:val="32"/>
          <w:szCs w:val="32"/>
        </w:rPr>
        <w:t>万元，预算执行率为</w:t>
      </w:r>
      <w:r>
        <w:rPr>
          <w:rFonts w:hint="eastAsia" w:eastAsia="仿宋_GB2312"/>
          <w:sz w:val="32"/>
          <w:szCs w:val="32"/>
        </w:rPr>
        <w:t>100</w:t>
      </w:r>
      <w:r>
        <w:rPr>
          <w:rFonts w:eastAsia="仿宋_GB2312"/>
          <w:sz w:val="32"/>
          <w:szCs w:val="32"/>
        </w:rPr>
        <w:t>%，主要用于：</w:t>
      </w:r>
      <w:r>
        <w:rPr>
          <w:rFonts w:hint="eastAsia" w:eastAsia="仿宋_GB2312"/>
          <w:sz w:val="32"/>
          <w:szCs w:val="32"/>
        </w:rPr>
        <w:t>污水处理费用310万元</w:t>
      </w:r>
      <w:r>
        <w:rPr>
          <w:rFonts w:eastAsia="仿宋_GB2312"/>
          <w:sz w:val="32"/>
          <w:szCs w:val="32"/>
        </w:rPr>
        <w:t>。</w:t>
      </w:r>
    </w:p>
    <w:p w14:paraId="615E0166">
      <w:pPr>
        <w:spacing w:line="560" w:lineRule="exact"/>
        <w:ind w:firstLine="643" w:firstLineChars="200"/>
        <w:rPr>
          <w:rFonts w:eastAsia="楷体_GB2312"/>
          <w:b/>
          <w:bCs/>
          <w:sz w:val="32"/>
          <w:szCs w:val="32"/>
        </w:rPr>
      </w:pPr>
      <w:r>
        <w:rPr>
          <w:rFonts w:eastAsia="楷体_GB2312"/>
          <w:b/>
          <w:bCs/>
          <w:sz w:val="32"/>
          <w:szCs w:val="32"/>
        </w:rPr>
        <w:t>（二）项目绩效目标</w:t>
      </w:r>
    </w:p>
    <w:p w14:paraId="7FD81ACB">
      <w:pPr>
        <w:spacing w:line="560" w:lineRule="exact"/>
        <w:ind w:firstLine="640" w:firstLineChars="20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292803FB">
      <w:pPr>
        <w:spacing w:line="560" w:lineRule="exact"/>
        <w:ind w:firstLine="600" w:firstLineChars="200"/>
        <w:rPr>
          <w:rFonts w:eastAsia="黑体"/>
          <w:bCs/>
        </w:rPr>
      </w:pPr>
      <w:bookmarkStart w:id="3" w:name="OLE_LINK10"/>
      <w:r>
        <w:rPr>
          <w:rFonts w:hint="eastAsia" w:eastAsia="仿宋_GB2312"/>
          <w:sz w:val="30"/>
          <w:szCs w:val="30"/>
        </w:rPr>
        <w:t>用于雅山污水处理厂污水处理运行费用，包括污水处理987.67万吨，保障污水处理厂的正常运行，为雅玛里克山荒山绿化提供稳定的水源</w:t>
      </w:r>
      <w:bookmarkEnd w:id="3"/>
      <w:r>
        <w:rPr>
          <w:rStyle w:val="16"/>
          <w:rFonts w:eastAsia="黑体"/>
          <w:b w:val="0"/>
          <w:spacing w:val="-4"/>
          <w:sz w:val="32"/>
          <w:szCs w:val="32"/>
        </w:rPr>
        <w:t>。</w:t>
      </w:r>
    </w:p>
    <w:p w14:paraId="68511E71">
      <w:pPr>
        <w:numPr>
          <w:ilvl w:val="0"/>
          <w:numId w:val="1"/>
        </w:numPr>
        <w:spacing w:line="560" w:lineRule="exact"/>
        <w:ind w:firstLine="640" w:firstLineChars="200"/>
        <w:rPr>
          <w:rFonts w:eastAsia="仿宋_GB2312"/>
          <w:sz w:val="32"/>
          <w:szCs w:val="32"/>
        </w:rPr>
      </w:pPr>
      <w:r>
        <w:rPr>
          <w:rFonts w:eastAsia="仿宋_GB2312"/>
          <w:sz w:val="32"/>
          <w:szCs w:val="32"/>
        </w:rPr>
        <w:t>阶段性目标</w:t>
      </w:r>
    </w:p>
    <w:p w14:paraId="23BF68D9">
      <w:pPr>
        <w:spacing w:line="560" w:lineRule="exact"/>
        <w:ind w:firstLine="640" w:firstLineChars="200"/>
        <w:rPr>
          <w:rFonts w:eastAsia="仿宋_GB2312"/>
          <w:sz w:val="32"/>
          <w:szCs w:val="32"/>
        </w:rPr>
      </w:pPr>
      <w:r>
        <w:rPr>
          <w:rFonts w:hint="eastAsia" w:eastAsia="仿宋_GB2312"/>
          <w:sz w:val="32"/>
          <w:szCs w:val="32"/>
        </w:rPr>
        <w:t>2024年4—5月完成污水处理量176.23万吨，2024年6月完成污水处理量226.30万吨，2024年7月完成污水处理量206.67万吨，2024年8月完成污水处理量235.18万吨，2024年9月完成污水处理量143.29万吨，总共完成污水处理量987.67万吨。</w:t>
      </w:r>
    </w:p>
    <w:p w14:paraId="445A39EA">
      <w:pPr>
        <w:spacing w:line="560" w:lineRule="exact"/>
        <w:ind w:firstLine="640" w:firstLineChars="200"/>
        <w:rPr>
          <w:rFonts w:eastAsia="黑体"/>
          <w:sz w:val="32"/>
          <w:szCs w:val="32"/>
        </w:rPr>
      </w:pPr>
      <w:r>
        <w:rPr>
          <w:rFonts w:eastAsia="黑体"/>
          <w:sz w:val="32"/>
          <w:szCs w:val="32"/>
        </w:rPr>
        <w:t>二、绩效评价工作开展情况</w:t>
      </w:r>
    </w:p>
    <w:p w14:paraId="2F6274AC">
      <w:pPr>
        <w:spacing w:line="560" w:lineRule="exact"/>
        <w:ind w:firstLine="643" w:firstLineChars="200"/>
        <w:rPr>
          <w:rFonts w:eastAsia="楷体_GB2312"/>
          <w:b/>
          <w:bCs/>
          <w:sz w:val="32"/>
          <w:szCs w:val="32"/>
        </w:rPr>
      </w:pPr>
      <w:r>
        <w:rPr>
          <w:rFonts w:eastAsia="楷体_GB2312"/>
          <w:b/>
          <w:bCs/>
          <w:sz w:val="32"/>
          <w:szCs w:val="32"/>
        </w:rPr>
        <w:t>（一）绩效评价目的、对象和范围</w:t>
      </w:r>
    </w:p>
    <w:p w14:paraId="2C703456">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1.绩效评价完整性</w:t>
      </w:r>
    </w:p>
    <w:p w14:paraId="28B3BC7A">
      <w:pPr>
        <w:spacing w:line="560" w:lineRule="exact"/>
        <w:ind w:firstLine="640" w:firstLineChars="20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76F181FF">
      <w:pPr>
        <w:spacing w:line="560" w:lineRule="exact"/>
        <w:ind w:firstLine="640" w:firstLineChars="200"/>
        <w:rPr>
          <w:rFonts w:eastAsia="仿宋_GB2312"/>
          <w:sz w:val="32"/>
          <w:szCs w:val="32"/>
        </w:rPr>
      </w:pPr>
      <w:r>
        <w:rPr>
          <w:rFonts w:eastAsia="仿宋_GB2312"/>
          <w:sz w:val="32"/>
          <w:szCs w:val="32"/>
        </w:rPr>
        <w:t>在评价指标体系的构建上，充分考虑了项目的性质、目标以及预期成果，选取了具有代表性和可衡量性的关键指标，涵盖了经济效益、社会效益等多个维度，力求全方位反映项目的绩效状况。同时，对于每个指标的评价标准和数据来源均进行了明确说明，确保评价结果的客观性和可追溯性。</w:t>
      </w:r>
    </w:p>
    <w:p w14:paraId="55D081F7">
      <w:pPr>
        <w:spacing w:line="560" w:lineRule="exact"/>
        <w:ind w:firstLine="640" w:firstLineChars="200"/>
        <w:rPr>
          <w:rFonts w:eastAsia="仿宋_GB2312"/>
          <w:sz w:val="32"/>
          <w:szCs w:val="32"/>
        </w:rPr>
      </w:pPr>
      <w:r>
        <w:rPr>
          <w:rFonts w:eastAsia="仿宋_GB2312"/>
          <w:sz w:val="32"/>
          <w:szCs w:val="32"/>
        </w:rPr>
        <w:t>在数据收集与分析环节，采用了多种科学合理的方法，</w:t>
      </w:r>
      <w:r>
        <w:rPr>
          <w:rFonts w:hint="eastAsia" w:eastAsia="仿宋_GB2312"/>
          <w:sz w:val="32"/>
          <w:szCs w:val="32"/>
        </w:rPr>
        <w:t>按照实际发生的</w:t>
      </w:r>
      <w:r>
        <w:rPr>
          <w:rFonts w:eastAsia="仿宋_GB2312"/>
          <w:sz w:val="32"/>
          <w:szCs w:val="32"/>
        </w:rPr>
        <w:t>相关数据，对数据进行深入挖掘，以确保评价结论的科学性和可靠性。此外，还对数据的质量和完整性进行了严格把控，保证了评价数据的真实性和有效性。</w:t>
      </w:r>
    </w:p>
    <w:p w14:paraId="6F8A6D2F">
      <w:pPr>
        <w:spacing w:line="560" w:lineRule="exact"/>
        <w:ind w:firstLine="640" w:firstLineChars="20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30A77142">
      <w:pPr>
        <w:spacing w:line="560" w:lineRule="exact"/>
        <w:ind w:firstLine="640" w:firstLineChars="20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20394A88">
      <w:pPr>
        <w:spacing w:line="560" w:lineRule="exact"/>
        <w:ind w:firstLine="640" w:firstLineChars="200"/>
        <w:rPr>
          <w:rFonts w:eastAsia="仿宋_GB2312"/>
          <w:sz w:val="32"/>
          <w:szCs w:val="32"/>
        </w:rPr>
      </w:pPr>
      <w:r>
        <w:rPr>
          <w:rFonts w:eastAsia="仿宋_GB2312"/>
          <w:sz w:val="32"/>
          <w:szCs w:val="32"/>
        </w:rPr>
        <w:t>2.绩效评价的目的</w:t>
      </w:r>
    </w:p>
    <w:p w14:paraId="0ADA86F9">
      <w:pPr>
        <w:spacing w:line="560" w:lineRule="exact"/>
        <w:ind w:firstLine="640" w:firstLineChars="200"/>
        <w:rPr>
          <w:rFonts w:eastAsia="仿宋_GB2312"/>
          <w:sz w:val="32"/>
          <w:szCs w:val="32"/>
        </w:rPr>
      </w:pPr>
      <w:r>
        <w:rPr>
          <w:rFonts w:eastAsia="仿宋_GB2312"/>
          <w:sz w:val="32"/>
          <w:szCs w:val="32"/>
        </w:rPr>
        <w:t>（1）评估项目实施效果</w:t>
      </w:r>
    </w:p>
    <w:p w14:paraId="284B4CC4">
      <w:pPr>
        <w:spacing w:line="560" w:lineRule="exact"/>
        <w:ind w:firstLine="640" w:firstLineChars="20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通过对项目预算执行情况及各项绩效目标达成程度的系统性分析，全面、客观地评估项目在预定周期内的实施效果，包括经济效益、社会效益等多维度指标，为项目后续的改进与优化提供科学依据。</w:t>
      </w:r>
    </w:p>
    <w:p w14:paraId="36B30390">
      <w:pPr>
        <w:spacing w:line="560" w:lineRule="exact"/>
        <w:ind w:firstLine="640" w:firstLineChars="200"/>
        <w:rPr>
          <w:rFonts w:eastAsia="仿宋_GB2312"/>
          <w:sz w:val="32"/>
          <w:szCs w:val="32"/>
        </w:rPr>
      </w:pPr>
      <w:r>
        <w:rPr>
          <w:rFonts w:eastAsia="仿宋_GB2312"/>
          <w:sz w:val="32"/>
          <w:szCs w:val="32"/>
        </w:rPr>
        <w:t>（2）提升资源利用效率</w:t>
      </w:r>
    </w:p>
    <w:p w14:paraId="40F1E152">
      <w:pPr>
        <w:spacing w:line="560" w:lineRule="exact"/>
        <w:ind w:firstLine="640" w:firstLineChars="20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2F5AB659">
      <w:pPr>
        <w:spacing w:line="560" w:lineRule="exact"/>
        <w:ind w:firstLine="640" w:firstLineChars="200"/>
        <w:rPr>
          <w:rFonts w:eastAsia="仿宋_GB2312"/>
          <w:sz w:val="32"/>
          <w:szCs w:val="32"/>
        </w:rPr>
      </w:pPr>
      <w:r>
        <w:rPr>
          <w:rFonts w:eastAsia="仿宋_GB2312"/>
          <w:sz w:val="32"/>
          <w:szCs w:val="32"/>
        </w:rPr>
        <w:t>（3）强化项目管理责任</w:t>
      </w:r>
    </w:p>
    <w:p w14:paraId="07992874">
      <w:pPr>
        <w:spacing w:line="560" w:lineRule="exact"/>
        <w:ind w:firstLine="640" w:firstLineChars="20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20CBCA4C">
      <w:pPr>
        <w:spacing w:line="560" w:lineRule="exact"/>
        <w:ind w:firstLine="640" w:firstLineChars="200"/>
        <w:rPr>
          <w:rFonts w:eastAsia="仿宋_GB2312"/>
          <w:sz w:val="32"/>
          <w:szCs w:val="32"/>
        </w:rPr>
      </w:pPr>
      <w:r>
        <w:rPr>
          <w:rFonts w:eastAsia="仿宋_GB2312"/>
          <w:sz w:val="32"/>
          <w:szCs w:val="32"/>
        </w:rPr>
        <w:t>（4）为决策提供支持</w:t>
      </w:r>
    </w:p>
    <w:p w14:paraId="2C7745F9">
      <w:pPr>
        <w:spacing w:line="560" w:lineRule="exact"/>
        <w:ind w:firstLine="640" w:firstLineChars="20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3B076B87">
      <w:pPr>
        <w:spacing w:line="560" w:lineRule="exact"/>
        <w:ind w:firstLine="640" w:firstLineChars="200"/>
        <w:rPr>
          <w:rFonts w:eastAsia="仿宋_GB2312"/>
          <w:sz w:val="32"/>
          <w:szCs w:val="32"/>
        </w:rPr>
      </w:pPr>
      <w:r>
        <w:rPr>
          <w:rFonts w:eastAsia="仿宋_GB2312"/>
          <w:sz w:val="32"/>
          <w:szCs w:val="32"/>
        </w:rPr>
        <w:t>（5）促进项目持续改进</w:t>
      </w:r>
    </w:p>
    <w:p w14:paraId="7E8139C1">
      <w:pPr>
        <w:spacing w:line="560" w:lineRule="exact"/>
        <w:ind w:firstLine="640" w:firstLineChars="20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1673BE9E">
      <w:pPr>
        <w:spacing w:line="560" w:lineRule="exact"/>
        <w:ind w:firstLine="640" w:firstLineChars="20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069C776D">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w:t>
      </w:r>
      <w:r>
        <w:rPr>
          <w:rFonts w:ascii="Times New Roman" w:hAnsi="Times New Roman" w:eastAsia="仿宋_GB2312"/>
        </w:rPr>
        <w:t>.</w:t>
      </w:r>
      <w:r>
        <w:rPr>
          <w:rFonts w:ascii="Times New Roman" w:hAnsi="Times New Roman" w:eastAsia="仿宋_GB2312"/>
          <w:b w:val="0"/>
          <w:bCs w:val="0"/>
        </w:rPr>
        <w:t>绩效评价的对象</w:t>
      </w:r>
    </w:p>
    <w:p w14:paraId="1DA1CAED">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本项目预算绩效评价报告的评价对象是雅山污水处理厂污水处理运行费（污水处理）及其预算执行情况。该项目由乌鲁木齐市雅玛里克山污水处理厂负责实施，旨在</w:t>
      </w:r>
      <w:r>
        <w:rPr>
          <w:rFonts w:hint="eastAsia" w:ascii="Times New Roman" w:hAnsi="Times New Roman" w:eastAsia="仿宋_GB2312"/>
          <w:b w:val="0"/>
          <w:bCs w:val="0"/>
        </w:rPr>
        <w:t>保障污水处理厂的正常运行，为雅玛里克山荒山绿化提供稳定的水源</w:t>
      </w:r>
      <w:r>
        <w:rPr>
          <w:rFonts w:ascii="Times New Roman" w:hAnsi="Times New Roman" w:eastAsia="仿宋_GB2312"/>
          <w:b w:val="0"/>
          <w:bCs w:val="0"/>
        </w:rPr>
        <w:t>。项目预算涵盖从</w:t>
      </w:r>
      <w:r>
        <w:rPr>
          <w:rFonts w:hint="eastAsia" w:ascii="Times New Roman" w:hAnsi="Times New Roman" w:eastAsia="仿宋_GB2312"/>
          <w:b w:val="0"/>
          <w:bCs w:val="0"/>
        </w:rPr>
        <w:t>2024年4月</w:t>
      </w:r>
      <w:r>
        <w:rPr>
          <w:rFonts w:ascii="Times New Roman" w:hAnsi="Times New Roman" w:eastAsia="仿宋_GB2312"/>
          <w:b w:val="0"/>
          <w:bCs w:val="0"/>
        </w:rPr>
        <w:t>至</w:t>
      </w:r>
      <w:r>
        <w:rPr>
          <w:rFonts w:hint="eastAsia" w:ascii="Times New Roman" w:hAnsi="Times New Roman" w:eastAsia="仿宋_GB2312"/>
          <w:b w:val="0"/>
          <w:bCs w:val="0"/>
        </w:rPr>
        <w:t>2024年9月</w:t>
      </w:r>
      <w:r>
        <w:rPr>
          <w:rFonts w:ascii="Times New Roman" w:hAnsi="Times New Roman" w:eastAsia="仿宋_GB2312"/>
          <w:b w:val="0"/>
          <w:bCs w:val="0"/>
        </w:rPr>
        <w:t>的全部资金投入与支出，涉及资金总额为</w:t>
      </w:r>
      <w:r>
        <w:rPr>
          <w:rFonts w:hint="eastAsia" w:ascii="Times New Roman" w:hAnsi="Times New Roman" w:eastAsia="仿宋_GB2312"/>
          <w:b w:val="0"/>
          <w:bCs w:val="0"/>
        </w:rPr>
        <w:t>310</w:t>
      </w:r>
      <w:r>
        <w:rPr>
          <w:rFonts w:ascii="Times New Roman" w:hAnsi="Times New Roman" w:eastAsia="仿宋_GB2312"/>
          <w:b w:val="0"/>
          <w:bCs w:val="0"/>
        </w:rPr>
        <w:t>万元。</w:t>
      </w:r>
    </w:p>
    <w:p w14:paraId="67AF5E41">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4.绩效评价的范围</w:t>
      </w:r>
    </w:p>
    <w:p w14:paraId="7151381E">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本项目预算绩效评价报告的评价范围广泛而全面，涵盖了从项目立项至评价时点期间的所有关键预算活动和财务流程。具体而言，评价范围包括但不限于以下几个方面：</w:t>
      </w:r>
    </w:p>
    <w:p w14:paraId="50A80AB5">
      <w:pPr>
        <w:pStyle w:val="10"/>
        <w:widowControl w:val="0"/>
        <w:numPr>
          <w:ilvl w:val="0"/>
          <w:numId w:val="2"/>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项目预算编制与执行：全面审视项目预算的编制依据、合理性、科学性以及实际执行情况，包括预算调整的原因和效果。</w:t>
      </w:r>
    </w:p>
    <w:p w14:paraId="22CC5216">
      <w:pPr>
        <w:pStyle w:val="10"/>
        <w:widowControl w:val="0"/>
        <w:numPr>
          <w:ilvl w:val="0"/>
          <w:numId w:val="2"/>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资金管理：深入分析项目资金的分配、使用和监管情况，确保资金使用的合规性、高效性和透明度。</w:t>
      </w:r>
    </w:p>
    <w:p w14:paraId="41E18F64">
      <w:pPr>
        <w:pStyle w:val="10"/>
        <w:widowControl w:val="0"/>
        <w:numPr>
          <w:ilvl w:val="0"/>
          <w:numId w:val="2"/>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项目实施进度与产出：评估项目是否按照既定计划顺利推进，各项任务是否按时完成，以及项目产出的数量、质量和时效性是否符合预期。</w:t>
      </w:r>
    </w:p>
    <w:p w14:paraId="23BC43FF">
      <w:pPr>
        <w:spacing w:line="560" w:lineRule="exact"/>
        <w:ind w:firstLine="643" w:firstLineChars="200"/>
      </w:pPr>
      <w:r>
        <w:rPr>
          <w:rFonts w:eastAsia="楷体_GB2312"/>
          <w:b/>
          <w:bCs/>
          <w:sz w:val="32"/>
          <w:szCs w:val="32"/>
        </w:rPr>
        <w:t>（二）绩效评价原则、评价指标体系（详情见表1）、评价方法、评价标准。</w:t>
      </w:r>
    </w:p>
    <w:p w14:paraId="00CD28B9">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w:t>
      </w:r>
      <w:r>
        <w:rPr>
          <w:rFonts w:ascii="Times New Roman" w:hAnsi="Times New Roman" w:eastAsia="仿宋_GB2312"/>
        </w:rPr>
        <w:t>.</w:t>
      </w:r>
      <w:r>
        <w:rPr>
          <w:rFonts w:ascii="Times New Roman" w:hAnsi="Times New Roman" w:eastAsia="仿宋_GB2312"/>
          <w:b w:val="0"/>
          <w:bCs w:val="0"/>
        </w:rPr>
        <w:t>绩效评价原则</w:t>
      </w:r>
    </w:p>
    <w:p w14:paraId="1E2DA607">
      <w:pPr>
        <w:spacing w:line="560" w:lineRule="exact"/>
        <w:ind w:firstLine="640" w:firstLineChars="200"/>
        <w:rPr>
          <w:rFonts w:eastAsia="仿宋_GB2312"/>
          <w:sz w:val="32"/>
          <w:szCs w:val="32"/>
        </w:rPr>
      </w:pPr>
      <w:r>
        <w:rPr>
          <w:rFonts w:eastAsia="仿宋_GB2312"/>
          <w:sz w:val="32"/>
          <w:szCs w:val="32"/>
        </w:rPr>
        <w:t>本次项目绩效评价遵循以下基本原则：</w:t>
      </w:r>
    </w:p>
    <w:p w14:paraId="401F27E7">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（1）科学公正。绩效评价应当运用科学合理的方法，按照规范的程序，对项目绩效进行客观、公正的反映。</w:t>
      </w:r>
    </w:p>
    <w:p w14:paraId="65034081">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（2）统筹兼顾。单位自评、部门评价和财政评价应职责明确，各有侧重，相互衔接。单位自评应由项目单位自主实施，即“谁支出、谁自评”。部门评价和财政评价应在单位自评的基础上开展。</w:t>
      </w:r>
    </w:p>
    <w:p w14:paraId="45DF6E63">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（3）激励约束。绩效评价结果应与预算安排、政策调整、改进管理实质性挂钩，体现奖优罚劣和激励相容导向，有效要安排、低效要压减、无效要问责。</w:t>
      </w:r>
    </w:p>
    <w:p w14:paraId="52C1A0E6">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（4）公开透明。绩效评价结果应依法依规公开，并自觉接受社会监督。</w:t>
      </w:r>
    </w:p>
    <w:p w14:paraId="65D7762E">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w:t>
      </w:r>
      <w:r>
        <w:rPr>
          <w:rFonts w:ascii="Times New Roman" w:hAnsi="Times New Roman" w:eastAsia="仿宋_GB2312"/>
        </w:rPr>
        <w:t>.</w:t>
      </w:r>
      <w:r>
        <w:rPr>
          <w:rFonts w:ascii="Times New Roman" w:hAnsi="Times New Roman" w:eastAsia="仿宋_GB2312"/>
          <w:b w:val="0"/>
          <w:bCs w:val="0"/>
        </w:rPr>
        <w:t>评价指标体系</w:t>
      </w:r>
    </w:p>
    <w:p w14:paraId="2FFF99C0">
      <w:pPr>
        <w:spacing w:line="560" w:lineRule="exact"/>
        <w:ind w:firstLine="708" w:firstLineChars="200"/>
        <w:rPr>
          <w:spacing w:val="17"/>
          <w:sz w:val="32"/>
          <w:szCs w:val="32"/>
        </w:rPr>
      </w:pPr>
      <w:r>
        <w:rPr>
          <w:rFonts w:eastAsia="仿宋_GB2312"/>
          <w:spacing w:val="17"/>
          <w:sz w:val="32"/>
          <w:szCs w:val="32"/>
        </w:rPr>
        <w:t>绩效评价框架是开展绩效评价的核心。绩效评价框架包括评价准则、关键评价问题、评价指标、数据来源、数据收集方法等。指标体系建立过程如下：</w:t>
      </w:r>
    </w:p>
    <w:p w14:paraId="4886CBE3">
      <w:pPr>
        <w:spacing w:line="560" w:lineRule="exact"/>
        <w:ind w:firstLine="708" w:firstLineChars="200"/>
        <w:rPr>
          <w:rFonts w:eastAsia="仿宋_GB2312"/>
          <w:spacing w:val="17"/>
          <w:sz w:val="32"/>
          <w:szCs w:val="32"/>
        </w:rPr>
      </w:pPr>
      <w:r>
        <w:rPr>
          <w:rFonts w:eastAsia="仿宋_GB2312"/>
          <w:spacing w:val="17"/>
          <w:sz w:val="32"/>
          <w:szCs w:val="32"/>
        </w:rPr>
        <w:t>（1）确定评价指标</w:t>
      </w:r>
    </w:p>
    <w:p w14:paraId="076F4FC4">
      <w:pPr>
        <w:spacing w:line="560" w:lineRule="exact"/>
        <w:ind w:firstLine="708" w:firstLineChars="200"/>
        <w:rPr>
          <w:rFonts w:eastAsia="仿宋_GB2312"/>
          <w:spacing w:val="17"/>
          <w:sz w:val="32"/>
          <w:szCs w:val="32"/>
        </w:rPr>
      </w:pPr>
      <w:r>
        <w:rPr>
          <w:rFonts w:eastAsia="仿宋_GB2312"/>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6002137E">
      <w:pPr>
        <w:spacing w:line="560" w:lineRule="exact"/>
        <w:ind w:firstLine="708" w:firstLineChars="200"/>
        <w:rPr>
          <w:rFonts w:eastAsia="仿宋_GB2312"/>
          <w:spacing w:val="17"/>
          <w:sz w:val="32"/>
          <w:szCs w:val="32"/>
        </w:rPr>
      </w:pPr>
      <w:r>
        <w:rPr>
          <w:rFonts w:eastAsia="仿宋_GB2312"/>
          <w:spacing w:val="17"/>
          <w:sz w:val="32"/>
          <w:szCs w:val="32"/>
        </w:rPr>
        <w:t>（2）确定权重</w:t>
      </w:r>
    </w:p>
    <w:p w14:paraId="0BB66623">
      <w:pPr>
        <w:spacing w:line="560" w:lineRule="exact"/>
        <w:ind w:firstLine="708" w:firstLineChars="200"/>
        <w:rPr>
          <w:rFonts w:eastAsia="仿宋_GB2312"/>
          <w:spacing w:val="17"/>
          <w:sz w:val="32"/>
          <w:szCs w:val="32"/>
        </w:rPr>
      </w:pPr>
      <w:r>
        <w:rPr>
          <w:rFonts w:eastAsia="仿宋_GB2312"/>
          <w:spacing w:val="17"/>
          <w:sz w:val="32"/>
          <w:szCs w:val="32"/>
        </w:rPr>
        <w:t>确定各个指标相对于项目总体绩效的权重分值。在绩效评价指标体系中，项目决策权重为20分，项目过程权重为20分，项目产出权重为40分，项目效益权重为20分。</w:t>
      </w:r>
    </w:p>
    <w:p w14:paraId="035D8231">
      <w:pPr>
        <w:spacing w:line="560" w:lineRule="exact"/>
        <w:ind w:firstLine="708" w:firstLineChars="200"/>
        <w:rPr>
          <w:rFonts w:eastAsia="仿宋_GB2312"/>
          <w:spacing w:val="17"/>
          <w:sz w:val="32"/>
          <w:szCs w:val="32"/>
        </w:rPr>
      </w:pPr>
      <w:r>
        <w:rPr>
          <w:rFonts w:eastAsia="仿宋_GB2312"/>
          <w:spacing w:val="17"/>
          <w:sz w:val="32"/>
          <w:szCs w:val="32"/>
        </w:rPr>
        <w:t>（3）确定指标标准值</w:t>
      </w:r>
    </w:p>
    <w:p w14:paraId="50E267EB">
      <w:pPr>
        <w:spacing w:line="560" w:lineRule="exact"/>
        <w:ind w:firstLine="708" w:firstLineChars="200"/>
        <w:rPr>
          <w:rFonts w:eastAsia="仿宋_GB2312"/>
          <w:spacing w:val="17"/>
          <w:sz w:val="32"/>
          <w:szCs w:val="32"/>
        </w:rPr>
      </w:pPr>
      <w:r>
        <w:rPr>
          <w:rFonts w:eastAsia="仿宋_GB2312"/>
          <w:spacing w:val="17"/>
          <w:sz w:val="32"/>
          <w:szCs w:val="32"/>
        </w:rPr>
        <w:t>指标标准值是绩效评价指标的尺度，既要反映同类项目的先进水平，又要符合项目的实际绩效水平。具体采用计划标准等确定此次绩效评价指标标准值。</w:t>
      </w:r>
    </w:p>
    <w:p w14:paraId="07A38E9B">
      <w:pPr>
        <w:pStyle w:val="10"/>
        <w:spacing w:before="0" w:after="0" w:line="560" w:lineRule="exact"/>
        <w:ind w:firstLine="708" w:firstLineChars="200"/>
        <w:jc w:val="both"/>
        <w:rPr>
          <w:rFonts w:ascii="Times New Roman" w:hAnsi="Times New Roman" w:eastAsia="仿宋_GB2312"/>
          <w:b w:val="0"/>
          <w:bCs w:val="0"/>
          <w:spacing w:val="17"/>
          <w:kern w:val="2"/>
        </w:rPr>
      </w:pPr>
      <w:r>
        <w:rPr>
          <w:rFonts w:ascii="Times New Roman" w:hAnsi="Times New Roman" w:eastAsia="仿宋_GB2312"/>
          <w:b w:val="0"/>
          <w:bCs w:val="0"/>
          <w:spacing w:val="17"/>
          <w:kern w:val="2"/>
        </w:rPr>
        <w:t>绩效评价总分值100分，根据综合评分结果，90（含）-100分为优、80（含）-90分为良、60（含）-80分为中、60分以下为差。</w:t>
      </w:r>
    </w:p>
    <w:p w14:paraId="22BB7D8A">
      <w:pPr>
        <w:pStyle w:val="10"/>
        <w:widowControl w:val="0"/>
        <w:spacing w:before="0" w:after="0" w:line="560" w:lineRule="exact"/>
        <w:ind w:firstLine="708" w:firstLineChars="200"/>
        <w:jc w:val="both"/>
        <w:outlineLvl w:val="9"/>
        <w:rPr>
          <w:rFonts w:ascii="Times New Roman" w:hAnsi="Times New Roman" w:eastAsia="仿宋_GB2312"/>
          <w:b w:val="0"/>
          <w:bCs w:val="0"/>
          <w:spacing w:val="17"/>
        </w:rPr>
      </w:pPr>
      <w:r>
        <w:rPr>
          <w:rFonts w:ascii="Times New Roman" w:hAnsi="Times New Roman" w:eastAsia="仿宋_GB2312"/>
          <w:b w:val="0"/>
          <w:bCs w:val="0"/>
          <w:spacing w:val="17"/>
        </w:rPr>
        <w:t>具体评价指标体系详情见附件1</w:t>
      </w:r>
    </w:p>
    <w:p w14:paraId="5A5C65AF">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3.绩效评价方法</w:t>
      </w:r>
    </w:p>
    <w:p w14:paraId="7BF37EB7">
      <w:pPr>
        <w:spacing w:line="560" w:lineRule="exact"/>
        <w:ind w:firstLine="708" w:firstLineChars="200"/>
        <w:rPr>
          <w:rFonts w:eastAsia="仿宋_GB2312"/>
          <w:spacing w:val="17"/>
          <w:sz w:val="32"/>
          <w:szCs w:val="32"/>
        </w:rPr>
      </w:pPr>
      <w:r>
        <w:rPr>
          <w:rFonts w:eastAsia="仿宋_GB2312"/>
          <w:spacing w:val="17"/>
          <w:sz w:val="32"/>
          <w:szCs w:val="32"/>
        </w:rPr>
        <w:t>绩效评价从项目决策、项目过程、项目产出、项目效益四个维度进行评价。评价对象为项目目标实施情况，评价核心为资金的支出完成情况和项目的产出效益。</w:t>
      </w:r>
    </w:p>
    <w:p w14:paraId="4BA41BCC">
      <w:pPr>
        <w:spacing w:line="560" w:lineRule="exact"/>
        <w:ind w:firstLine="708" w:firstLineChars="200"/>
        <w:rPr>
          <w:rFonts w:eastAsia="仿宋_GB2312"/>
          <w:spacing w:val="17"/>
          <w:sz w:val="32"/>
          <w:szCs w:val="32"/>
        </w:rPr>
      </w:pPr>
      <w:r>
        <w:rPr>
          <w:rFonts w:eastAsia="仿宋_GB2312"/>
          <w:spacing w:val="17"/>
          <w:sz w:val="32"/>
          <w:szCs w:val="32"/>
        </w:rPr>
        <w:t>本次评价指标中，既有定性指标又有定量指标，各类指标因考核内容不同和客观标准不同存在较大差异，因此核定具体指标时采用了不同方法，具体评价方法如下：</w:t>
      </w:r>
    </w:p>
    <w:p w14:paraId="282DE4B3">
      <w:pPr>
        <w:spacing w:line="560" w:lineRule="exact"/>
        <w:ind w:firstLine="708" w:firstLineChars="200"/>
        <w:rPr>
          <w:rFonts w:eastAsia="仿宋_GB2312"/>
          <w:spacing w:val="17"/>
          <w:sz w:val="32"/>
          <w:szCs w:val="32"/>
        </w:rPr>
      </w:pPr>
      <w:r>
        <w:rPr>
          <w:rFonts w:eastAsia="仿宋_GB2312"/>
          <w:spacing w:val="17"/>
          <w:sz w:val="32"/>
          <w:szCs w:val="32"/>
        </w:rPr>
        <w:t>（一）成本效益分析法。是指将投入与产出、效益进行关联性分析的方法。</w:t>
      </w:r>
      <w:r>
        <w:rPr>
          <w:rFonts w:hint="eastAsia" w:eastAsia="仿宋_GB2312"/>
          <w:spacing w:val="17"/>
          <w:sz w:val="32"/>
          <w:szCs w:val="32"/>
        </w:rPr>
        <w:t>采用该方法能及时掌握污水处理的投入与产出情况，对处理污水产生的成本进行快速统计，及时分析污水处理存在的问题，并对相关的情况进行及时调整。</w:t>
      </w:r>
    </w:p>
    <w:p w14:paraId="3CAD974C">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w:t>
      </w:r>
      <w:r>
        <w:rPr>
          <w:rFonts w:ascii="Times New Roman" w:hAnsi="Times New Roman" w:eastAsia="仿宋_GB2312"/>
        </w:rPr>
        <w:t>.</w:t>
      </w:r>
      <w:r>
        <w:rPr>
          <w:rFonts w:ascii="Times New Roman" w:hAnsi="Times New Roman" w:eastAsia="仿宋_GB2312"/>
          <w:b w:val="0"/>
          <w:bCs w:val="0"/>
        </w:rPr>
        <w:t>评价标准</w:t>
      </w:r>
    </w:p>
    <w:p w14:paraId="74E3594D">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绩效评价标准通常包括计划标准、行业标准、历史标准等，用于对绩效指标完成情况进行比较、分析、评价。本次评价主要采用了</w:t>
      </w:r>
      <w:r>
        <w:rPr>
          <w:rFonts w:hint="eastAsia" w:ascii="Times New Roman" w:hAnsi="Times New Roman" w:eastAsia="仿宋_GB2312"/>
          <w:b w:val="0"/>
          <w:bCs w:val="0"/>
        </w:rPr>
        <w:t>计划</w:t>
      </w:r>
      <w:r>
        <w:rPr>
          <w:rFonts w:ascii="Times New Roman" w:hAnsi="Times New Roman" w:eastAsia="仿宋_GB2312"/>
          <w:b w:val="0"/>
          <w:bCs w:val="0"/>
        </w:rPr>
        <w:t>标准。</w:t>
      </w:r>
    </w:p>
    <w:p w14:paraId="0F83C80B">
      <w:pPr>
        <w:pStyle w:val="10"/>
        <w:numPr>
          <w:ilvl w:val="0"/>
          <w:numId w:val="3"/>
        </w:numPr>
        <w:spacing w:before="0" w:after="0" w:line="560" w:lineRule="exact"/>
        <w:ind w:firstLine="711" w:firstLineChars="200"/>
        <w:jc w:val="both"/>
        <w:rPr>
          <w:rFonts w:ascii="Times New Roman" w:hAnsi="Times New Roman" w:eastAsia="楷体"/>
          <w:spacing w:val="17"/>
        </w:rPr>
      </w:pPr>
      <w:r>
        <w:rPr>
          <w:rFonts w:ascii="Times New Roman" w:hAnsi="Times New Roman" w:eastAsia="楷体"/>
          <w:spacing w:val="17"/>
        </w:rPr>
        <w:t>绩效评价工作过程</w:t>
      </w:r>
    </w:p>
    <w:p w14:paraId="0EB57C87">
      <w:pPr>
        <w:spacing w:line="560" w:lineRule="exact"/>
        <w:ind w:firstLine="640" w:firstLineChars="200"/>
        <w:rPr>
          <w:rFonts w:eastAsia="仿宋_GB2312"/>
          <w:sz w:val="32"/>
          <w:szCs w:val="32"/>
        </w:rPr>
      </w:pPr>
      <w:r>
        <w:rPr>
          <w:rFonts w:eastAsia="仿宋_GB2312"/>
          <w:sz w:val="32"/>
          <w:szCs w:val="32"/>
        </w:rPr>
        <w:t>（1）前期准备与规划</w:t>
      </w:r>
    </w:p>
    <w:p w14:paraId="44318E47">
      <w:pPr>
        <w:spacing w:line="560" w:lineRule="exact"/>
        <w:ind w:firstLine="640" w:firstLineChars="200"/>
        <w:rPr>
          <w:rFonts w:eastAsia="仿宋_GB2312"/>
          <w:sz w:val="32"/>
          <w:szCs w:val="32"/>
        </w:rPr>
      </w:pPr>
      <w:r>
        <w:rPr>
          <w:rFonts w:eastAsia="仿宋_GB2312"/>
          <w:sz w:val="32"/>
          <w:szCs w:val="32"/>
        </w:rPr>
        <w:t>在项目绩效评价工作启动之初，成立了专门的评价工作小组，小组成员由</w:t>
      </w:r>
      <w:r>
        <w:rPr>
          <w:rFonts w:hint="eastAsia" w:eastAsia="仿宋_GB2312"/>
          <w:sz w:val="32"/>
          <w:szCs w:val="32"/>
        </w:rPr>
        <w:t>业务科室及财务人员</w:t>
      </w:r>
      <w:r>
        <w:rPr>
          <w:rFonts w:eastAsia="仿宋_GB2312"/>
          <w:sz w:val="32"/>
          <w:szCs w:val="32"/>
        </w:rPr>
        <w:t>组成，确保从多角度、全方位对项目绩效进行评价。同时，明确了评价工作的目标、范围、重点及时间安排，制定了详细的工作计划，为评价工作的顺利开展奠定了坚实基础。</w:t>
      </w:r>
    </w:p>
    <w:p w14:paraId="0D869F33">
      <w:pPr>
        <w:spacing w:line="560" w:lineRule="exact"/>
        <w:ind w:firstLine="640" w:firstLineChars="200"/>
        <w:rPr>
          <w:rFonts w:eastAsia="仿宋_GB2312"/>
          <w:sz w:val="32"/>
          <w:szCs w:val="32"/>
        </w:rPr>
      </w:pPr>
      <w:r>
        <w:rPr>
          <w:rFonts w:eastAsia="仿宋_GB2312"/>
          <w:sz w:val="32"/>
          <w:szCs w:val="32"/>
        </w:rPr>
        <w:t>（2）指标体系构建</w:t>
      </w:r>
    </w:p>
    <w:p w14:paraId="15D897C6">
      <w:pPr>
        <w:spacing w:line="560" w:lineRule="exact"/>
        <w:ind w:firstLine="640" w:firstLineChars="20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spacing w:val="17"/>
          <w:sz w:val="32"/>
          <w:szCs w:val="32"/>
        </w:rPr>
        <w:t>项目决策、项目过程、项目产出、项目效益四个维度</w:t>
      </w:r>
      <w:r>
        <w:rPr>
          <w:rFonts w:eastAsia="仿宋_GB2312"/>
          <w:sz w:val="32"/>
          <w:szCs w:val="32"/>
        </w:rPr>
        <w:t>，选取了具有代表性和可衡量性的关键指标，并为每个指标设定了明确的评价标准与权重，确保评价结果能够全面、准确地反映项目的绩效状况。</w:t>
      </w:r>
    </w:p>
    <w:p w14:paraId="4DCB70CF">
      <w:pPr>
        <w:spacing w:line="560" w:lineRule="exact"/>
        <w:ind w:firstLine="640" w:firstLineChars="200"/>
        <w:rPr>
          <w:rFonts w:eastAsia="仿宋_GB2312"/>
          <w:sz w:val="32"/>
          <w:szCs w:val="32"/>
        </w:rPr>
      </w:pPr>
      <w:r>
        <w:rPr>
          <w:rFonts w:eastAsia="仿宋_GB2312"/>
          <w:sz w:val="32"/>
          <w:szCs w:val="32"/>
        </w:rPr>
        <w:t>（3）数据收集与整理</w:t>
      </w:r>
    </w:p>
    <w:p w14:paraId="390CF5AE">
      <w:pPr>
        <w:spacing w:line="560" w:lineRule="exact"/>
        <w:ind w:firstLine="640" w:firstLineChars="200"/>
        <w:rPr>
          <w:rFonts w:eastAsia="仿宋_GB2312"/>
          <w:sz w:val="32"/>
          <w:szCs w:val="32"/>
        </w:rPr>
      </w:pPr>
      <w:r>
        <w:rPr>
          <w:rFonts w:eastAsia="仿宋_GB2312"/>
          <w:sz w:val="32"/>
          <w:szCs w:val="32"/>
        </w:rPr>
        <w:t>广泛收集与项目相关的各类数据，包括财务报表、项目文档、业务数据、用户反馈等。在数据收集过程中，注重数据的质量与完整性，对缺失或异常的数据进行了合理的处理和补充。随后，对收集到的数据进行了系统的整理与分类，为后续的数据分析提供了有力支持。</w:t>
      </w:r>
    </w:p>
    <w:p w14:paraId="1CCA8C2E">
      <w:pPr>
        <w:spacing w:line="560" w:lineRule="exact"/>
        <w:ind w:firstLine="640" w:firstLineChars="200"/>
        <w:rPr>
          <w:rFonts w:eastAsia="仿宋_GB2312"/>
          <w:sz w:val="32"/>
          <w:szCs w:val="32"/>
        </w:rPr>
      </w:pPr>
      <w:r>
        <w:rPr>
          <w:rFonts w:eastAsia="仿宋_GB2312"/>
          <w:sz w:val="32"/>
          <w:szCs w:val="32"/>
        </w:rPr>
        <w:t>（4）数据分析与评估</w:t>
      </w:r>
    </w:p>
    <w:p w14:paraId="2591A7F4">
      <w:pPr>
        <w:spacing w:line="560" w:lineRule="exact"/>
        <w:ind w:firstLine="640" w:firstLineChars="20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29565EAA">
      <w:pPr>
        <w:spacing w:line="560" w:lineRule="exact"/>
        <w:ind w:firstLine="640" w:firstLineChars="200"/>
        <w:rPr>
          <w:rFonts w:eastAsia="仿宋_GB2312"/>
          <w:sz w:val="32"/>
          <w:szCs w:val="32"/>
        </w:rPr>
      </w:pPr>
      <w:r>
        <w:rPr>
          <w:rFonts w:eastAsia="仿宋_GB2312"/>
          <w:sz w:val="32"/>
          <w:szCs w:val="32"/>
        </w:rPr>
        <w:t>（5）报告撰写与反馈</w:t>
      </w:r>
    </w:p>
    <w:p w14:paraId="7F1B0DBD">
      <w:pPr>
        <w:spacing w:line="560" w:lineRule="exact"/>
        <w:ind w:firstLine="640" w:firstLineChars="20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09E166C6">
      <w:pPr>
        <w:spacing w:line="560" w:lineRule="exact"/>
        <w:ind w:firstLine="640" w:firstLineChars="200"/>
        <w:rPr>
          <w:rFonts w:eastAsia="仿宋_GB2312"/>
          <w:sz w:val="32"/>
          <w:szCs w:val="32"/>
        </w:rPr>
      </w:pPr>
      <w:r>
        <w:rPr>
          <w:rFonts w:eastAsia="仿宋_GB2312"/>
          <w:sz w:val="32"/>
          <w:szCs w:val="32"/>
        </w:rPr>
        <w:t>（6）后续跟踪与改进</w:t>
      </w:r>
    </w:p>
    <w:p w14:paraId="700B13ED">
      <w:pPr>
        <w:spacing w:line="560" w:lineRule="exact"/>
        <w:ind w:firstLine="640" w:firstLineChars="20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02D24FE7">
      <w:pPr>
        <w:numPr>
          <w:ilvl w:val="0"/>
          <w:numId w:val="4"/>
        </w:numPr>
        <w:spacing w:line="560" w:lineRule="exact"/>
        <w:ind w:firstLine="640" w:firstLineChars="200"/>
        <w:rPr>
          <w:rFonts w:eastAsia="黑体"/>
          <w:sz w:val="32"/>
          <w:szCs w:val="32"/>
        </w:rPr>
      </w:pPr>
      <w:r>
        <w:rPr>
          <w:rFonts w:eastAsia="黑体"/>
          <w:sz w:val="32"/>
          <w:szCs w:val="32"/>
        </w:rPr>
        <w:t>综合评价情况及评价结论（附相关评分表）</w:t>
      </w:r>
    </w:p>
    <w:p w14:paraId="22485CEF">
      <w:pPr>
        <w:pStyle w:val="10"/>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（一）评价情况</w:t>
      </w:r>
    </w:p>
    <w:p w14:paraId="1956EEEB">
      <w:pPr>
        <w:pStyle w:val="9"/>
        <w:widowControl/>
        <w:spacing w:beforeAutospacing="0" w:afterAutospacing="0" w:line="560" w:lineRule="exact"/>
        <w:ind w:firstLine="640" w:firstLineChars="200"/>
        <w:rPr>
          <w:rFonts w:eastAsia="仿宋_GB2312"/>
          <w:sz w:val="32"/>
          <w:szCs w:val="32"/>
        </w:rPr>
      </w:pPr>
      <w:r>
        <w:rPr>
          <w:rFonts w:eastAsia="仿宋_GB2312"/>
          <w:sz w:val="32"/>
          <w:szCs w:val="32"/>
        </w:rPr>
        <w:t>本项目的综合评价基于对项目各方面绩效的深入分析与评估。从项目目标的达成情况来看，雅山污水处理厂污水处理运行费（污水处理）在</w:t>
      </w:r>
      <w:r>
        <w:rPr>
          <w:rFonts w:hint="eastAsia" w:eastAsia="仿宋_GB2312"/>
          <w:sz w:val="32"/>
          <w:szCs w:val="32"/>
        </w:rPr>
        <w:t>污水处理量</w:t>
      </w:r>
      <w:r>
        <w:rPr>
          <w:rFonts w:eastAsia="仿宋_GB2312"/>
          <w:sz w:val="32"/>
          <w:szCs w:val="32"/>
        </w:rPr>
        <w:t>、污水处理运行期等方面表现出色，达到了预期的标准与要求。同时，项目也在</w:t>
      </w:r>
      <w:r>
        <w:rPr>
          <w:rFonts w:hint="eastAsia" w:eastAsia="仿宋_GB2312"/>
          <w:sz w:val="32"/>
          <w:szCs w:val="32"/>
        </w:rPr>
        <w:t>荒山绿化</w:t>
      </w:r>
      <w:r>
        <w:rPr>
          <w:rFonts w:eastAsia="仿宋_GB2312"/>
          <w:sz w:val="32"/>
          <w:szCs w:val="32"/>
        </w:rPr>
        <w:t>取得了显著的成效，如</w:t>
      </w:r>
      <w:r>
        <w:rPr>
          <w:rFonts w:hint="eastAsia" w:eastAsia="仿宋_GB2312"/>
          <w:sz w:val="32"/>
          <w:szCs w:val="32"/>
        </w:rPr>
        <w:t>改善了雅玛里克山的荒山绿化</w:t>
      </w:r>
      <w:r>
        <w:rPr>
          <w:rFonts w:eastAsia="仿宋_GB2312"/>
          <w:sz w:val="32"/>
          <w:szCs w:val="32"/>
        </w:rPr>
        <w:t>等。</w:t>
      </w:r>
    </w:p>
    <w:p w14:paraId="2D05D72F">
      <w:pPr>
        <w:pStyle w:val="9"/>
        <w:widowControl/>
        <w:spacing w:beforeAutospacing="0" w:afterAutospacing="0" w:line="560" w:lineRule="exact"/>
        <w:ind w:firstLine="640" w:firstLineChars="200"/>
        <w:rPr>
          <w:rFonts w:eastAsia="仿宋_GB2312"/>
          <w:sz w:val="32"/>
          <w:szCs w:val="32"/>
        </w:rPr>
      </w:pPr>
      <w:r>
        <w:rPr>
          <w:rFonts w:eastAsia="仿宋_GB2312"/>
          <w:sz w:val="32"/>
          <w:szCs w:val="32"/>
        </w:rPr>
        <w:t>在项目管理方面，乌鲁木齐市雅玛里克山污水处理厂通过有效的规划、组织与协调，项目得以顺利实施，并在预算与时间上保持了良好的控制。</w:t>
      </w:r>
    </w:p>
    <w:p w14:paraId="39C5B7BA">
      <w:pPr>
        <w:pStyle w:val="9"/>
        <w:widowControl/>
        <w:spacing w:beforeAutospacing="0" w:afterAutospacing="0" w:line="560" w:lineRule="exact"/>
        <w:ind w:firstLine="640" w:firstLineChars="200"/>
        <w:rPr>
          <w:rFonts w:eastAsia="仿宋_GB2312"/>
          <w:sz w:val="32"/>
          <w:szCs w:val="32"/>
        </w:rPr>
      </w:pPr>
      <w:r>
        <w:rPr>
          <w:rFonts w:eastAsia="仿宋_GB2312"/>
          <w:sz w:val="32"/>
          <w:szCs w:val="32"/>
        </w:rPr>
        <w:t>从项目效益的角度来看，本项目不仅实现了预期的社会效益、</w:t>
      </w:r>
      <w:r>
        <w:rPr>
          <w:rFonts w:hint="eastAsia" w:eastAsia="仿宋_GB2312"/>
          <w:sz w:val="32"/>
          <w:szCs w:val="32"/>
        </w:rPr>
        <w:t>经济效益</w:t>
      </w:r>
      <w:r>
        <w:rPr>
          <w:rFonts w:eastAsia="仿宋_GB2312"/>
          <w:sz w:val="32"/>
          <w:szCs w:val="32"/>
        </w:rPr>
        <w:t>等方面产生了积极的影响。具体而言，</w:t>
      </w:r>
      <w:r>
        <w:rPr>
          <w:rFonts w:hint="eastAsia" w:eastAsia="仿宋_GB2312"/>
          <w:sz w:val="32"/>
          <w:szCs w:val="32"/>
        </w:rPr>
        <w:t>改善荒山绿化、保障绿化水源供应</w:t>
      </w:r>
      <w:r>
        <w:rPr>
          <w:rFonts w:eastAsia="仿宋_GB2312"/>
          <w:sz w:val="32"/>
          <w:szCs w:val="32"/>
        </w:rPr>
        <w:t>等方面的提升，</w:t>
      </w:r>
      <w:bookmarkStart w:id="4" w:name="OLE_LINK24"/>
      <w:r>
        <w:rPr>
          <w:rFonts w:eastAsia="仿宋_GB2312"/>
          <w:sz w:val="32"/>
          <w:szCs w:val="32"/>
        </w:rPr>
        <w:t>为项目的利益相关者带来了实实在在的利益。</w:t>
      </w:r>
    </w:p>
    <w:bookmarkEnd w:id="4"/>
    <w:p w14:paraId="3530159F">
      <w:pPr>
        <w:pStyle w:val="9"/>
        <w:widowControl/>
        <w:spacing w:beforeAutospacing="0" w:afterAutospacing="0" w:line="560" w:lineRule="exact"/>
        <w:ind w:firstLine="640" w:firstLineChars="200"/>
      </w:pPr>
      <w:r>
        <w:rPr>
          <w:rFonts w:eastAsia="仿宋_GB2312"/>
          <w:sz w:val="32"/>
          <w:szCs w:val="32"/>
        </w:rPr>
        <w:t>综上所述，雅山污水处理厂污水处理运行费（污水处理）在绩效评价中表现出色，达到了项目的预期目标，并在多个方面取得了显著的成效。</w:t>
      </w:r>
    </w:p>
    <w:p w14:paraId="16ED26EE">
      <w:pPr>
        <w:pStyle w:val="10"/>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（二）评价结论</w:t>
      </w:r>
    </w:p>
    <w:p w14:paraId="560F4A56">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运用绩效评价组制定的评价指标体系以及财政部《项目支出绩效评价管理办法》（财预〔2020〕10号）文件的评分标准，通过数据采集、问卷调查及访谈等方式，对本项目进行客观评价，最终评分结果：总得分为</w:t>
      </w:r>
      <w:r>
        <w:rPr>
          <w:rFonts w:hint="eastAsia" w:ascii="Times New Roman" w:hAnsi="Times New Roman" w:eastAsia="仿宋_GB2312"/>
          <w:b w:val="0"/>
          <w:bCs w:val="0"/>
        </w:rPr>
        <w:t>100</w:t>
      </w:r>
      <w:r>
        <w:rPr>
          <w:rFonts w:ascii="Times New Roman" w:hAnsi="Times New Roman" w:eastAsia="仿宋_GB2312"/>
          <w:b w:val="0"/>
          <w:bCs w:val="0"/>
        </w:rPr>
        <w:t>分，属于“优”。其中，项目决策类指标权重为20分，得分为</w:t>
      </w:r>
      <w:r>
        <w:rPr>
          <w:rFonts w:hint="eastAsia" w:ascii="Times New Roman" w:hAnsi="Times New Roman" w:eastAsia="仿宋_GB2312"/>
          <w:b w:val="0"/>
          <w:bCs w:val="0"/>
        </w:rPr>
        <w:t>20</w:t>
      </w:r>
      <w:r>
        <w:rPr>
          <w:rFonts w:ascii="Times New Roman" w:hAnsi="Times New Roman" w:eastAsia="仿宋_GB2312"/>
          <w:b w:val="0"/>
          <w:bCs w:val="0"/>
        </w:rPr>
        <w:t xml:space="preserve">分，得分率为 </w:t>
      </w:r>
      <w:r>
        <w:rPr>
          <w:rFonts w:hint="eastAsia" w:ascii="Times New Roman" w:hAnsi="Times New Roman" w:eastAsia="仿宋_GB2312"/>
          <w:b w:val="0"/>
          <w:bCs w:val="0"/>
        </w:rPr>
        <w:t>100</w:t>
      </w:r>
      <w:r>
        <w:rPr>
          <w:rFonts w:ascii="Times New Roman" w:hAnsi="Times New Roman" w:eastAsia="仿宋_GB2312"/>
          <w:b w:val="0"/>
          <w:bCs w:val="0"/>
        </w:rPr>
        <w:t>%。项目过程类指标权重为20分，得分为</w:t>
      </w:r>
      <w:r>
        <w:rPr>
          <w:rFonts w:hint="eastAsia" w:ascii="Times New Roman" w:hAnsi="Times New Roman" w:eastAsia="仿宋_GB2312"/>
          <w:b w:val="0"/>
          <w:bCs w:val="0"/>
        </w:rPr>
        <w:t>20</w:t>
      </w:r>
      <w:r>
        <w:rPr>
          <w:rFonts w:ascii="Times New Roman" w:hAnsi="Times New Roman" w:eastAsia="仿宋_GB2312"/>
          <w:b w:val="0"/>
          <w:bCs w:val="0"/>
        </w:rPr>
        <w:t>分，得分率为</w:t>
      </w:r>
      <w:r>
        <w:rPr>
          <w:rFonts w:hint="eastAsia" w:ascii="Times New Roman" w:hAnsi="Times New Roman" w:eastAsia="仿宋_GB2312"/>
          <w:b w:val="0"/>
          <w:bCs w:val="0"/>
        </w:rPr>
        <w:t>100</w:t>
      </w:r>
      <w:r>
        <w:rPr>
          <w:rFonts w:ascii="Times New Roman" w:hAnsi="Times New Roman" w:eastAsia="仿宋_GB2312"/>
          <w:b w:val="0"/>
          <w:bCs w:val="0"/>
        </w:rPr>
        <w:t>%。项目产出类指标权重为40分，得分为</w:t>
      </w:r>
      <w:r>
        <w:rPr>
          <w:rFonts w:hint="eastAsia" w:ascii="Times New Roman" w:hAnsi="Times New Roman" w:eastAsia="仿宋_GB2312"/>
          <w:b w:val="0"/>
          <w:bCs w:val="0"/>
        </w:rPr>
        <w:t>40</w:t>
      </w:r>
      <w:r>
        <w:rPr>
          <w:rFonts w:ascii="Times New Roman" w:hAnsi="Times New Roman" w:eastAsia="仿宋_GB2312"/>
          <w:b w:val="0"/>
          <w:bCs w:val="0"/>
        </w:rPr>
        <w:t xml:space="preserve">分，得分率为 </w:t>
      </w:r>
      <w:r>
        <w:rPr>
          <w:rFonts w:hint="eastAsia" w:ascii="Times New Roman" w:hAnsi="Times New Roman" w:eastAsia="仿宋_GB2312"/>
          <w:b w:val="0"/>
          <w:bCs w:val="0"/>
        </w:rPr>
        <w:t>100</w:t>
      </w:r>
      <w:r>
        <w:rPr>
          <w:rFonts w:ascii="Times New Roman" w:hAnsi="Times New Roman" w:eastAsia="仿宋_GB2312"/>
          <w:b w:val="0"/>
          <w:bCs w:val="0"/>
        </w:rPr>
        <w:t>%。项目效益类指标权重为20分，得分为</w:t>
      </w:r>
      <w:r>
        <w:rPr>
          <w:rFonts w:hint="eastAsia" w:ascii="Times New Roman" w:hAnsi="Times New Roman" w:eastAsia="仿宋_GB2312"/>
          <w:b w:val="0"/>
          <w:bCs w:val="0"/>
        </w:rPr>
        <w:t>20</w:t>
      </w:r>
      <w:r>
        <w:rPr>
          <w:rFonts w:ascii="Times New Roman" w:hAnsi="Times New Roman" w:eastAsia="仿宋_GB2312"/>
          <w:b w:val="0"/>
          <w:bCs w:val="0"/>
        </w:rPr>
        <w:t>分，得分率为</w:t>
      </w:r>
      <w:r>
        <w:rPr>
          <w:rFonts w:hint="eastAsia" w:ascii="Times New Roman" w:hAnsi="Times New Roman" w:eastAsia="仿宋_GB2312"/>
          <w:b w:val="0"/>
          <w:bCs w:val="0"/>
        </w:rPr>
        <w:t>100</w:t>
      </w:r>
      <w:r>
        <w:rPr>
          <w:rFonts w:ascii="Times New Roman" w:hAnsi="Times New Roman" w:eastAsia="仿宋_GB2312"/>
          <w:b w:val="0"/>
          <w:bCs w:val="0"/>
        </w:rPr>
        <w:t>%。具体打分情况详见：附件1综合评分表。</w:t>
      </w:r>
    </w:p>
    <w:p w14:paraId="28E67EB5">
      <w:pPr>
        <w:pStyle w:val="10"/>
        <w:spacing w:before="0" w:after="0"/>
        <w:rPr>
          <w:rFonts w:ascii="Times New Roman" w:hAnsi="Times New Roman" w:eastAsia="仿宋_GB2312"/>
          <w:sz w:val="21"/>
          <w:szCs w:val="21"/>
        </w:rPr>
      </w:pPr>
      <w:r>
        <w:rPr>
          <w:rFonts w:ascii="Times New Roman" w:hAnsi="Times New Roman" w:eastAsia="仿宋_GB2312"/>
          <w:sz w:val="21"/>
          <w:szCs w:val="21"/>
        </w:rPr>
        <w:t>表1综合评分表</w:t>
      </w:r>
    </w:p>
    <w:tbl>
      <w:tblPr>
        <w:tblStyle w:val="14"/>
        <w:tblW w:w="8760" w:type="dxa"/>
        <w:jc w:val="center"/>
        <w:tblLayout w:type="fixed"/>
        <w:tblCellMar>
          <w:top w:w="0" w:type="dxa"/>
          <w:left w:w="108" w:type="dxa"/>
          <w:bottom w:w="0" w:type="dxa"/>
          <w:right w:w="108" w:type="dxa"/>
        </w:tblCellMar>
      </w:tblPr>
      <w:tblGrid>
        <w:gridCol w:w="2787"/>
        <w:gridCol w:w="1927"/>
        <w:gridCol w:w="2023"/>
        <w:gridCol w:w="2023"/>
      </w:tblGrid>
      <w:tr w14:paraId="10B0EE09">
        <w:tblPrEx>
          <w:tblCellMar>
            <w:top w:w="0" w:type="dxa"/>
            <w:left w:w="108" w:type="dxa"/>
            <w:bottom w:w="0" w:type="dxa"/>
            <w:right w:w="108" w:type="dxa"/>
          </w:tblCellMar>
        </w:tblPrEx>
        <w:trPr>
          <w:trHeight w:val="90" w:hRule="atLeast"/>
          <w:tblHeader/>
          <w:jc w:val="center"/>
        </w:trPr>
        <w:tc>
          <w:tcPr>
            <w:tcW w:w="2787"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14:paraId="524112A3">
            <w:pPr>
              <w:jc w:val="center"/>
              <w:rPr>
                <w:rFonts w:eastAsia="仿宋_GB2312"/>
                <w:b/>
                <w:bCs/>
                <w:szCs w:val="21"/>
              </w:rPr>
            </w:pPr>
            <w:r>
              <w:rPr>
                <w:rFonts w:eastAsia="仿宋_GB2312"/>
                <w:b/>
                <w:bCs/>
                <w:szCs w:val="21"/>
              </w:rPr>
              <w:t>一级指标</w:t>
            </w:r>
          </w:p>
        </w:tc>
        <w:tc>
          <w:tcPr>
            <w:tcW w:w="1927"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4FDD4665">
            <w:pPr>
              <w:jc w:val="center"/>
              <w:rPr>
                <w:rFonts w:eastAsia="仿宋_GB2312"/>
                <w:b/>
                <w:bCs/>
                <w:szCs w:val="21"/>
              </w:rPr>
            </w:pPr>
            <w:r>
              <w:rPr>
                <w:rFonts w:eastAsia="仿宋_GB2312"/>
                <w:b/>
                <w:bCs/>
                <w:szCs w:val="21"/>
              </w:rPr>
              <w:t>权重分</w:t>
            </w:r>
          </w:p>
        </w:tc>
        <w:tc>
          <w:tcPr>
            <w:tcW w:w="2023"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68FFD0D1">
            <w:pPr>
              <w:jc w:val="center"/>
              <w:rPr>
                <w:rFonts w:eastAsia="仿宋_GB2312"/>
                <w:b/>
                <w:bCs/>
                <w:szCs w:val="21"/>
              </w:rPr>
            </w:pPr>
            <w:r>
              <w:rPr>
                <w:rFonts w:eastAsia="仿宋_GB2312"/>
                <w:b/>
                <w:bCs/>
                <w:szCs w:val="21"/>
              </w:rPr>
              <w:t>得分</w:t>
            </w:r>
          </w:p>
        </w:tc>
        <w:tc>
          <w:tcPr>
            <w:tcW w:w="2023"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24CA7C37">
            <w:pPr>
              <w:jc w:val="center"/>
              <w:rPr>
                <w:rFonts w:eastAsia="仿宋_GB2312"/>
                <w:b/>
                <w:bCs/>
                <w:szCs w:val="21"/>
              </w:rPr>
            </w:pPr>
            <w:r>
              <w:rPr>
                <w:rFonts w:hint="eastAsia" w:eastAsia="仿宋_GB2312"/>
                <w:b/>
                <w:bCs/>
                <w:szCs w:val="21"/>
              </w:rPr>
              <w:t>得分率</w:t>
            </w:r>
          </w:p>
        </w:tc>
      </w:tr>
      <w:tr w14:paraId="45BA0257">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vAlign w:val="center"/>
          </w:tcPr>
          <w:p w14:paraId="0F1AD2F6">
            <w:pPr>
              <w:jc w:val="center"/>
              <w:rPr>
                <w:rFonts w:eastAsia="仿宋_GB2312"/>
                <w:szCs w:val="21"/>
              </w:rPr>
            </w:pPr>
            <w:r>
              <w:rPr>
                <w:rFonts w:eastAsia="仿宋_GB2312"/>
                <w:szCs w:val="21"/>
              </w:rPr>
              <w:t>项目决策</w:t>
            </w:r>
          </w:p>
        </w:tc>
        <w:tc>
          <w:tcPr>
            <w:tcW w:w="1927" w:type="dxa"/>
            <w:tcBorders>
              <w:top w:val="nil"/>
              <w:left w:val="nil"/>
              <w:bottom w:val="single" w:color="auto" w:sz="4" w:space="0"/>
              <w:right w:val="single" w:color="auto" w:sz="4" w:space="0"/>
            </w:tcBorders>
            <w:vAlign w:val="center"/>
          </w:tcPr>
          <w:p w14:paraId="16943244">
            <w:pPr>
              <w:jc w:val="center"/>
              <w:rPr>
                <w:rFonts w:eastAsia="仿宋_GB2312"/>
                <w:szCs w:val="21"/>
              </w:rPr>
            </w:pPr>
            <w:r>
              <w:rPr>
                <w:rFonts w:eastAsia="仿宋_GB2312"/>
                <w:szCs w:val="21"/>
              </w:rPr>
              <w:t>20</w:t>
            </w:r>
          </w:p>
        </w:tc>
        <w:tc>
          <w:tcPr>
            <w:tcW w:w="2023" w:type="dxa"/>
            <w:tcBorders>
              <w:top w:val="nil"/>
              <w:left w:val="nil"/>
              <w:bottom w:val="single" w:color="auto" w:sz="4" w:space="0"/>
              <w:right w:val="single" w:color="auto" w:sz="4" w:space="0"/>
            </w:tcBorders>
            <w:vAlign w:val="center"/>
          </w:tcPr>
          <w:p w14:paraId="38B3DA5A">
            <w:pPr>
              <w:jc w:val="center"/>
              <w:rPr>
                <w:rFonts w:eastAsia="仿宋_GB2312"/>
                <w:szCs w:val="21"/>
              </w:rPr>
            </w:pPr>
            <w:r>
              <w:rPr>
                <w:rFonts w:hint="eastAsia" w:eastAsia="仿宋_GB2312"/>
                <w:szCs w:val="21"/>
              </w:rPr>
              <w:t>20</w:t>
            </w:r>
          </w:p>
        </w:tc>
        <w:tc>
          <w:tcPr>
            <w:tcW w:w="2023" w:type="dxa"/>
            <w:tcBorders>
              <w:top w:val="nil"/>
              <w:left w:val="nil"/>
              <w:bottom w:val="single" w:color="auto" w:sz="4" w:space="0"/>
              <w:right w:val="single" w:color="auto" w:sz="4" w:space="0"/>
            </w:tcBorders>
            <w:vAlign w:val="center"/>
          </w:tcPr>
          <w:p w14:paraId="44456CC0">
            <w:pPr>
              <w:jc w:val="center"/>
              <w:rPr>
                <w:rFonts w:eastAsia="仿宋_GB2312"/>
                <w:szCs w:val="21"/>
              </w:rPr>
            </w:pPr>
            <w:bookmarkStart w:id="5" w:name="OLE_LINK3"/>
            <w:r>
              <w:rPr>
                <w:rFonts w:hint="eastAsia" w:eastAsia="仿宋_GB2312"/>
                <w:szCs w:val="21"/>
              </w:rPr>
              <w:t>100%</w:t>
            </w:r>
            <w:bookmarkEnd w:id="5"/>
          </w:p>
        </w:tc>
      </w:tr>
      <w:tr w14:paraId="4AB3A1FC">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vAlign w:val="center"/>
          </w:tcPr>
          <w:p w14:paraId="40BE8412">
            <w:pPr>
              <w:jc w:val="center"/>
              <w:rPr>
                <w:rFonts w:eastAsia="仿宋_GB2312"/>
                <w:szCs w:val="21"/>
              </w:rPr>
            </w:pPr>
            <w:r>
              <w:rPr>
                <w:rFonts w:eastAsia="仿宋_GB2312"/>
                <w:szCs w:val="21"/>
              </w:rPr>
              <w:t>项目过程</w:t>
            </w:r>
          </w:p>
        </w:tc>
        <w:tc>
          <w:tcPr>
            <w:tcW w:w="1927" w:type="dxa"/>
            <w:tcBorders>
              <w:top w:val="nil"/>
              <w:left w:val="nil"/>
              <w:bottom w:val="single" w:color="auto" w:sz="4" w:space="0"/>
              <w:right w:val="single" w:color="auto" w:sz="4" w:space="0"/>
            </w:tcBorders>
            <w:vAlign w:val="center"/>
          </w:tcPr>
          <w:p w14:paraId="4E1E2E27">
            <w:pPr>
              <w:jc w:val="center"/>
              <w:rPr>
                <w:rFonts w:eastAsia="仿宋_GB2312"/>
                <w:szCs w:val="21"/>
              </w:rPr>
            </w:pPr>
            <w:r>
              <w:rPr>
                <w:rFonts w:eastAsia="仿宋_GB2312"/>
                <w:szCs w:val="21"/>
              </w:rPr>
              <w:t>20</w:t>
            </w:r>
          </w:p>
        </w:tc>
        <w:tc>
          <w:tcPr>
            <w:tcW w:w="2023" w:type="dxa"/>
            <w:tcBorders>
              <w:top w:val="nil"/>
              <w:left w:val="nil"/>
              <w:bottom w:val="single" w:color="auto" w:sz="4" w:space="0"/>
              <w:right w:val="single" w:color="auto" w:sz="4" w:space="0"/>
            </w:tcBorders>
            <w:vAlign w:val="center"/>
          </w:tcPr>
          <w:p w14:paraId="5EC69F93">
            <w:pPr>
              <w:jc w:val="center"/>
              <w:rPr>
                <w:rFonts w:eastAsia="仿宋_GB2312"/>
                <w:szCs w:val="21"/>
              </w:rPr>
            </w:pPr>
            <w:r>
              <w:rPr>
                <w:rFonts w:hint="eastAsia" w:eastAsia="仿宋_GB2312"/>
                <w:szCs w:val="21"/>
              </w:rPr>
              <w:t>20</w:t>
            </w:r>
          </w:p>
        </w:tc>
        <w:tc>
          <w:tcPr>
            <w:tcW w:w="2023" w:type="dxa"/>
            <w:tcBorders>
              <w:top w:val="nil"/>
              <w:left w:val="nil"/>
              <w:bottom w:val="single" w:color="auto" w:sz="4" w:space="0"/>
              <w:right w:val="single" w:color="auto" w:sz="4" w:space="0"/>
            </w:tcBorders>
            <w:vAlign w:val="center"/>
          </w:tcPr>
          <w:p w14:paraId="71581BD9">
            <w:pPr>
              <w:jc w:val="center"/>
              <w:rPr>
                <w:rFonts w:eastAsia="仿宋_GB2312"/>
                <w:szCs w:val="21"/>
              </w:rPr>
            </w:pPr>
            <w:r>
              <w:rPr>
                <w:rFonts w:hint="eastAsia" w:eastAsia="仿宋_GB2312"/>
                <w:szCs w:val="21"/>
              </w:rPr>
              <w:t>100%</w:t>
            </w:r>
          </w:p>
        </w:tc>
      </w:tr>
      <w:tr w14:paraId="059E00ED">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vAlign w:val="center"/>
          </w:tcPr>
          <w:p w14:paraId="67DC05D9">
            <w:pPr>
              <w:jc w:val="center"/>
              <w:rPr>
                <w:rFonts w:eastAsia="仿宋_GB2312"/>
                <w:szCs w:val="21"/>
              </w:rPr>
            </w:pPr>
            <w:r>
              <w:rPr>
                <w:rFonts w:eastAsia="仿宋_GB2312"/>
                <w:szCs w:val="21"/>
              </w:rPr>
              <w:t>项目产出</w:t>
            </w:r>
          </w:p>
        </w:tc>
        <w:tc>
          <w:tcPr>
            <w:tcW w:w="1927" w:type="dxa"/>
            <w:tcBorders>
              <w:top w:val="nil"/>
              <w:left w:val="nil"/>
              <w:bottom w:val="single" w:color="auto" w:sz="4" w:space="0"/>
              <w:right w:val="single" w:color="auto" w:sz="4" w:space="0"/>
            </w:tcBorders>
            <w:vAlign w:val="center"/>
          </w:tcPr>
          <w:p w14:paraId="7CD39C90">
            <w:pPr>
              <w:jc w:val="center"/>
              <w:rPr>
                <w:rFonts w:eastAsia="仿宋_GB2312"/>
                <w:szCs w:val="21"/>
              </w:rPr>
            </w:pPr>
            <w:r>
              <w:rPr>
                <w:rFonts w:eastAsia="仿宋_GB2312"/>
                <w:szCs w:val="21"/>
              </w:rPr>
              <w:t>40</w:t>
            </w:r>
          </w:p>
        </w:tc>
        <w:tc>
          <w:tcPr>
            <w:tcW w:w="2023" w:type="dxa"/>
            <w:tcBorders>
              <w:top w:val="nil"/>
              <w:left w:val="nil"/>
              <w:bottom w:val="single" w:color="auto" w:sz="4" w:space="0"/>
              <w:right w:val="single" w:color="auto" w:sz="4" w:space="0"/>
            </w:tcBorders>
            <w:vAlign w:val="center"/>
          </w:tcPr>
          <w:p w14:paraId="3928FD11">
            <w:pPr>
              <w:jc w:val="center"/>
              <w:rPr>
                <w:rFonts w:eastAsia="仿宋_GB2312"/>
                <w:szCs w:val="21"/>
              </w:rPr>
            </w:pPr>
            <w:r>
              <w:rPr>
                <w:rFonts w:hint="eastAsia" w:eastAsia="仿宋_GB2312"/>
                <w:szCs w:val="21"/>
              </w:rPr>
              <w:t>40</w:t>
            </w:r>
          </w:p>
        </w:tc>
        <w:tc>
          <w:tcPr>
            <w:tcW w:w="2023" w:type="dxa"/>
            <w:tcBorders>
              <w:top w:val="nil"/>
              <w:left w:val="nil"/>
              <w:bottom w:val="single" w:color="auto" w:sz="4" w:space="0"/>
              <w:right w:val="single" w:color="auto" w:sz="4" w:space="0"/>
            </w:tcBorders>
            <w:vAlign w:val="center"/>
          </w:tcPr>
          <w:p w14:paraId="02F58EFB">
            <w:pPr>
              <w:jc w:val="center"/>
              <w:rPr>
                <w:rFonts w:eastAsia="仿宋_GB2312"/>
                <w:szCs w:val="21"/>
              </w:rPr>
            </w:pPr>
            <w:r>
              <w:rPr>
                <w:rFonts w:hint="eastAsia" w:eastAsia="仿宋_GB2312"/>
                <w:szCs w:val="21"/>
              </w:rPr>
              <w:t>100%</w:t>
            </w:r>
          </w:p>
        </w:tc>
      </w:tr>
      <w:tr w14:paraId="71BD7957">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vAlign w:val="center"/>
          </w:tcPr>
          <w:p w14:paraId="1C31067D">
            <w:pPr>
              <w:jc w:val="center"/>
              <w:rPr>
                <w:rFonts w:eastAsia="仿宋_GB2312"/>
                <w:szCs w:val="21"/>
              </w:rPr>
            </w:pPr>
            <w:r>
              <w:rPr>
                <w:rFonts w:eastAsia="仿宋_GB2312"/>
                <w:szCs w:val="21"/>
              </w:rPr>
              <w:t>项目效益</w:t>
            </w:r>
          </w:p>
        </w:tc>
        <w:tc>
          <w:tcPr>
            <w:tcW w:w="1927" w:type="dxa"/>
            <w:tcBorders>
              <w:top w:val="nil"/>
              <w:left w:val="nil"/>
              <w:bottom w:val="single" w:color="auto" w:sz="4" w:space="0"/>
              <w:right w:val="single" w:color="auto" w:sz="4" w:space="0"/>
            </w:tcBorders>
            <w:vAlign w:val="center"/>
          </w:tcPr>
          <w:p w14:paraId="6113F0E3">
            <w:pPr>
              <w:jc w:val="center"/>
              <w:rPr>
                <w:rFonts w:eastAsia="仿宋_GB2312"/>
                <w:szCs w:val="21"/>
              </w:rPr>
            </w:pPr>
            <w:r>
              <w:rPr>
                <w:rFonts w:eastAsia="仿宋_GB2312"/>
                <w:szCs w:val="21"/>
              </w:rPr>
              <w:t>20</w:t>
            </w:r>
          </w:p>
        </w:tc>
        <w:tc>
          <w:tcPr>
            <w:tcW w:w="2023" w:type="dxa"/>
            <w:tcBorders>
              <w:top w:val="nil"/>
              <w:left w:val="nil"/>
              <w:bottom w:val="single" w:color="auto" w:sz="4" w:space="0"/>
              <w:right w:val="single" w:color="auto" w:sz="4" w:space="0"/>
            </w:tcBorders>
            <w:vAlign w:val="center"/>
          </w:tcPr>
          <w:p w14:paraId="15F0346F">
            <w:pPr>
              <w:jc w:val="center"/>
              <w:rPr>
                <w:rFonts w:eastAsia="仿宋_GB2312"/>
                <w:szCs w:val="21"/>
              </w:rPr>
            </w:pPr>
            <w:r>
              <w:rPr>
                <w:rFonts w:hint="eastAsia" w:eastAsia="仿宋_GB2312"/>
                <w:szCs w:val="21"/>
              </w:rPr>
              <w:t>20</w:t>
            </w:r>
          </w:p>
        </w:tc>
        <w:tc>
          <w:tcPr>
            <w:tcW w:w="2023" w:type="dxa"/>
            <w:tcBorders>
              <w:top w:val="nil"/>
              <w:left w:val="nil"/>
              <w:bottom w:val="single" w:color="auto" w:sz="4" w:space="0"/>
              <w:right w:val="single" w:color="auto" w:sz="4" w:space="0"/>
            </w:tcBorders>
            <w:vAlign w:val="center"/>
          </w:tcPr>
          <w:p w14:paraId="6B74214A">
            <w:pPr>
              <w:jc w:val="center"/>
              <w:rPr>
                <w:rFonts w:eastAsia="仿宋_GB2312"/>
                <w:szCs w:val="21"/>
              </w:rPr>
            </w:pPr>
            <w:r>
              <w:rPr>
                <w:rFonts w:hint="eastAsia" w:eastAsia="仿宋_GB2312"/>
                <w:szCs w:val="21"/>
              </w:rPr>
              <w:t>100%</w:t>
            </w:r>
          </w:p>
        </w:tc>
      </w:tr>
      <w:tr w14:paraId="13819B87">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vAlign w:val="center"/>
          </w:tcPr>
          <w:p w14:paraId="0BC7FABA">
            <w:pPr>
              <w:jc w:val="center"/>
              <w:rPr>
                <w:rFonts w:eastAsia="仿宋_GB2312"/>
                <w:b/>
                <w:bCs/>
                <w:szCs w:val="21"/>
              </w:rPr>
            </w:pPr>
            <w:r>
              <w:rPr>
                <w:rFonts w:eastAsia="仿宋_GB2312"/>
                <w:b/>
                <w:bCs/>
                <w:szCs w:val="21"/>
              </w:rPr>
              <w:t>合计</w:t>
            </w:r>
          </w:p>
        </w:tc>
        <w:tc>
          <w:tcPr>
            <w:tcW w:w="1927" w:type="dxa"/>
            <w:tcBorders>
              <w:top w:val="nil"/>
              <w:left w:val="nil"/>
              <w:bottom w:val="single" w:color="auto" w:sz="4" w:space="0"/>
              <w:right w:val="single" w:color="auto" w:sz="4" w:space="0"/>
            </w:tcBorders>
            <w:vAlign w:val="center"/>
          </w:tcPr>
          <w:p w14:paraId="327047CB">
            <w:pPr>
              <w:jc w:val="center"/>
              <w:rPr>
                <w:rFonts w:eastAsia="仿宋_GB2312"/>
                <w:b/>
                <w:bCs/>
                <w:szCs w:val="21"/>
              </w:rPr>
            </w:pPr>
            <w:r>
              <w:rPr>
                <w:rFonts w:eastAsia="仿宋_GB2312"/>
                <w:b/>
                <w:bCs/>
                <w:szCs w:val="21"/>
              </w:rPr>
              <w:t>100</w:t>
            </w:r>
          </w:p>
        </w:tc>
        <w:tc>
          <w:tcPr>
            <w:tcW w:w="2023" w:type="dxa"/>
            <w:tcBorders>
              <w:top w:val="nil"/>
              <w:left w:val="nil"/>
              <w:bottom w:val="single" w:color="auto" w:sz="4" w:space="0"/>
              <w:right w:val="single" w:color="auto" w:sz="4" w:space="0"/>
            </w:tcBorders>
            <w:vAlign w:val="center"/>
          </w:tcPr>
          <w:p w14:paraId="33E3053E">
            <w:pPr>
              <w:jc w:val="center"/>
              <w:rPr>
                <w:rFonts w:eastAsia="仿宋_GB2312"/>
                <w:b/>
                <w:bCs/>
                <w:szCs w:val="21"/>
              </w:rPr>
            </w:pPr>
            <w:r>
              <w:rPr>
                <w:rFonts w:hint="eastAsia" w:eastAsia="仿宋_GB2312"/>
                <w:b/>
                <w:bCs/>
                <w:szCs w:val="21"/>
              </w:rPr>
              <w:t>100</w:t>
            </w:r>
          </w:p>
        </w:tc>
        <w:tc>
          <w:tcPr>
            <w:tcW w:w="2023" w:type="dxa"/>
            <w:tcBorders>
              <w:top w:val="nil"/>
              <w:left w:val="nil"/>
              <w:bottom w:val="single" w:color="auto" w:sz="4" w:space="0"/>
              <w:right w:val="single" w:color="auto" w:sz="4" w:space="0"/>
            </w:tcBorders>
            <w:vAlign w:val="center"/>
          </w:tcPr>
          <w:p w14:paraId="0D071CAE">
            <w:pPr>
              <w:jc w:val="center"/>
              <w:rPr>
                <w:rFonts w:eastAsia="仿宋_GB2312"/>
                <w:b/>
                <w:bCs/>
                <w:szCs w:val="21"/>
              </w:rPr>
            </w:pPr>
            <w:r>
              <w:rPr>
                <w:rFonts w:hint="eastAsia" w:eastAsia="仿宋_GB2312"/>
                <w:b/>
                <w:bCs/>
                <w:szCs w:val="21"/>
              </w:rPr>
              <w:t>100%</w:t>
            </w:r>
          </w:p>
        </w:tc>
      </w:tr>
    </w:tbl>
    <w:p w14:paraId="16D585CF">
      <w:pPr>
        <w:spacing w:line="560" w:lineRule="exact"/>
        <w:ind w:firstLine="640" w:firstLineChars="200"/>
        <w:rPr>
          <w:rFonts w:eastAsia="黑体"/>
          <w:sz w:val="32"/>
          <w:szCs w:val="32"/>
        </w:rPr>
      </w:pPr>
      <w:r>
        <w:rPr>
          <w:rFonts w:eastAsia="黑体"/>
          <w:sz w:val="32"/>
          <w:szCs w:val="32"/>
        </w:rPr>
        <w:t>四、绩效评价指标分析</w:t>
      </w:r>
    </w:p>
    <w:p w14:paraId="49886F26">
      <w:pPr>
        <w:pStyle w:val="10"/>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（一）项目决策情况</w:t>
      </w:r>
    </w:p>
    <w:p w14:paraId="26A6D072">
      <w:pPr>
        <w:spacing w:line="600" w:lineRule="exact"/>
        <w:ind w:firstLine="640" w:firstLineChars="200"/>
        <w:outlineLvl w:val="0"/>
        <w:rPr>
          <w:rFonts w:eastAsia="仿宋_GB2312"/>
          <w:sz w:val="32"/>
          <w:szCs w:val="32"/>
        </w:rPr>
      </w:pPr>
      <w:r>
        <w:rPr>
          <w:rFonts w:eastAsia="仿宋_GB2312"/>
          <w:sz w:val="32"/>
          <w:szCs w:val="32"/>
        </w:rPr>
        <w:t>项目决策类指标包括项目立项、绩效目标和资金投入三方面的内容，由6个三级指标构成，权重分值为20分，实际得分</w:t>
      </w:r>
      <w:r>
        <w:rPr>
          <w:rFonts w:hint="eastAsia" w:eastAsia="仿宋_GB2312"/>
          <w:sz w:val="32"/>
          <w:szCs w:val="32"/>
        </w:rPr>
        <w:t>20</w:t>
      </w:r>
      <w:r>
        <w:rPr>
          <w:rFonts w:eastAsia="仿宋_GB2312"/>
          <w:sz w:val="32"/>
          <w:szCs w:val="32"/>
        </w:rPr>
        <w:t>分，得分率为</w:t>
      </w:r>
      <w:r>
        <w:rPr>
          <w:rFonts w:hint="eastAsia" w:eastAsia="仿宋_GB2312"/>
          <w:sz w:val="32"/>
          <w:szCs w:val="32"/>
        </w:rPr>
        <w:t>100</w:t>
      </w:r>
      <w:r>
        <w:rPr>
          <w:rFonts w:eastAsia="仿宋_GB2312"/>
          <w:sz w:val="32"/>
          <w:szCs w:val="32"/>
        </w:rPr>
        <w:t>%。</w:t>
      </w:r>
    </w:p>
    <w:p w14:paraId="3A6BA4D2">
      <w:pPr>
        <w:pStyle w:val="19"/>
        <w:spacing w:line="560" w:lineRule="exact"/>
        <w:ind w:firstLine="640"/>
        <w:rPr>
          <w:rFonts w:eastAsia="仿宋_GB2312"/>
          <w:b/>
          <w:bCs/>
          <w:sz w:val="32"/>
          <w:szCs w:val="32"/>
        </w:rPr>
      </w:pPr>
      <w:r>
        <w:rPr>
          <w:rFonts w:eastAsia="仿宋_GB2312"/>
          <w:b/>
          <w:bCs/>
          <w:sz w:val="32"/>
          <w:szCs w:val="32"/>
        </w:rPr>
        <w:t>1.项目立项</w:t>
      </w:r>
    </w:p>
    <w:p w14:paraId="49FD1B0D">
      <w:pPr>
        <w:spacing w:line="600" w:lineRule="exact"/>
        <w:ind w:firstLine="640" w:firstLineChars="200"/>
        <w:outlineLvl w:val="0"/>
        <w:rPr>
          <w:rFonts w:eastAsia="仿宋_GB2312"/>
          <w:sz w:val="32"/>
          <w:szCs w:val="32"/>
        </w:rPr>
      </w:pPr>
      <w:r>
        <w:rPr>
          <w:rFonts w:eastAsia="仿宋_GB2312"/>
          <w:sz w:val="32"/>
          <w:szCs w:val="32"/>
        </w:rPr>
        <w:t>（1）立项依据充分性</w:t>
      </w:r>
    </w:p>
    <w:p w14:paraId="14C7397C">
      <w:pPr>
        <w:spacing w:line="600" w:lineRule="exact"/>
        <w:ind w:firstLine="640" w:firstLineChars="200"/>
        <w:outlineLvl w:val="0"/>
        <w:rPr>
          <w:rFonts w:eastAsia="仿宋_GB2312"/>
          <w:sz w:val="32"/>
          <w:szCs w:val="32"/>
        </w:rPr>
      </w:pPr>
      <w:r>
        <w:rPr>
          <w:rFonts w:eastAsia="仿宋_GB2312"/>
          <w:sz w:val="32"/>
          <w:szCs w:val="32"/>
        </w:rPr>
        <w:t>该项目立项符合国家相关法律法规</w:t>
      </w:r>
      <w:r>
        <w:rPr>
          <w:rFonts w:hint="eastAsia" w:eastAsia="仿宋_GB2312"/>
          <w:sz w:val="32"/>
          <w:szCs w:val="32"/>
        </w:rPr>
        <w:t>乌财农〔2024〕20号文《关于拨付雅山污水处理厂污水处理运行费的通知》</w:t>
      </w:r>
      <w:r>
        <w:rPr>
          <w:rFonts w:eastAsia="仿宋_GB2312"/>
          <w:sz w:val="32"/>
          <w:szCs w:val="32"/>
        </w:rPr>
        <w:t>发展政策，符合行业规划要求，围绕本年度工作重点和工作计划制定经费预算，属于公共财政支持范围。本项目与部门内部其他相关项目不重复。部门发展规划及职能文件等归档完整。</w:t>
      </w:r>
    </w:p>
    <w:p w14:paraId="06A09774">
      <w:pPr>
        <w:spacing w:line="600" w:lineRule="exact"/>
        <w:ind w:firstLine="640" w:firstLineChars="200"/>
        <w:outlineLvl w:val="0"/>
        <w:rPr>
          <w:rFonts w:eastAsia="仿宋_GB2312"/>
          <w:sz w:val="32"/>
          <w:szCs w:val="32"/>
        </w:rPr>
      </w:pPr>
      <w:r>
        <w:rPr>
          <w:rFonts w:eastAsia="仿宋_GB2312"/>
          <w:sz w:val="32"/>
          <w:szCs w:val="32"/>
        </w:rPr>
        <w:t>（2）立项程序规范性</w:t>
      </w:r>
    </w:p>
    <w:p w14:paraId="68BE5AE5">
      <w:pPr>
        <w:spacing w:line="600" w:lineRule="exact"/>
        <w:ind w:firstLine="640" w:firstLineChars="20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w:t>
      </w:r>
      <w:r>
        <w:rPr>
          <w:rFonts w:hint="eastAsia" w:eastAsia="仿宋_GB2312"/>
          <w:sz w:val="32"/>
          <w:szCs w:val="32"/>
        </w:rPr>
        <w:t>上级资金文件</w:t>
      </w:r>
      <w:r>
        <w:rPr>
          <w:rFonts w:eastAsia="仿宋_GB2312"/>
          <w:sz w:val="32"/>
          <w:szCs w:val="32"/>
        </w:rPr>
        <w:t>编制工作计划和经费预算，经过与部门项目分管领导沟通、筛选确定经费预算计划，确定最终预算方案。项目的审批文件、材料符合相关要求，项目事前经过必要的可行性研究、绩效评估、集体决策，保障了程序的规范性。</w:t>
      </w:r>
    </w:p>
    <w:p w14:paraId="419285EB">
      <w:pPr>
        <w:pStyle w:val="19"/>
        <w:spacing w:line="560" w:lineRule="exact"/>
        <w:ind w:firstLine="640"/>
        <w:rPr>
          <w:rFonts w:eastAsia="仿宋_GB2312"/>
          <w:b/>
          <w:bCs/>
          <w:sz w:val="32"/>
          <w:szCs w:val="32"/>
        </w:rPr>
      </w:pPr>
      <w:r>
        <w:rPr>
          <w:rFonts w:eastAsia="仿宋_GB2312"/>
          <w:b/>
          <w:bCs/>
          <w:sz w:val="32"/>
          <w:szCs w:val="32"/>
        </w:rPr>
        <w:t>2.绩效目标</w:t>
      </w:r>
    </w:p>
    <w:p w14:paraId="2F66237E">
      <w:pPr>
        <w:spacing w:line="600" w:lineRule="exact"/>
        <w:ind w:firstLine="640" w:firstLineChars="200"/>
        <w:outlineLvl w:val="0"/>
        <w:rPr>
          <w:rFonts w:eastAsia="仿宋_GB2312"/>
          <w:sz w:val="32"/>
          <w:szCs w:val="32"/>
        </w:rPr>
      </w:pPr>
      <w:r>
        <w:rPr>
          <w:rFonts w:eastAsia="仿宋_GB2312"/>
          <w:sz w:val="32"/>
          <w:szCs w:val="32"/>
        </w:rPr>
        <w:t>（1）绩效目标合理性</w:t>
      </w:r>
    </w:p>
    <w:p w14:paraId="5460CFEB">
      <w:pPr>
        <w:spacing w:line="600" w:lineRule="exact"/>
        <w:ind w:firstLine="640" w:firstLineChars="20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7DD435DF">
      <w:pPr>
        <w:spacing w:line="600" w:lineRule="exact"/>
        <w:ind w:firstLine="640" w:firstLineChars="200"/>
        <w:outlineLvl w:val="0"/>
        <w:rPr>
          <w:rFonts w:eastAsia="仿宋_GB2312"/>
          <w:sz w:val="32"/>
          <w:szCs w:val="32"/>
        </w:rPr>
      </w:pPr>
      <w:r>
        <w:rPr>
          <w:rFonts w:eastAsia="仿宋_GB2312"/>
          <w:sz w:val="32"/>
          <w:szCs w:val="32"/>
        </w:rPr>
        <w:t>（2）绩效指标明确性</w:t>
      </w:r>
    </w:p>
    <w:p w14:paraId="06028858">
      <w:pPr>
        <w:spacing w:line="600" w:lineRule="exact"/>
        <w:ind w:firstLine="640" w:firstLineChars="200"/>
        <w:outlineLvl w:val="0"/>
        <w:rPr>
          <w:rFonts w:eastAsia="仿宋_GB2312"/>
          <w:sz w:val="32"/>
          <w:szCs w:val="32"/>
        </w:rPr>
      </w:pPr>
      <w:r>
        <w:rPr>
          <w:rFonts w:eastAsia="仿宋_GB2312"/>
          <w:sz w:val="32"/>
          <w:szCs w:val="32"/>
        </w:rPr>
        <w:t>项目设置了明确的预期产出效益和效果，将绩效目标细化分解为具体的绩效指标，数量指标</w:t>
      </w:r>
      <w:r>
        <w:rPr>
          <w:rFonts w:hint="eastAsia" w:eastAsia="仿宋_GB2312"/>
          <w:sz w:val="32"/>
          <w:szCs w:val="32"/>
        </w:rPr>
        <w:t>：污水处理量987.67万吨；污水处理运行期7月；日污水处理量4.7万吨。质量指标：污水处理合格率100%。时效指标：资金支付时效2024年12月底。经济成本指标：污水处理费用1.95元/吨。社会效益指标：促进雅山荒山绿化显著促进。满意度指标：受益群体满意度90%。</w:t>
      </w:r>
      <w:r>
        <w:rPr>
          <w:rFonts w:eastAsia="仿宋_GB2312"/>
          <w:sz w:val="32"/>
          <w:szCs w:val="32"/>
        </w:rPr>
        <w:t>绩效目标与项目目标任务数相对应，绩效目标设定的绩效指标清晰、细化、可衡量。</w:t>
      </w:r>
    </w:p>
    <w:p w14:paraId="03F03FE8">
      <w:pPr>
        <w:pStyle w:val="19"/>
        <w:spacing w:line="560" w:lineRule="exact"/>
        <w:ind w:firstLine="640"/>
        <w:rPr>
          <w:rFonts w:eastAsia="仿宋_GB2312"/>
          <w:b/>
          <w:bCs/>
          <w:sz w:val="32"/>
          <w:szCs w:val="32"/>
        </w:rPr>
      </w:pPr>
      <w:r>
        <w:rPr>
          <w:rFonts w:eastAsia="仿宋_GB2312"/>
          <w:b/>
          <w:bCs/>
          <w:sz w:val="32"/>
          <w:szCs w:val="32"/>
        </w:rPr>
        <w:t>3.资金投入</w:t>
      </w:r>
    </w:p>
    <w:p w14:paraId="596CDA4D">
      <w:pPr>
        <w:spacing w:line="600" w:lineRule="exact"/>
        <w:ind w:firstLine="640" w:firstLineChars="200"/>
        <w:outlineLvl w:val="0"/>
        <w:rPr>
          <w:rFonts w:eastAsia="仿宋_GB2312"/>
          <w:sz w:val="32"/>
          <w:szCs w:val="32"/>
        </w:rPr>
      </w:pPr>
      <w:r>
        <w:rPr>
          <w:rFonts w:eastAsia="仿宋_GB2312"/>
          <w:sz w:val="32"/>
          <w:szCs w:val="32"/>
        </w:rPr>
        <w:t>（1）预算编制科学性</w:t>
      </w:r>
    </w:p>
    <w:p w14:paraId="536400EF">
      <w:pPr>
        <w:spacing w:line="560" w:lineRule="exact"/>
        <w:ind w:firstLine="640" w:firstLineChars="20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1CD98ED2">
      <w:pPr>
        <w:spacing w:line="600" w:lineRule="exact"/>
        <w:ind w:firstLine="640" w:firstLineChars="20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1F6A26B0">
      <w:pPr>
        <w:spacing w:line="600" w:lineRule="exact"/>
        <w:ind w:firstLine="640" w:firstLineChars="200"/>
        <w:outlineLvl w:val="0"/>
        <w:rPr>
          <w:rFonts w:eastAsia="仿宋_GB2312"/>
          <w:sz w:val="32"/>
          <w:szCs w:val="32"/>
        </w:rPr>
      </w:pPr>
      <w:r>
        <w:rPr>
          <w:rFonts w:eastAsia="仿宋_GB2312"/>
          <w:sz w:val="32"/>
          <w:szCs w:val="32"/>
        </w:rPr>
        <w:t>（2）资金分配合理性</w:t>
      </w:r>
    </w:p>
    <w:p w14:paraId="13737D9A">
      <w:pPr>
        <w:spacing w:line="560" w:lineRule="exact"/>
        <w:ind w:firstLine="640" w:firstLineChars="20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2A1E7712">
      <w:pPr>
        <w:spacing w:line="560" w:lineRule="exact"/>
        <w:ind w:firstLine="640" w:firstLineChars="20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5A37B2BB">
      <w:pPr>
        <w:spacing w:line="560" w:lineRule="exact"/>
        <w:ind w:firstLine="640" w:firstLineChars="20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32328E89">
      <w:pPr>
        <w:pStyle w:val="10"/>
        <w:numPr>
          <w:ilvl w:val="0"/>
          <w:numId w:val="5"/>
        </w:numPr>
        <w:spacing w:before="0" w:after="0" w:line="560" w:lineRule="exact"/>
        <w:ind w:firstLine="643"/>
        <w:jc w:val="both"/>
        <w:rPr>
          <w:rFonts w:ascii="Times New Roman" w:hAnsi="Times New Roman" w:eastAsia="楷体"/>
        </w:rPr>
      </w:pPr>
      <w:r>
        <w:rPr>
          <w:rFonts w:ascii="Times New Roman" w:hAnsi="Times New Roman" w:eastAsia="楷体"/>
        </w:rPr>
        <w:t>项目过程情况</w:t>
      </w:r>
    </w:p>
    <w:p w14:paraId="47B7A2E7">
      <w:pPr>
        <w:spacing w:line="600" w:lineRule="exact"/>
        <w:ind w:firstLine="640" w:firstLineChars="200"/>
        <w:outlineLvl w:val="0"/>
        <w:rPr>
          <w:rFonts w:eastAsia="仿宋_GB2312"/>
          <w:sz w:val="32"/>
          <w:szCs w:val="32"/>
        </w:rPr>
      </w:pPr>
      <w:r>
        <w:rPr>
          <w:rFonts w:eastAsia="仿宋_GB2312"/>
          <w:sz w:val="32"/>
          <w:szCs w:val="32"/>
        </w:rPr>
        <w:t>项目过程类指标包括资金管理和组织实施两方面的内容，由5个三级指标构成，权重分值为20分，实际得分</w:t>
      </w:r>
      <w:r>
        <w:rPr>
          <w:rFonts w:hint="eastAsia" w:eastAsia="仿宋_GB2312"/>
          <w:sz w:val="32"/>
          <w:szCs w:val="32"/>
        </w:rPr>
        <w:t>20</w:t>
      </w:r>
      <w:r>
        <w:rPr>
          <w:rFonts w:eastAsia="仿宋_GB2312"/>
          <w:sz w:val="32"/>
          <w:szCs w:val="32"/>
        </w:rPr>
        <w:t>分，得分率为</w:t>
      </w:r>
      <w:r>
        <w:rPr>
          <w:rFonts w:hint="eastAsia" w:eastAsia="仿宋_GB2312"/>
          <w:sz w:val="32"/>
          <w:szCs w:val="32"/>
        </w:rPr>
        <w:t>100</w:t>
      </w:r>
      <w:r>
        <w:rPr>
          <w:rFonts w:eastAsia="仿宋_GB2312"/>
          <w:sz w:val="32"/>
          <w:szCs w:val="32"/>
        </w:rPr>
        <w:t>%。</w:t>
      </w:r>
    </w:p>
    <w:p w14:paraId="3753D625">
      <w:pPr>
        <w:pStyle w:val="19"/>
        <w:spacing w:line="560" w:lineRule="exact"/>
        <w:ind w:firstLine="640"/>
        <w:rPr>
          <w:rFonts w:eastAsia="仿宋_GB2312"/>
          <w:b/>
          <w:bCs/>
          <w:sz w:val="32"/>
          <w:szCs w:val="32"/>
        </w:rPr>
      </w:pPr>
      <w:r>
        <w:rPr>
          <w:rFonts w:eastAsia="仿宋_GB2312"/>
          <w:b/>
          <w:bCs/>
          <w:sz w:val="32"/>
          <w:szCs w:val="32"/>
        </w:rPr>
        <w:t>1.资金管理</w:t>
      </w:r>
    </w:p>
    <w:p w14:paraId="2CD07FF8">
      <w:pPr>
        <w:spacing w:line="600" w:lineRule="exact"/>
        <w:ind w:firstLine="640" w:firstLineChars="200"/>
        <w:outlineLvl w:val="0"/>
        <w:rPr>
          <w:rFonts w:eastAsia="仿宋_GB2312"/>
          <w:sz w:val="32"/>
          <w:szCs w:val="32"/>
        </w:rPr>
      </w:pPr>
      <w:r>
        <w:rPr>
          <w:rFonts w:eastAsia="仿宋_GB2312"/>
          <w:sz w:val="32"/>
          <w:szCs w:val="32"/>
        </w:rPr>
        <w:t>（1）资金到位率</w:t>
      </w:r>
    </w:p>
    <w:p w14:paraId="7ADF5524">
      <w:pPr>
        <w:spacing w:line="600" w:lineRule="exact"/>
        <w:ind w:firstLine="640" w:firstLineChars="200"/>
        <w:outlineLvl w:val="0"/>
        <w:rPr>
          <w:rFonts w:eastAsia="仿宋_GB2312"/>
          <w:sz w:val="32"/>
          <w:szCs w:val="32"/>
        </w:rPr>
      </w:pPr>
      <w:r>
        <w:rPr>
          <w:rFonts w:eastAsia="仿宋_GB2312"/>
          <w:sz w:val="32"/>
          <w:szCs w:val="32"/>
        </w:rPr>
        <w:t>本项目总投资</w:t>
      </w:r>
      <w:r>
        <w:rPr>
          <w:rFonts w:hint="eastAsia" w:eastAsia="仿宋_GB2312"/>
          <w:sz w:val="32"/>
          <w:szCs w:val="32"/>
        </w:rPr>
        <w:t>310</w:t>
      </w:r>
      <w:r>
        <w:rPr>
          <w:rFonts w:eastAsia="仿宋_GB2312"/>
          <w:sz w:val="32"/>
          <w:szCs w:val="32"/>
        </w:rPr>
        <w:t>万元，财政资金及时足额到位，到位率</w:t>
      </w:r>
      <w:r>
        <w:rPr>
          <w:rFonts w:hint="eastAsia" w:eastAsia="仿宋_GB2312"/>
          <w:sz w:val="32"/>
          <w:szCs w:val="32"/>
        </w:rPr>
        <w:t>100</w:t>
      </w:r>
      <w:r>
        <w:rPr>
          <w:rFonts w:eastAsia="仿宋_GB2312"/>
          <w:sz w:val="32"/>
          <w:szCs w:val="32"/>
        </w:rPr>
        <w:t>%，预算资金按计划进度执行</w:t>
      </w:r>
      <w:r>
        <w:rPr>
          <w:rFonts w:hint="eastAsia" w:eastAsia="仿宋_GB2312"/>
          <w:sz w:val="32"/>
          <w:szCs w:val="32"/>
        </w:rPr>
        <w:t>，项目资金于2024年9月到位</w:t>
      </w:r>
      <w:r>
        <w:rPr>
          <w:rFonts w:eastAsia="仿宋_GB2312"/>
          <w:sz w:val="32"/>
          <w:szCs w:val="32"/>
        </w:rPr>
        <w:t>。</w:t>
      </w:r>
    </w:p>
    <w:p w14:paraId="0902129B">
      <w:pPr>
        <w:spacing w:line="600" w:lineRule="exact"/>
        <w:ind w:firstLine="640" w:firstLineChars="200"/>
        <w:outlineLvl w:val="0"/>
        <w:rPr>
          <w:rFonts w:eastAsia="仿宋_GB2312"/>
          <w:sz w:val="32"/>
          <w:szCs w:val="32"/>
        </w:rPr>
      </w:pPr>
      <w:r>
        <w:rPr>
          <w:rFonts w:eastAsia="仿宋_GB2312"/>
          <w:sz w:val="32"/>
          <w:szCs w:val="32"/>
        </w:rPr>
        <w:t>（2）预算执行率</w:t>
      </w:r>
    </w:p>
    <w:p w14:paraId="2772E015">
      <w:pPr>
        <w:spacing w:line="600" w:lineRule="exact"/>
        <w:ind w:firstLine="640" w:firstLineChars="200"/>
        <w:outlineLvl w:val="0"/>
        <w:rPr>
          <w:rFonts w:eastAsia="仿宋_GB2312"/>
          <w:sz w:val="32"/>
          <w:szCs w:val="32"/>
        </w:rPr>
      </w:pPr>
      <w:r>
        <w:rPr>
          <w:rFonts w:eastAsia="仿宋_GB2312"/>
          <w:sz w:val="32"/>
          <w:szCs w:val="32"/>
        </w:rPr>
        <w:t>预算编制较为详细，项目资金支出总体能够按照预算执行，预算资金支出</w:t>
      </w:r>
      <w:r>
        <w:rPr>
          <w:rFonts w:hint="eastAsia" w:eastAsia="仿宋_GB2312"/>
          <w:sz w:val="32"/>
          <w:szCs w:val="32"/>
        </w:rPr>
        <w:t>310</w:t>
      </w:r>
      <w:r>
        <w:rPr>
          <w:rFonts w:eastAsia="仿宋_GB2312"/>
          <w:sz w:val="32"/>
          <w:szCs w:val="32"/>
        </w:rPr>
        <w:t>万元，预算执行率为</w:t>
      </w:r>
      <w:r>
        <w:rPr>
          <w:rFonts w:hint="eastAsia" w:eastAsia="仿宋_GB2312"/>
          <w:sz w:val="32"/>
          <w:szCs w:val="32"/>
        </w:rPr>
        <w:t>100</w:t>
      </w:r>
      <w:r>
        <w:rPr>
          <w:rFonts w:eastAsia="仿宋_GB2312"/>
          <w:sz w:val="32"/>
          <w:szCs w:val="32"/>
        </w:rPr>
        <w:t>%</w:t>
      </w:r>
      <w:r>
        <w:rPr>
          <w:rFonts w:hint="eastAsia" w:eastAsia="仿宋_GB2312"/>
          <w:sz w:val="32"/>
          <w:szCs w:val="32"/>
        </w:rPr>
        <w:t>，主要用于雅山污水处理厂污水处理费用310万元</w:t>
      </w:r>
      <w:r>
        <w:rPr>
          <w:rFonts w:eastAsia="仿宋_GB2312"/>
          <w:sz w:val="32"/>
          <w:szCs w:val="32"/>
        </w:rPr>
        <w:t>。</w:t>
      </w:r>
    </w:p>
    <w:p w14:paraId="0CAB5DFE">
      <w:pPr>
        <w:spacing w:line="600" w:lineRule="exact"/>
        <w:ind w:firstLine="640" w:firstLineChars="200"/>
        <w:outlineLvl w:val="0"/>
        <w:rPr>
          <w:rFonts w:eastAsia="仿宋_GB2312"/>
          <w:sz w:val="32"/>
          <w:szCs w:val="32"/>
        </w:rPr>
      </w:pPr>
      <w:r>
        <w:rPr>
          <w:rFonts w:eastAsia="仿宋_GB2312"/>
          <w:sz w:val="32"/>
          <w:szCs w:val="32"/>
        </w:rPr>
        <w:t>（3）资金使用合规性</w:t>
      </w:r>
    </w:p>
    <w:p w14:paraId="67BF7BFD">
      <w:pPr>
        <w:spacing w:line="560" w:lineRule="exact"/>
        <w:ind w:firstLine="640" w:firstLineChars="200"/>
        <w:rPr>
          <w:rFonts w:eastAsia="仿宋_GB2312"/>
          <w:sz w:val="32"/>
          <w:szCs w:val="32"/>
        </w:rPr>
      </w:pPr>
      <w:r>
        <w:rPr>
          <w:rFonts w:eastAsia="仿宋_GB2312"/>
          <w:sz w:val="32"/>
          <w:szCs w:val="32"/>
        </w:rPr>
        <w:t>本项目的资金使用严格遵循了国家相关法律法规与财务制度，确保了资金的合规性与安全性。在资金使用过程中，我们建立了完善的财务管理体系，对资金的流动进行了全程监控与记录。</w:t>
      </w:r>
    </w:p>
    <w:p w14:paraId="50A63DB9">
      <w:pPr>
        <w:spacing w:line="560" w:lineRule="exact"/>
        <w:ind w:firstLine="640" w:firstLineChars="20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297B404A">
      <w:pPr>
        <w:spacing w:line="560" w:lineRule="exact"/>
        <w:ind w:firstLine="640" w:firstLineChars="200"/>
        <w:rPr>
          <w:rFonts w:eastAsia="仿宋_GB2312"/>
          <w:sz w:val="32"/>
          <w:szCs w:val="32"/>
        </w:rPr>
      </w:pPr>
      <w:r>
        <w:rPr>
          <w:rFonts w:eastAsia="仿宋_GB2312"/>
          <w:sz w:val="32"/>
          <w:szCs w:val="32"/>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2FC233AE">
      <w:pPr>
        <w:pStyle w:val="19"/>
        <w:spacing w:line="560" w:lineRule="exact"/>
        <w:ind w:firstLine="640"/>
        <w:rPr>
          <w:rFonts w:eastAsia="仿宋_GB2312"/>
          <w:b/>
          <w:bCs/>
          <w:sz w:val="32"/>
          <w:szCs w:val="32"/>
        </w:rPr>
      </w:pPr>
      <w:r>
        <w:rPr>
          <w:rFonts w:eastAsia="仿宋_GB2312"/>
          <w:b/>
          <w:bCs/>
          <w:sz w:val="32"/>
          <w:szCs w:val="32"/>
        </w:rPr>
        <w:t>2.组织实施</w:t>
      </w:r>
    </w:p>
    <w:p w14:paraId="6DD548A8">
      <w:pPr>
        <w:spacing w:line="600" w:lineRule="exact"/>
        <w:ind w:firstLine="640" w:firstLineChars="200"/>
        <w:outlineLvl w:val="0"/>
        <w:rPr>
          <w:rFonts w:eastAsia="仿宋_GB2312"/>
          <w:sz w:val="32"/>
          <w:szCs w:val="32"/>
        </w:rPr>
      </w:pPr>
      <w:r>
        <w:rPr>
          <w:rFonts w:eastAsia="仿宋_GB2312"/>
          <w:sz w:val="32"/>
          <w:szCs w:val="32"/>
        </w:rPr>
        <w:t>（1）管理制度健全性</w:t>
      </w:r>
    </w:p>
    <w:p w14:paraId="2AEB79C0">
      <w:pPr>
        <w:spacing w:line="560" w:lineRule="exact"/>
        <w:ind w:firstLine="640" w:firstLineChars="200"/>
        <w:rPr>
          <w:rFonts w:eastAsia="仿宋_GB2312"/>
          <w:sz w:val="32"/>
          <w:szCs w:val="32"/>
        </w:rPr>
      </w:pPr>
      <w:r>
        <w:rPr>
          <w:rFonts w:eastAsia="仿宋_GB2312"/>
          <w:sz w:val="32"/>
          <w:szCs w:val="32"/>
        </w:rPr>
        <w:t>本项目拥有一套完善、健全的管理制度体系</w:t>
      </w:r>
      <w:r>
        <w:rPr>
          <w:rFonts w:hint="eastAsia" w:eastAsia="仿宋_GB2312"/>
          <w:sz w:val="32"/>
          <w:szCs w:val="32"/>
        </w:rPr>
        <w:t>，项目按照前期分析审核、项目中期按照项目的实际情况进行项目调整、项目完成后及时对项目产生的成果进行分析</w:t>
      </w:r>
      <w:r>
        <w:rPr>
          <w:rFonts w:eastAsia="仿宋_GB2312"/>
          <w:sz w:val="32"/>
          <w:szCs w:val="32"/>
        </w:rPr>
        <w:t>，</w:t>
      </w:r>
      <w:r>
        <w:rPr>
          <w:rFonts w:hint="eastAsia" w:eastAsia="仿宋_GB2312"/>
          <w:sz w:val="32"/>
          <w:szCs w:val="32"/>
        </w:rPr>
        <w:t>对项目存在的问题及时整改，保障项目顺利的开展。</w:t>
      </w:r>
      <w:r>
        <w:rPr>
          <w:rFonts w:eastAsia="仿宋_GB2312"/>
          <w:sz w:val="32"/>
          <w:szCs w:val="32"/>
        </w:rPr>
        <w:t>为项目的成功实施提供了坚实的制度保障。项目管理制度的制定紧密结合了项目的特点与实际情况，涵盖了项目的策划、组织、实施、监控与收尾等各个环节。</w:t>
      </w:r>
    </w:p>
    <w:p w14:paraId="73D5814F">
      <w:pPr>
        <w:spacing w:line="560" w:lineRule="exact"/>
        <w:ind w:firstLine="640" w:firstLineChars="20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607E0F1B">
      <w:pPr>
        <w:spacing w:line="560" w:lineRule="exact"/>
        <w:ind w:firstLine="640" w:firstLineChars="20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455638A5">
      <w:pPr>
        <w:spacing w:line="600" w:lineRule="exact"/>
        <w:ind w:firstLine="640" w:firstLineChars="20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3567DDCF">
      <w:pPr>
        <w:spacing w:line="600" w:lineRule="exact"/>
        <w:ind w:firstLine="640" w:firstLineChars="200"/>
        <w:outlineLvl w:val="0"/>
        <w:rPr>
          <w:rFonts w:eastAsia="仿宋_GB2312"/>
          <w:sz w:val="32"/>
          <w:szCs w:val="32"/>
        </w:rPr>
      </w:pPr>
      <w:r>
        <w:rPr>
          <w:rFonts w:eastAsia="仿宋_GB2312"/>
          <w:sz w:val="32"/>
          <w:szCs w:val="32"/>
        </w:rPr>
        <w:t>（2）制度执行有效性</w:t>
      </w:r>
    </w:p>
    <w:p w14:paraId="11F6CC17">
      <w:pPr>
        <w:spacing w:line="560" w:lineRule="exact"/>
        <w:ind w:firstLine="640" w:firstLineChars="20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6ABAD3EC">
      <w:pPr>
        <w:spacing w:line="560" w:lineRule="exact"/>
        <w:ind w:firstLine="640" w:firstLineChars="20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35E054E3">
      <w:pPr>
        <w:spacing w:line="560" w:lineRule="exact"/>
        <w:ind w:firstLine="640" w:firstLineChars="20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332A77B2">
      <w:pPr>
        <w:pStyle w:val="12"/>
        <w:numPr>
          <w:ilvl w:val="0"/>
          <w:numId w:val="5"/>
        </w:numPr>
        <w:spacing w:line="560" w:lineRule="exact"/>
        <w:ind w:firstLine="643" w:firstLineChars="0"/>
        <w:rPr>
          <w:rFonts w:eastAsia="楷体_GB2312"/>
          <w:b/>
          <w:bCs/>
          <w:sz w:val="32"/>
          <w:szCs w:val="32"/>
        </w:rPr>
      </w:pPr>
      <w:r>
        <w:rPr>
          <w:rFonts w:eastAsia="楷体_GB2312"/>
          <w:b/>
          <w:bCs/>
          <w:sz w:val="32"/>
          <w:szCs w:val="32"/>
        </w:rPr>
        <w:t>项目产出情况</w:t>
      </w:r>
    </w:p>
    <w:p w14:paraId="60E9C9AD">
      <w:pPr>
        <w:spacing w:line="600" w:lineRule="exact"/>
        <w:ind w:firstLine="640" w:firstLineChars="200"/>
        <w:outlineLvl w:val="0"/>
        <w:rPr>
          <w:rFonts w:eastAsia="仿宋_GB2312"/>
          <w:sz w:val="32"/>
          <w:szCs w:val="32"/>
        </w:rPr>
      </w:pPr>
      <w:r>
        <w:rPr>
          <w:rFonts w:eastAsia="仿宋_GB2312"/>
          <w:sz w:val="32"/>
          <w:szCs w:val="32"/>
        </w:rPr>
        <w:t>项目产出类指标包括产出数量、产出质量、产出时效、产出成本四方面的内容，由</w:t>
      </w:r>
      <w:r>
        <w:rPr>
          <w:rFonts w:hint="eastAsia" w:eastAsia="仿宋_GB2312"/>
          <w:sz w:val="32"/>
          <w:szCs w:val="32"/>
        </w:rPr>
        <w:t>6</w:t>
      </w:r>
      <w:r>
        <w:rPr>
          <w:rFonts w:eastAsia="仿宋_GB2312"/>
          <w:sz w:val="32"/>
          <w:szCs w:val="32"/>
        </w:rPr>
        <w:t>个三级指标构成，权重分为</w:t>
      </w:r>
      <w:r>
        <w:rPr>
          <w:rFonts w:hint="eastAsia" w:eastAsia="仿宋_GB2312"/>
          <w:sz w:val="32"/>
          <w:szCs w:val="32"/>
        </w:rPr>
        <w:t>40</w:t>
      </w:r>
      <w:r>
        <w:rPr>
          <w:rFonts w:eastAsia="仿宋_GB2312"/>
          <w:sz w:val="32"/>
          <w:szCs w:val="32"/>
        </w:rPr>
        <w:t>分，实际得分</w:t>
      </w:r>
      <w:r>
        <w:rPr>
          <w:rFonts w:hint="eastAsia" w:eastAsia="仿宋_GB2312"/>
          <w:sz w:val="32"/>
          <w:szCs w:val="32"/>
        </w:rPr>
        <w:t>40</w:t>
      </w:r>
      <w:r>
        <w:rPr>
          <w:rFonts w:eastAsia="仿宋_GB2312"/>
          <w:sz w:val="32"/>
          <w:szCs w:val="32"/>
        </w:rPr>
        <w:t>分，得分率为</w:t>
      </w:r>
      <w:r>
        <w:rPr>
          <w:rFonts w:hint="eastAsia" w:eastAsia="仿宋_GB2312"/>
          <w:sz w:val="32"/>
          <w:szCs w:val="32"/>
        </w:rPr>
        <w:t>100</w:t>
      </w:r>
      <w:r>
        <w:rPr>
          <w:rFonts w:eastAsia="仿宋_GB2312"/>
          <w:sz w:val="32"/>
          <w:szCs w:val="32"/>
        </w:rPr>
        <w:t>%。具体产出指标完成情况如下：</w:t>
      </w:r>
    </w:p>
    <w:p w14:paraId="1E5DE58E">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4CDE0EAA">
      <w:pPr>
        <w:spacing w:line="560" w:lineRule="exact"/>
        <w:ind w:firstLine="640" w:firstLineChars="200"/>
        <w:rPr>
          <w:rFonts w:eastAsia="仿宋_GB2312"/>
          <w:sz w:val="32"/>
          <w:szCs w:val="32"/>
        </w:rPr>
      </w:pPr>
      <w:r>
        <w:rPr>
          <w:rFonts w:eastAsia="仿宋_GB2312"/>
          <w:sz w:val="32"/>
          <w:szCs w:val="32"/>
        </w:rPr>
        <w:t>指标1：污水处理量，指标值：&gt;=987.67万吨，实际完成值</w:t>
      </w:r>
      <w:r>
        <w:rPr>
          <w:rFonts w:hint="eastAsia" w:eastAsia="仿宋_GB2312"/>
          <w:sz w:val="32"/>
          <w:szCs w:val="32"/>
        </w:rPr>
        <w:t>：=987.67万吨</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偏差原因：无。2024年4-5月完成污水处理量176.23万吨，2024年6月完成污水处理量226.30万吨，2024年7月完成污水处理量206.67万吨，2024年8月完成污水处理量235.18万吨，2024年9-10月完成污水处理量143.29万吨，总共完成污水处理量987.67万吨。</w:t>
      </w:r>
    </w:p>
    <w:p w14:paraId="5FC9F7C6">
      <w:pPr>
        <w:spacing w:line="560" w:lineRule="exact"/>
        <w:ind w:firstLine="640" w:firstLineChars="200"/>
        <w:rPr>
          <w:rFonts w:eastAsia="仿宋_GB2312"/>
          <w:sz w:val="32"/>
          <w:szCs w:val="32"/>
        </w:rPr>
      </w:pPr>
      <w:r>
        <w:rPr>
          <w:rFonts w:eastAsia="仿宋_GB2312"/>
          <w:sz w:val="32"/>
          <w:szCs w:val="32"/>
        </w:rPr>
        <w:t>指标</w:t>
      </w:r>
      <w:r>
        <w:rPr>
          <w:rFonts w:hint="eastAsia" w:eastAsia="仿宋_GB2312"/>
          <w:sz w:val="32"/>
          <w:szCs w:val="32"/>
        </w:rPr>
        <w:t>2</w:t>
      </w:r>
      <w:r>
        <w:rPr>
          <w:rFonts w:eastAsia="仿宋_GB2312"/>
          <w:sz w:val="32"/>
          <w:szCs w:val="32"/>
        </w:rPr>
        <w:t>：污水处理运行期，指标值：&gt;=7月，实际完成值</w:t>
      </w:r>
      <w:r>
        <w:rPr>
          <w:rFonts w:hint="eastAsia" w:eastAsia="仿宋_GB2312"/>
          <w:sz w:val="32"/>
          <w:szCs w:val="32"/>
        </w:rPr>
        <w:t>：=7月</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，偏差原因：无。</w:t>
      </w:r>
      <w:r>
        <w:rPr>
          <w:rFonts w:eastAsia="仿宋_GB2312"/>
          <w:sz w:val="32"/>
          <w:szCs w:val="32"/>
        </w:rPr>
        <w:t>污水处理运行期</w:t>
      </w:r>
      <w:r>
        <w:rPr>
          <w:rFonts w:hint="eastAsia" w:eastAsia="仿宋_GB2312"/>
          <w:sz w:val="32"/>
          <w:szCs w:val="32"/>
        </w:rPr>
        <w:t>为2024年4-5月、2024年6月、2024年7月、2024年8月、2024年9-10月。</w:t>
      </w:r>
    </w:p>
    <w:p w14:paraId="55F33409">
      <w:pPr>
        <w:spacing w:line="600" w:lineRule="exact"/>
        <w:ind w:firstLine="640" w:firstLineChars="200"/>
        <w:outlineLvl w:val="0"/>
        <w:rPr>
          <w:rFonts w:eastAsia="仿宋_GB2312"/>
          <w:sz w:val="32"/>
          <w:szCs w:val="32"/>
        </w:rPr>
      </w:pPr>
      <w:bookmarkStart w:id="6" w:name="OLE_LINK4"/>
      <w:r>
        <w:rPr>
          <w:rFonts w:eastAsia="仿宋_GB2312"/>
          <w:sz w:val="32"/>
          <w:szCs w:val="32"/>
        </w:rPr>
        <w:t>指标</w:t>
      </w:r>
      <w:r>
        <w:rPr>
          <w:rFonts w:hint="eastAsia" w:eastAsia="仿宋_GB2312"/>
          <w:sz w:val="32"/>
          <w:szCs w:val="32"/>
        </w:rPr>
        <w:t>3</w:t>
      </w:r>
      <w:r>
        <w:rPr>
          <w:rFonts w:eastAsia="仿宋_GB2312"/>
          <w:sz w:val="32"/>
          <w:szCs w:val="32"/>
        </w:rPr>
        <w:t>：日污水处理量，指标值：&gt;=4.7万吨，实际完成值</w:t>
      </w:r>
      <w:r>
        <w:rPr>
          <w:rFonts w:hint="eastAsia" w:eastAsia="仿宋_GB2312"/>
          <w:sz w:val="32"/>
          <w:szCs w:val="32"/>
        </w:rPr>
        <w:t>：=4.7万吨</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，偏差原因：无。由全年的总污水产量987.67万吨除运行期210天，日处理量4.7万吨。</w:t>
      </w:r>
    </w:p>
    <w:bookmarkEnd w:id="6"/>
    <w:p w14:paraId="4C041D98">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6E1B8915">
      <w:pPr>
        <w:spacing w:line="600" w:lineRule="exact"/>
        <w:ind w:firstLine="640" w:firstLineChars="200"/>
        <w:outlineLvl w:val="0"/>
        <w:rPr>
          <w:rFonts w:eastAsia="仿宋_GB2312"/>
          <w:sz w:val="32"/>
          <w:szCs w:val="32"/>
        </w:rPr>
      </w:pPr>
      <w:bookmarkStart w:id="7" w:name="OLE_LINK5"/>
      <w:r>
        <w:rPr>
          <w:rFonts w:eastAsia="仿宋_GB2312"/>
          <w:sz w:val="32"/>
          <w:szCs w:val="32"/>
        </w:rPr>
        <w:t>指标：污水处理合格率，指标值：=100%，实际完成值</w:t>
      </w:r>
      <w:r>
        <w:rPr>
          <w:rFonts w:hint="eastAsia" w:eastAsia="仿宋_GB2312"/>
          <w:sz w:val="32"/>
          <w:szCs w:val="32"/>
        </w:rPr>
        <w:t>：=100%</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，偏差原因：无。</w:t>
      </w:r>
      <w:bookmarkEnd w:id="7"/>
      <w:r>
        <w:rPr>
          <w:rFonts w:hint="eastAsia" w:eastAsia="仿宋_GB2312"/>
          <w:sz w:val="32"/>
          <w:szCs w:val="32"/>
        </w:rPr>
        <w:t>我单位项目完成后，根据合同约定，及时向主管单位和财政局申请相关款项，并已于2024年10月将资金支付给桑德水务有限公司。</w:t>
      </w:r>
    </w:p>
    <w:p w14:paraId="4323EC3A">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49D4B254">
      <w:pPr>
        <w:spacing w:line="600" w:lineRule="exact"/>
        <w:ind w:firstLine="640" w:firstLineChars="200"/>
        <w:outlineLvl w:val="0"/>
        <w:rPr>
          <w:rFonts w:eastAsia="仿宋_GB2312"/>
          <w:sz w:val="32"/>
          <w:szCs w:val="32"/>
        </w:rPr>
      </w:pPr>
      <w:bookmarkStart w:id="8" w:name="OLE_LINK6"/>
      <w:bookmarkStart w:id="9" w:name="OLE_LINK7"/>
      <w:r>
        <w:rPr>
          <w:rFonts w:eastAsia="仿宋_GB2312"/>
          <w:sz w:val="32"/>
          <w:szCs w:val="32"/>
        </w:rPr>
        <w:t>指标：资金支付时效，指标值：=2024年12月底，实际完成值</w:t>
      </w:r>
      <w:r>
        <w:rPr>
          <w:rFonts w:hint="eastAsia" w:eastAsia="仿宋_GB2312"/>
          <w:sz w:val="32"/>
          <w:szCs w:val="32"/>
        </w:rPr>
        <w:t>：=2024年12月底</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，偏差原因：无该项目于2024年10月完成支付。</w:t>
      </w:r>
      <w:bookmarkEnd w:id="8"/>
    </w:p>
    <w:bookmarkEnd w:id="9"/>
    <w:p w14:paraId="49AF19BC">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615102D1">
      <w:pPr>
        <w:spacing w:line="600" w:lineRule="exact"/>
        <w:ind w:firstLine="640" w:firstLineChars="200"/>
        <w:outlineLvl w:val="0"/>
        <w:rPr>
          <w:rFonts w:eastAsia="仿宋_GB2312"/>
          <w:sz w:val="32"/>
          <w:szCs w:val="32"/>
        </w:rPr>
      </w:pPr>
      <w:r>
        <w:rPr>
          <w:rFonts w:eastAsia="仿宋_GB2312"/>
          <w:sz w:val="32"/>
          <w:szCs w:val="32"/>
        </w:rPr>
        <w:t>指标：污水处理费用，指标值：=1.95元/吨，实际完成值</w:t>
      </w:r>
      <w:r>
        <w:rPr>
          <w:rFonts w:hint="eastAsia" w:eastAsia="仿宋_GB2312"/>
          <w:sz w:val="32"/>
          <w:szCs w:val="32"/>
        </w:rPr>
        <w:t>：=1.95元/吨</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，偏差原因：无。根据合同协议污水处理费单价为1.95元/吨，本项目实际支出310万元，无超支情况，项目资金全部完成。</w:t>
      </w:r>
    </w:p>
    <w:p w14:paraId="4D53BA96">
      <w:pPr>
        <w:pStyle w:val="12"/>
        <w:numPr>
          <w:ilvl w:val="0"/>
          <w:numId w:val="5"/>
        </w:numPr>
        <w:spacing w:line="560" w:lineRule="exact"/>
        <w:ind w:firstLine="643" w:firstLineChars="0"/>
        <w:rPr>
          <w:rFonts w:eastAsia="楷体_GB2312"/>
          <w:b/>
          <w:bCs/>
          <w:sz w:val="32"/>
          <w:szCs w:val="32"/>
        </w:rPr>
      </w:pPr>
      <w:r>
        <w:rPr>
          <w:rFonts w:eastAsia="楷体_GB2312"/>
          <w:b/>
          <w:bCs/>
          <w:sz w:val="32"/>
          <w:szCs w:val="32"/>
        </w:rPr>
        <w:t>项目效益情况</w:t>
      </w:r>
    </w:p>
    <w:p w14:paraId="2BF702E9">
      <w:pPr>
        <w:spacing w:line="600" w:lineRule="exact"/>
        <w:ind w:firstLine="640" w:firstLineChars="200"/>
        <w:outlineLvl w:val="0"/>
        <w:rPr>
          <w:rFonts w:eastAsia="仿宋_GB2312"/>
          <w:sz w:val="32"/>
          <w:szCs w:val="32"/>
        </w:rPr>
      </w:pPr>
      <w:r>
        <w:rPr>
          <w:rFonts w:eastAsia="仿宋_GB2312"/>
          <w:sz w:val="32"/>
          <w:szCs w:val="32"/>
        </w:rPr>
        <w:t>项目效益类指标包括项目实施效益和满意度两方面的内容，由</w:t>
      </w:r>
      <w:r>
        <w:rPr>
          <w:rFonts w:hint="eastAsia" w:eastAsia="仿宋_GB2312"/>
          <w:sz w:val="32"/>
          <w:szCs w:val="32"/>
        </w:rPr>
        <w:t>2</w:t>
      </w:r>
      <w:r>
        <w:rPr>
          <w:rFonts w:eastAsia="仿宋_GB2312"/>
          <w:sz w:val="32"/>
          <w:szCs w:val="32"/>
        </w:rPr>
        <w:t>个三级指标构成，权重分为</w:t>
      </w:r>
      <w:r>
        <w:rPr>
          <w:rFonts w:hint="eastAsia" w:eastAsia="仿宋_GB2312"/>
          <w:sz w:val="32"/>
          <w:szCs w:val="32"/>
        </w:rPr>
        <w:t>20</w:t>
      </w:r>
      <w:r>
        <w:rPr>
          <w:rFonts w:eastAsia="仿宋_GB2312"/>
          <w:sz w:val="32"/>
          <w:szCs w:val="32"/>
        </w:rPr>
        <w:t>分，实际得分</w:t>
      </w:r>
      <w:r>
        <w:rPr>
          <w:rFonts w:hint="eastAsia" w:eastAsia="仿宋_GB2312"/>
          <w:sz w:val="32"/>
          <w:szCs w:val="32"/>
        </w:rPr>
        <w:t>20</w:t>
      </w:r>
      <w:r>
        <w:rPr>
          <w:rFonts w:eastAsia="仿宋_GB2312"/>
          <w:sz w:val="32"/>
          <w:szCs w:val="32"/>
        </w:rPr>
        <w:t>分，得分率为</w:t>
      </w:r>
      <w:r>
        <w:rPr>
          <w:rFonts w:hint="eastAsia" w:eastAsia="仿宋_GB2312"/>
          <w:sz w:val="32"/>
          <w:szCs w:val="32"/>
        </w:rPr>
        <w:t>100</w:t>
      </w:r>
      <w:r>
        <w:rPr>
          <w:rFonts w:eastAsia="仿宋_GB2312"/>
          <w:sz w:val="32"/>
          <w:szCs w:val="32"/>
        </w:rPr>
        <w:t>%。具体效益指标及满意度指标完成情况如下：</w:t>
      </w:r>
    </w:p>
    <w:p w14:paraId="61850A2D">
      <w:pPr>
        <w:spacing w:line="600" w:lineRule="exact"/>
        <w:ind w:firstLine="640" w:firstLineChars="200"/>
        <w:outlineLvl w:val="0"/>
        <w:rPr>
          <w:sz w:val="32"/>
          <w:szCs w:val="32"/>
        </w:rPr>
      </w:pPr>
      <w:r>
        <w:rPr>
          <w:rFonts w:hint="eastAsia" w:eastAsia="仿宋_GB2312"/>
          <w:sz w:val="32"/>
          <w:szCs w:val="32"/>
        </w:rPr>
        <w:t>1.</w:t>
      </w:r>
      <w:r>
        <w:rPr>
          <w:rFonts w:eastAsia="仿宋_GB2312"/>
          <w:sz w:val="32"/>
          <w:szCs w:val="32"/>
        </w:rPr>
        <w:t>实施效益</w:t>
      </w:r>
      <w:r>
        <w:rPr>
          <w:rFonts w:hint="eastAsia"/>
        </w:rPr>
        <w:t>。</w:t>
      </w:r>
    </w:p>
    <w:p w14:paraId="088D8A64">
      <w:pPr>
        <w:spacing w:line="600" w:lineRule="exact"/>
        <w:ind w:firstLine="640" w:firstLineChars="200"/>
        <w:outlineLvl w:val="0"/>
        <w:rPr>
          <w:rFonts w:eastAsia="仿宋_GB2312"/>
          <w:sz w:val="32"/>
          <w:szCs w:val="32"/>
        </w:rPr>
      </w:pPr>
      <w:r>
        <w:rPr>
          <w:rFonts w:eastAsia="仿宋_GB2312"/>
          <w:sz w:val="32"/>
          <w:szCs w:val="32"/>
        </w:rPr>
        <w:t>①经济效益指标：</w:t>
      </w:r>
    </w:p>
    <w:p w14:paraId="640AA50A">
      <w:pPr>
        <w:spacing w:line="600" w:lineRule="exact"/>
        <w:ind w:firstLine="640" w:firstLineChars="200"/>
        <w:outlineLvl w:val="0"/>
        <w:rPr>
          <w:rFonts w:eastAsia="仿宋_GB2312"/>
          <w:sz w:val="32"/>
          <w:szCs w:val="32"/>
        </w:rPr>
      </w:pPr>
      <w:bookmarkStart w:id="10" w:name="OLE_LINK8"/>
      <w:r>
        <w:rPr>
          <w:rFonts w:hint="eastAsia" w:eastAsia="仿宋_GB2312"/>
          <w:sz w:val="32"/>
          <w:szCs w:val="32"/>
        </w:rPr>
        <w:t>本项目未设置经济效益指标。</w:t>
      </w:r>
      <w:bookmarkEnd w:id="10"/>
    </w:p>
    <w:p w14:paraId="59787EF3">
      <w:pPr>
        <w:spacing w:line="600" w:lineRule="exact"/>
        <w:ind w:firstLine="640" w:firstLineChars="200"/>
        <w:outlineLvl w:val="0"/>
        <w:rPr>
          <w:rFonts w:eastAsia="仿宋_GB2312"/>
          <w:sz w:val="32"/>
          <w:szCs w:val="32"/>
        </w:rPr>
      </w:pPr>
      <w:r>
        <w:rPr>
          <w:rFonts w:eastAsia="仿宋_GB2312"/>
          <w:sz w:val="32"/>
          <w:szCs w:val="32"/>
        </w:rPr>
        <w:t>②社会效益指标：</w:t>
      </w:r>
    </w:p>
    <w:p w14:paraId="63ADE465">
      <w:pPr>
        <w:spacing w:line="600" w:lineRule="exact"/>
        <w:ind w:firstLine="640" w:firstLineChars="200"/>
        <w:outlineLvl w:val="0"/>
        <w:rPr>
          <w:rFonts w:eastAsia="仿宋_GB2312"/>
          <w:sz w:val="32"/>
          <w:szCs w:val="32"/>
        </w:rPr>
      </w:pPr>
      <w:bookmarkStart w:id="11" w:name="OLE_LINK9"/>
      <w:r>
        <w:rPr>
          <w:rFonts w:eastAsia="仿宋_GB2312"/>
          <w:sz w:val="32"/>
          <w:szCs w:val="32"/>
        </w:rPr>
        <w:t>指标：促进雅山荒山绿化，指标值：显著促进，实际完成值</w:t>
      </w:r>
      <w:r>
        <w:rPr>
          <w:rFonts w:hint="eastAsia" w:eastAsia="仿宋_GB2312"/>
          <w:sz w:val="32"/>
          <w:szCs w:val="32"/>
        </w:rPr>
        <w:t>：完全达到预期</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利于雅玛里克山进行荒山绿化，对城市居民生活杂用水进行处理后浇灌荒山绿化带，生态效益可观。有益于生态功能的恢复，美化自然生态环境，在植物生存繁茂的同时调节了气候，阻隔吸纳了噪音，保持了水土，提供野生动物生活环境。</w:t>
      </w:r>
    </w:p>
    <w:bookmarkEnd w:id="11"/>
    <w:p w14:paraId="257C0A6D">
      <w:pPr>
        <w:spacing w:line="600" w:lineRule="exact"/>
        <w:ind w:firstLine="640" w:firstLineChars="200"/>
        <w:outlineLvl w:val="0"/>
        <w:rPr>
          <w:rFonts w:eastAsia="仿宋_GB2312"/>
          <w:sz w:val="32"/>
          <w:szCs w:val="32"/>
        </w:rPr>
      </w:pPr>
      <w:r>
        <w:rPr>
          <w:rFonts w:eastAsia="仿宋_GB2312"/>
          <w:sz w:val="32"/>
          <w:szCs w:val="32"/>
        </w:rPr>
        <w:t>③生态效益指标：</w:t>
      </w:r>
    </w:p>
    <w:p w14:paraId="5BF2905F">
      <w:pPr>
        <w:spacing w:line="600" w:lineRule="exact"/>
        <w:ind w:firstLine="640" w:firstLineChars="200"/>
        <w:outlineLvl w:val="0"/>
        <w:rPr>
          <w:rFonts w:eastAsia="仿宋_GB2312"/>
          <w:sz w:val="32"/>
          <w:szCs w:val="32"/>
        </w:rPr>
      </w:pPr>
      <w:r>
        <w:rPr>
          <w:rFonts w:hint="eastAsia" w:eastAsia="仿宋_GB2312"/>
          <w:sz w:val="32"/>
          <w:szCs w:val="32"/>
        </w:rPr>
        <w:t>本项目未设置生态效益指标。</w:t>
      </w:r>
    </w:p>
    <w:p w14:paraId="28A781C7">
      <w:pPr>
        <w:spacing w:line="600" w:lineRule="exact"/>
        <w:ind w:firstLine="640" w:firstLineChars="200"/>
        <w:outlineLvl w:val="0"/>
        <w:rPr>
          <w:rFonts w:eastAsia="仿宋_GB2312"/>
          <w:sz w:val="32"/>
          <w:szCs w:val="32"/>
        </w:rPr>
      </w:pPr>
      <w:r>
        <w:rPr>
          <w:rFonts w:eastAsia="仿宋_GB2312"/>
          <w:sz w:val="32"/>
          <w:szCs w:val="32"/>
        </w:rPr>
        <w:t>2.满意度</w:t>
      </w:r>
    </w:p>
    <w:p w14:paraId="0B3588F4">
      <w:pPr>
        <w:spacing w:line="600" w:lineRule="exact"/>
        <w:ind w:firstLine="640" w:firstLineChars="200"/>
        <w:outlineLvl w:val="0"/>
        <w:rPr>
          <w:rFonts w:eastAsia="仿宋_GB2312"/>
          <w:sz w:val="32"/>
          <w:szCs w:val="32"/>
        </w:rPr>
      </w:pPr>
      <w:r>
        <w:rPr>
          <w:rFonts w:eastAsia="仿宋_GB2312"/>
          <w:sz w:val="32"/>
          <w:szCs w:val="32"/>
        </w:rPr>
        <w:t>指标：受益群体满意度，指标值：&gt;=90%，实际完成值</w:t>
      </w:r>
      <w:r>
        <w:rPr>
          <w:rFonts w:hint="eastAsia" w:eastAsia="仿宋_GB2312"/>
          <w:sz w:val="32"/>
          <w:szCs w:val="32"/>
        </w:rPr>
        <w:t>：=90%</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，偏差原因：无。通过设置问卷调查的方式进行考评评价，共计调查样本总量为30个样本，有效调查问卷30份，其中统计“受益群体满意度”的平均值为100%。</w:t>
      </w:r>
    </w:p>
    <w:p w14:paraId="7167F437">
      <w:pPr>
        <w:spacing w:line="560" w:lineRule="exact"/>
        <w:ind w:firstLine="643" w:firstLineChars="200"/>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0CF40A85">
      <w:pPr>
        <w:pStyle w:val="19"/>
        <w:spacing w:line="560" w:lineRule="exact"/>
        <w:ind w:firstLine="640"/>
        <w:rPr>
          <w:rFonts w:eastAsia="方正仿宋_GBK"/>
          <w:sz w:val="32"/>
          <w:szCs w:val="32"/>
        </w:rPr>
      </w:pPr>
      <w:r>
        <w:rPr>
          <w:rFonts w:eastAsia="仿宋_GB2312"/>
          <w:kern w:val="2"/>
          <w:sz w:val="32"/>
          <w:szCs w:val="32"/>
        </w:rPr>
        <w:t>雅山污水处理厂污水处理运行费（污水处理）项目年初预算</w:t>
      </w:r>
      <w:r>
        <w:rPr>
          <w:rFonts w:hint="eastAsia" w:eastAsia="仿宋_GB2312"/>
          <w:kern w:val="2"/>
          <w:sz w:val="32"/>
          <w:szCs w:val="32"/>
        </w:rPr>
        <w:t>310</w:t>
      </w:r>
      <w:r>
        <w:rPr>
          <w:rFonts w:eastAsia="仿宋_GB2312"/>
          <w:kern w:val="2"/>
          <w:sz w:val="32"/>
          <w:szCs w:val="32"/>
        </w:rPr>
        <w:t>万元，全年预算</w:t>
      </w:r>
      <w:r>
        <w:rPr>
          <w:rFonts w:hint="eastAsia" w:eastAsia="仿宋_GB2312"/>
          <w:kern w:val="2"/>
          <w:sz w:val="32"/>
          <w:szCs w:val="32"/>
        </w:rPr>
        <w:t>310</w:t>
      </w:r>
      <w:r>
        <w:rPr>
          <w:rFonts w:eastAsia="仿宋_GB2312"/>
          <w:kern w:val="2"/>
          <w:sz w:val="32"/>
          <w:szCs w:val="32"/>
        </w:rPr>
        <w:t>万元，实际支出</w:t>
      </w:r>
      <w:r>
        <w:rPr>
          <w:rFonts w:hint="eastAsia" w:eastAsia="仿宋_GB2312"/>
          <w:kern w:val="2"/>
          <w:sz w:val="32"/>
          <w:szCs w:val="32"/>
        </w:rPr>
        <w:t>310</w:t>
      </w:r>
      <w:r>
        <w:rPr>
          <w:rFonts w:eastAsia="仿宋_GB2312"/>
          <w:kern w:val="2"/>
          <w:sz w:val="32"/>
          <w:szCs w:val="32"/>
        </w:rPr>
        <w:t>万元，预算执行率为</w:t>
      </w:r>
      <w:r>
        <w:rPr>
          <w:rFonts w:hint="eastAsia" w:eastAsia="仿宋_GB2312"/>
          <w:kern w:val="2"/>
          <w:sz w:val="32"/>
          <w:szCs w:val="32"/>
        </w:rPr>
        <w:t>100</w:t>
      </w:r>
      <w:r>
        <w:rPr>
          <w:rFonts w:eastAsia="仿宋_GB2312"/>
          <w:kern w:val="2"/>
          <w:sz w:val="32"/>
          <w:szCs w:val="32"/>
        </w:rPr>
        <w:t>%，项目绩效指标总体完成率为</w:t>
      </w:r>
      <w:r>
        <w:rPr>
          <w:rFonts w:hint="eastAsia" w:eastAsia="仿宋_GB2312"/>
          <w:kern w:val="2"/>
          <w:sz w:val="32"/>
          <w:szCs w:val="32"/>
        </w:rPr>
        <w:t>100</w:t>
      </w:r>
      <w:r>
        <w:rPr>
          <w:rFonts w:eastAsia="仿宋_GB2312"/>
          <w:kern w:val="2"/>
          <w:sz w:val="32"/>
          <w:szCs w:val="32"/>
        </w:rPr>
        <w:t>%。</w:t>
      </w:r>
    </w:p>
    <w:p w14:paraId="02125A12">
      <w:pPr>
        <w:spacing w:line="560" w:lineRule="exact"/>
        <w:ind w:firstLine="640" w:firstLineChars="200"/>
        <w:rPr>
          <w:rStyle w:val="18"/>
          <w:rFonts w:ascii="Times New Roman" w:hAnsi="Times New Roman" w:cs="Times New Roman"/>
          <w:color w:val="auto"/>
        </w:rPr>
      </w:pPr>
      <w:r>
        <w:rPr>
          <w:rFonts w:hint="eastAsia" w:eastAsia="黑体"/>
          <w:sz w:val="32"/>
          <w:szCs w:val="32"/>
        </w:rPr>
        <w:t>五、</w:t>
      </w:r>
      <w:r>
        <w:rPr>
          <w:rFonts w:eastAsia="黑体"/>
          <w:sz w:val="32"/>
          <w:szCs w:val="32"/>
        </w:rPr>
        <w:t>主要经验及做法、存在的问题及原因分析</w:t>
      </w:r>
    </w:p>
    <w:p w14:paraId="7184BB85">
      <w:pPr>
        <w:spacing w:line="560" w:lineRule="exact"/>
        <w:ind w:firstLine="627" w:firstLineChars="200"/>
        <w:rPr>
          <w:rFonts w:eastAsia="楷体"/>
          <w:b/>
          <w:spacing w:val="-4"/>
          <w:sz w:val="32"/>
          <w:szCs w:val="32"/>
        </w:rPr>
      </w:pPr>
      <w:r>
        <w:rPr>
          <w:rFonts w:eastAsia="楷体"/>
          <w:b/>
          <w:spacing w:val="-4"/>
          <w:sz w:val="32"/>
          <w:szCs w:val="32"/>
        </w:rPr>
        <w:t>（一）主要经验及做法</w:t>
      </w:r>
    </w:p>
    <w:p w14:paraId="0C9EEB3C">
      <w:pPr>
        <w:spacing w:line="560" w:lineRule="exact"/>
        <w:ind w:firstLine="640" w:firstLineChars="20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267AFD73">
      <w:pPr>
        <w:pStyle w:val="10"/>
        <w:spacing w:before="0" w:after="0" w:line="560" w:lineRule="exact"/>
        <w:ind w:firstLine="640" w:firstLineChars="200"/>
        <w:jc w:val="left"/>
        <w:rPr>
          <w:rFonts w:ascii="Times New Roman" w:hAnsi="Times New Roman" w:eastAsia="仿宋_GB2312"/>
          <w:b w:val="0"/>
          <w:bCs w:val="0"/>
          <w:kern w:val="2"/>
        </w:rPr>
      </w:pPr>
      <w:r>
        <w:rPr>
          <w:rFonts w:ascii="Times New Roman" w:hAnsi="Times New Roman" w:eastAsia="仿宋_GB2312"/>
          <w:b w:val="0"/>
          <w:bCs w:val="0"/>
          <w:kern w:val="2"/>
        </w:rPr>
        <w:t>严格坚持先做事、后验收、再拨付的原则，</w:t>
      </w:r>
      <w:r>
        <w:rPr>
          <w:rFonts w:hint="eastAsia" w:ascii="Times New Roman" w:hAnsi="Times New Roman" w:eastAsia="仿宋_GB2312"/>
          <w:b w:val="0"/>
          <w:bCs w:val="0"/>
          <w:kern w:val="2"/>
        </w:rPr>
        <w:t>杜绝</w:t>
      </w:r>
      <w:r>
        <w:rPr>
          <w:rFonts w:ascii="Times New Roman" w:hAnsi="Times New Roman" w:eastAsia="仿宋_GB2312"/>
          <w:b w:val="0"/>
          <w:bCs w:val="0"/>
          <w:kern w:val="2"/>
        </w:rPr>
        <w:t>了资金被挤占和挪用现象的发生，跟踪检查到位。</w:t>
      </w:r>
      <w:r>
        <w:rPr>
          <w:rFonts w:hint="eastAsia" w:ascii="Times New Roman" w:hAnsi="Times New Roman" w:eastAsia="仿宋_GB2312"/>
          <w:b w:val="0"/>
          <w:bCs w:val="0"/>
          <w:kern w:val="2"/>
        </w:rPr>
        <w:t>对</w:t>
      </w:r>
      <w:r>
        <w:rPr>
          <w:rFonts w:ascii="Times New Roman" w:hAnsi="Times New Roman" w:eastAsia="仿宋_GB2312"/>
          <w:b w:val="0"/>
          <w:bCs w:val="0"/>
          <w:kern w:val="2"/>
        </w:rPr>
        <w:t>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00B744FE">
      <w:pPr>
        <w:keepNext/>
        <w:keepLines/>
        <w:numPr>
          <w:ilvl w:val="0"/>
          <w:numId w:val="6"/>
        </w:numPr>
        <w:spacing w:line="560" w:lineRule="exact"/>
        <w:ind w:firstLine="643" w:firstLineChars="200"/>
        <w:rPr>
          <w:rFonts w:eastAsia="楷体_GB2312"/>
          <w:b/>
          <w:bCs/>
          <w:sz w:val="32"/>
          <w:szCs w:val="32"/>
        </w:rPr>
      </w:pPr>
      <w:r>
        <w:rPr>
          <w:rFonts w:eastAsia="楷体_GB2312"/>
          <w:b/>
          <w:bCs/>
          <w:sz w:val="32"/>
          <w:szCs w:val="32"/>
        </w:rPr>
        <w:t>存在的问题及原因分析</w:t>
      </w:r>
    </w:p>
    <w:p w14:paraId="5FCC0DA9">
      <w:pPr>
        <w:spacing w:line="600" w:lineRule="exact"/>
        <w:ind w:firstLine="640" w:firstLineChars="200"/>
        <w:outlineLvl w:val="0"/>
        <w:rPr>
          <w:rFonts w:eastAsia="仿宋_GB2312"/>
          <w:sz w:val="32"/>
          <w:szCs w:val="32"/>
        </w:rPr>
      </w:pPr>
      <w:r>
        <w:rPr>
          <w:rFonts w:eastAsia="仿宋_GB2312"/>
          <w:sz w:val="32"/>
          <w:szCs w:val="32"/>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2648CA21">
      <w:pPr>
        <w:spacing w:line="560" w:lineRule="exact"/>
        <w:ind w:firstLine="640" w:firstLineChars="200"/>
        <w:rPr>
          <w:rFonts w:eastAsia="黑体"/>
          <w:sz w:val="32"/>
          <w:szCs w:val="32"/>
        </w:rPr>
      </w:pPr>
      <w:r>
        <w:rPr>
          <w:rFonts w:hint="eastAsia" w:eastAsia="黑体"/>
          <w:sz w:val="32"/>
          <w:szCs w:val="32"/>
        </w:rPr>
        <w:t>六、</w:t>
      </w:r>
      <w:r>
        <w:rPr>
          <w:rFonts w:eastAsia="黑体"/>
          <w:sz w:val="32"/>
          <w:szCs w:val="32"/>
        </w:rPr>
        <w:t>有关建议</w:t>
      </w:r>
    </w:p>
    <w:p w14:paraId="2EE2DA46">
      <w:pPr>
        <w:spacing w:line="600" w:lineRule="exact"/>
        <w:ind w:firstLine="640" w:firstLineChars="200"/>
        <w:outlineLvl w:val="0"/>
        <w:rPr>
          <w:rFonts w:eastAsia="仿宋_GB2312"/>
          <w:sz w:val="32"/>
          <w:szCs w:val="32"/>
        </w:rPr>
      </w:pPr>
      <w:r>
        <w:rPr>
          <w:rFonts w:eastAsia="仿宋_GB2312"/>
          <w:sz w:val="32"/>
          <w:szCs w:val="32"/>
        </w:rPr>
        <w:t>1.多进行有关绩效管理工作方面的培训。积极组织第三方开展绩效管理工作培训，进一步夯实业务基础，提高我单位绩效人员水平。</w:t>
      </w:r>
    </w:p>
    <w:p w14:paraId="7BAB6C93">
      <w:pPr>
        <w:spacing w:line="600" w:lineRule="exact"/>
        <w:ind w:firstLine="640" w:firstLineChars="200"/>
        <w:outlineLvl w:val="0"/>
        <w:rPr>
          <w:rFonts w:eastAsia="仿宋_GB2312"/>
          <w:sz w:val="32"/>
          <w:szCs w:val="32"/>
        </w:rPr>
      </w:pPr>
      <w:r>
        <w:rPr>
          <w:rFonts w:eastAsia="仿宋_GB2312"/>
          <w:sz w:val="32"/>
          <w:szCs w:val="32"/>
        </w:rPr>
        <w:t>2.专门设定对绩效工作人员定职、定岗、定责等相关制度措施，进一步提升我单位绩效管理工作业务水平，扎实做好绩效管理工作。</w:t>
      </w:r>
    </w:p>
    <w:p w14:paraId="77D08D75">
      <w:pPr>
        <w:spacing w:line="600" w:lineRule="exact"/>
        <w:ind w:firstLine="640" w:firstLineChars="200"/>
        <w:outlineLvl w:val="0"/>
        <w:rPr>
          <w:rFonts w:eastAsia="仿宋_GB2312"/>
          <w:sz w:val="32"/>
          <w:szCs w:val="32"/>
        </w:rPr>
      </w:pPr>
      <w:r>
        <w:rPr>
          <w:rFonts w:eastAsia="仿宋_GB2312"/>
          <w:sz w:val="32"/>
          <w:szCs w:val="32"/>
        </w:rPr>
        <w:t>3.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14:paraId="5A31F06B">
      <w:pPr>
        <w:spacing w:line="600" w:lineRule="exact"/>
        <w:ind w:firstLine="640" w:firstLineChars="200"/>
        <w:outlineLvl w:val="0"/>
        <w:rPr>
          <w:sz w:val="22"/>
          <w:szCs w:val="28"/>
        </w:rPr>
      </w:pPr>
      <w:r>
        <w:rPr>
          <w:rFonts w:eastAsia="仿宋_GB2312"/>
          <w:sz w:val="32"/>
          <w:szCs w:val="32"/>
        </w:rPr>
        <w:t>4.进一步完善项目评价过程中有关数据和资料的收集、整理、审核及分析。项目启动时同步做好档案的归纳与整理，及时整理、收集、汇总，健全档案资料。项目后续管理有待进一步加强和跟踪</w:t>
      </w:r>
      <w:r>
        <w:rPr>
          <w:rFonts w:eastAsia="仿宋_GB2312"/>
          <w:sz w:val="36"/>
          <w:szCs w:val="32"/>
        </w:rPr>
        <w:t>。</w:t>
      </w:r>
    </w:p>
    <w:p w14:paraId="71E8EA53">
      <w:pPr>
        <w:spacing w:line="560" w:lineRule="exact"/>
        <w:ind w:firstLine="640" w:firstLineChars="200"/>
        <w:rPr>
          <w:rFonts w:eastAsia="黑体"/>
          <w:sz w:val="32"/>
          <w:szCs w:val="32"/>
        </w:rPr>
      </w:pPr>
      <w:r>
        <w:rPr>
          <w:rFonts w:hint="eastAsia" w:eastAsia="黑体"/>
          <w:sz w:val="32"/>
          <w:szCs w:val="32"/>
        </w:rPr>
        <w:t>七、</w:t>
      </w:r>
      <w:r>
        <w:rPr>
          <w:rFonts w:eastAsia="黑体"/>
          <w:sz w:val="32"/>
          <w:szCs w:val="32"/>
        </w:rPr>
        <w:t>其他需要说</w:t>
      </w:r>
      <w:bookmarkStart w:id="12" w:name="page8"/>
      <w:bookmarkEnd w:id="12"/>
      <w:r>
        <w:rPr>
          <w:rFonts w:eastAsia="黑体"/>
          <w:sz w:val="32"/>
          <w:szCs w:val="32"/>
        </w:rPr>
        <w:t>明的问题</w:t>
      </w:r>
    </w:p>
    <w:p w14:paraId="15AE956C">
      <w:pPr>
        <w:pStyle w:val="13"/>
        <w:spacing w:after="0" w:line="560" w:lineRule="exact"/>
        <w:ind w:left="0" w:leftChars="0" w:firstLine="640"/>
        <w:rPr>
          <w:rFonts w:ascii="Times New Roman" w:hAnsi="Times New Roman" w:eastAsia="仿宋_GB2312"/>
          <w:sz w:val="32"/>
          <w:szCs w:val="32"/>
        </w:rPr>
      </w:pPr>
      <w:r>
        <w:rPr>
          <w:rFonts w:hint="eastAsia" w:ascii="Times New Roman" w:hAnsi="Times New Roman" w:eastAsia="仿宋_GB2312"/>
          <w:sz w:val="32"/>
          <w:szCs w:val="32"/>
        </w:rPr>
        <w:t>1.项目支出政策和路径设计科学，符合实际需要；</w:t>
      </w:r>
    </w:p>
    <w:p w14:paraId="419F68DD">
      <w:pPr>
        <w:pStyle w:val="13"/>
        <w:spacing w:after="0" w:line="560" w:lineRule="exact"/>
        <w:ind w:left="0" w:leftChars="0" w:firstLine="640"/>
        <w:rPr>
          <w:rFonts w:ascii="Times New Roman" w:hAnsi="Times New Roman" w:eastAsia="仿宋_GB2312"/>
          <w:sz w:val="32"/>
          <w:szCs w:val="32"/>
        </w:rPr>
      </w:pPr>
      <w:r>
        <w:rPr>
          <w:rFonts w:hint="eastAsia" w:ascii="Times New Roman" w:hAnsi="Times New Roman" w:eastAsia="仿宋_GB2312"/>
          <w:sz w:val="32"/>
          <w:szCs w:val="32"/>
        </w:rPr>
        <w:t>2.项目安排准确，未发现背离项目立项初衷的情况；</w:t>
      </w:r>
    </w:p>
    <w:p w14:paraId="37F1ABE4">
      <w:pPr>
        <w:pStyle w:val="13"/>
        <w:spacing w:after="0" w:line="560" w:lineRule="exact"/>
        <w:ind w:left="0" w:leftChars="0" w:firstLine="640"/>
        <w:rPr>
          <w:rFonts w:ascii="Times New Roman" w:hAnsi="Times New Roman" w:eastAsia="仿宋_GB2312"/>
          <w:sz w:val="32"/>
          <w:szCs w:val="32"/>
        </w:rPr>
      </w:pPr>
      <w:r>
        <w:rPr>
          <w:rFonts w:hint="eastAsia" w:ascii="Times New Roman" w:hAnsi="Times New Roman" w:eastAsia="仿宋_GB2312"/>
          <w:sz w:val="32"/>
          <w:szCs w:val="32"/>
        </w:rPr>
        <w:t>3.项目的申报、审核机制完善；</w:t>
      </w:r>
    </w:p>
    <w:p w14:paraId="30CE09D2">
      <w:pPr>
        <w:pStyle w:val="13"/>
        <w:spacing w:after="0" w:line="560" w:lineRule="exact"/>
        <w:ind w:left="0" w:leftChars="0" w:firstLine="640"/>
        <w:rPr>
          <w:rFonts w:ascii="Times New Roman" w:hAnsi="Times New Roman" w:eastAsia="仿宋_GB2312"/>
          <w:sz w:val="32"/>
          <w:szCs w:val="32"/>
        </w:rPr>
      </w:pPr>
      <w:r>
        <w:rPr>
          <w:rFonts w:hint="eastAsia" w:ascii="Times New Roman" w:hAnsi="Times New Roman" w:eastAsia="仿宋_GB2312"/>
          <w:sz w:val="32"/>
          <w:szCs w:val="32"/>
        </w:rPr>
        <w:t>4.未发现虚假行为和骗取财政资金的问题。</w:t>
      </w:r>
    </w:p>
    <w:p w14:paraId="727B0AA2">
      <w:pPr>
        <w:pStyle w:val="13"/>
        <w:spacing w:after="0" w:line="560" w:lineRule="exact"/>
        <w:ind w:left="0" w:leftChars="0" w:firstLine="0" w:firstLineChars="0"/>
        <w:rPr>
          <w:rFonts w:ascii="Times New Roman" w:hAnsi="Times New Roman" w:eastAsia="仿宋_GB2312"/>
          <w:sz w:val="32"/>
          <w:szCs w:val="32"/>
        </w:rPr>
      </w:pPr>
    </w:p>
    <w:p w14:paraId="50D064C2">
      <w:pPr>
        <w:pStyle w:val="13"/>
        <w:spacing w:after="0" w:line="560" w:lineRule="exact"/>
        <w:ind w:firstLine="640"/>
        <w:rPr>
          <w:rFonts w:ascii="Times New Roman" w:hAnsi="Times New Roman" w:eastAsia="仿宋_GB2312"/>
          <w:sz w:val="32"/>
          <w:szCs w:val="32"/>
        </w:rPr>
      </w:pPr>
    </w:p>
    <w:p w14:paraId="61B5480A">
      <w:pPr>
        <w:pStyle w:val="13"/>
        <w:spacing w:after="0" w:line="560" w:lineRule="exact"/>
        <w:ind w:left="0" w:leftChars="0" w:firstLine="640"/>
        <w:rPr>
          <w:rFonts w:ascii="Times New Roman" w:hAnsi="Times New Roman" w:eastAsia="仿宋_GB2312"/>
          <w:sz w:val="32"/>
          <w:szCs w:val="32"/>
        </w:rPr>
      </w:pPr>
    </w:p>
    <w:p w14:paraId="32BD864B">
      <w:pPr>
        <w:pStyle w:val="13"/>
        <w:spacing w:after="0" w:line="560" w:lineRule="exact"/>
        <w:ind w:left="0" w:leftChars="0" w:firstLine="0" w:firstLineChars="0"/>
        <w:rPr>
          <w:rFonts w:ascii="Times New Roman" w:hAnsi="Times New Roman" w:eastAsia="仿宋_GB2312"/>
          <w:sz w:val="32"/>
          <w:szCs w:val="32"/>
        </w:rPr>
      </w:pPr>
    </w:p>
    <w:p w14:paraId="44E4AAD9">
      <w:pPr>
        <w:spacing w:line="600" w:lineRule="exact"/>
        <w:rPr>
          <w:rFonts w:eastAsia="黑体"/>
          <w:sz w:val="32"/>
          <w:szCs w:val="32"/>
        </w:rPr>
        <w:sectPr>
          <w:footerReference r:id="rId3" w:type="default"/>
          <w:pgSz w:w="11906" w:h="16838"/>
          <w:pgMar w:top="1440" w:right="1558" w:bottom="1440" w:left="1800" w:header="851" w:footer="992" w:gutter="0"/>
          <w:pgNumType w:start="1"/>
          <w:cols w:space="425" w:num="1"/>
          <w:docGrid w:type="lines" w:linePitch="312" w:charSpace="0"/>
        </w:sectPr>
      </w:pPr>
    </w:p>
    <w:p w14:paraId="67096866">
      <w:pPr>
        <w:spacing w:line="600" w:lineRule="exact"/>
        <w:rPr>
          <w:rFonts w:eastAsia="黑体"/>
          <w:sz w:val="32"/>
          <w:szCs w:val="32"/>
        </w:rPr>
      </w:pPr>
      <w:r>
        <w:rPr>
          <w:rFonts w:hint="eastAsia" w:eastAsia="黑体"/>
          <w:sz w:val="32"/>
          <w:szCs w:val="32"/>
        </w:rPr>
        <w:t>附件1</w:t>
      </w:r>
    </w:p>
    <w:p w14:paraId="172A814F">
      <w:pPr>
        <w:pStyle w:val="19"/>
        <w:ind w:firstLine="562"/>
        <w:jc w:val="center"/>
        <w:rPr>
          <w:rFonts w:hint="eastAsia" w:ascii="仿宋_GB2312" w:hAnsi="仿宋_GB2312" w:eastAsia="仿宋_GB2312" w:cs="仿宋_GB2312"/>
          <w:sz w:val="28"/>
          <w:szCs w:val="40"/>
        </w:rPr>
      </w:pPr>
      <w:bookmarkStart w:id="13" w:name="_Toc26499_WPSOffice_Level2"/>
      <w:bookmarkStart w:id="14" w:name="_Toc30064_WPSOffice_Level1"/>
      <w:r>
        <w:rPr>
          <w:rFonts w:hint="eastAsia" w:ascii="仿宋_GB2312" w:hAnsi="仿宋_GB2312" w:eastAsia="仿宋_GB2312" w:cs="仿宋_GB2312"/>
          <w:b/>
          <w:bCs/>
          <w:sz w:val="28"/>
          <w:szCs w:val="40"/>
        </w:rPr>
        <w:t>雅山污水处理厂污水处理运行费（污水处理）项目绩效评价指标体系及综合评分表</w:t>
      </w:r>
      <w:bookmarkEnd w:id="13"/>
      <w:bookmarkEnd w:id="14"/>
    </w:p>
    <w:tbl>
      <w:tblPr>
        <w:tblStyle w:val="14"/>
        <w:tblW w:w="1268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01"/>
        <w:gridCol w:w="1000"/>
        <w:gridCol w:w="1071"/>
        <w:gridCol w:w="1724"/>
        <w:gridCol w:w="5219"/>
        <w:gridCol w:w="1304"/>
        <w:gridCol w:w="1364"/>
      </w:tblGrid>
      <w:tr w14:paraId="777FF1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2" w:hRule="atLeast"/>
          <w:tblHeader/>
          <w:jc w:val="center"/>
        </w:trPr>
        <w:tc>
          <w:tcPr>
            <w:tcW w:w="1002" w:type="dxa"/>
            <w:shd w:val="clear" w:color="auto" w:fill="FFFFFF"/>
            <w:vAlign w:val="center"/>
          </w:tcPr>
          <w:p w14:paraId="335FBABA">
            <w:pPr>
              <w:widowControl/>
              <w:spacing w:line="0" w:lineRule="atLeast"/>
              <w:jc w:val="center"/>
              <w:rPr>
                <w:rFonts w:eastAsia="仿宋_GB2312"/>
                <w:b/>
                <w:bCs/>
                <w:kern w:val="0"/>
                <w:sz w:val="18"/>
                <w:szCs w:val="18"/>
              </w:rPr>
            </w:pPr>
            <w:r>
              <w:rPr>
                <w:rFonts w:eastAsia="仿宋_GB2312"/>
                <w:b/>
                <w:bCs/>
                <w:kern w:val="0"/>
                <w:sz w:val="18"/>
                <w:szCs w:val="18"/>
              </w:rPr>
              <w:t>一级指标</w:t>
            </w:r>
          </w:p>
        </w:tc>
        <w:tc>
          <w:tcPr>
            <w:tcW w:w="1000" w:type="dxa"/>
            <w:shd w:val="clear" w:color="auto" w:fill="FFFFFF"/>
            <w:vAlign w:val="center"/>
          </w:tcPr>
          <w:p w14:paraId="321F43B8">
            <w:pPr>
              <w:widowControl/>
              <w:spacing w:line="0" w:lineRule="atLeast"/>
              <w:jc w:val="center"/>
              <w:rPr>
                <w:rFonts w:eastAsia="仿宋_GB2312"/>
                <w:b/>
                <w:bCs/>
                <w:kern w:val="0"/>
                <w:sz w:val="18"/>
                <w:szCs w:val="18"/>
              </w:rPr>
            </w:pPr>
            <w:r>
              <w:rPr>
                <w:rFonts w:eastAsia="仿宋_GB2312"/>
                <w:b/>
                <w:bCs/>
                <w:kern w:val="0"/>
                <w:sz w:val="18"/>
                <w:szCs w:val="18"/>
              </w:rPr>
              <w:t>二级指标</w:t>
            </w:r>
          </w:p>
        </w:tc>
        <w:tc>
          <w:tcPr>
            <w:tcW w:w="1071" w:type="dxa"/>
            <w:shd w:val="clear" w:color="auto" w:fill="FFFFFF"/>
            <w:vAlign w:val="center"/>
          </w:tcPr>
          <w:p w14:paraId="3D8D9240">
            <w:pPr>
              <w:widowControl/>
              <w:spacing w:line="0" w:lineRule="atLeast"/>
              <w:jc w:val="center"/>
              <w:rPr>
                <w:rFonts w:eastAsia="仿宋_GB2312"/>
                <w:b/>
                <w:bCs/>
                <w:kern w:val="0"/>
                <w:sz w:val="18"/>
                <w:szCs w:val="18"/>
              </w:rPr>
            </w:pPr>
            <w:r>
              <w:rPr>
                <w:rFonts w:eastAsia="仿宋_GB2312"/>
                <w:b/>
                <w:bCs/>
                <w:kern w:val="0"/>
                <w:sz w:val="18"/>
                <w:szCs w:val="18"/>
              </w:rPr>
              <w:t>三级指标</w:t>
            </w:r>
          </w:p>
        </w:tc>
        <w:tc>
          <w:tcPr>
            <w:tcW w:w="1725" w:type="dxa"/>
            <w:shd w:val="clear" w:color="auto" w:fill="FFFFFF"/>
            <w:vAlign w:val="center"/>
          </w:tcPr>
          <w:p w14:paraId="6255D09C">
            <w:pPr>
              <w:widowControl/>
              <w:spacing w:line="0" w:lineRule="atLeast"/>
              <w:jc w:val="center"/>
              <w:rPr>
                <w:rFonts w:eastAsia="仿宋_GB2312"/>
                <w:b/>
                <w:bCs/>
                <w:kern w:val="0"/>
                <w:sz w:val="18"/>
                <w:szCs w:val="18"/>
              </w:rPr>
            </w:pPr>
            <w:r>
              <w:rPr>
                <w:rFonts w:eastAsia="仿宋_GB2312"/>
                <w:b/>
                <w:bCs/>
                <w:kern w:val="0"/>
                <w:sz w:val="18"/>
                <w:szCs w:val="18"/>
              </w:rPr>
              <w:t>指标解释</w:t>
            </w:r>
          </w:p>
        </w:tc>
        <w:tc>
          <w:tcPr>
            <w:tcW w:w="5216" w:type="dxa"/>
            <w:shd w:val="clear" w:color="auto" w:fill="FFFFFF"/>
            <w:vAlign w:val="center"/>
          </w:tcPr>
          <w:p w14:paraId="29C2B0AE">
            <w:pPr>
              <w:widowControl/>
              <w:spacing w:line="0" w:lineRule="atLeast"/>
              <w:jc w:val="center"/>
              <w:rPr>
                <w:rFonts w:eastAsia="仿宋_GB2312"/>
                <w:b/>
                <w:bCs/>
                <w:kern w:val="0"/>
                <w:sz w:val="18"/>
                <w:szCs w:val="18"/>
              </w:rPr>
            </w:pPr>
            <w:r>
              <w:rPr>
                <w:rFonts w:eastAsia="仿宋_GB2312"/>
                <w:b/>
                <w:bCs/>
                <w:kern w:val="0"/>
                <w:sz w:val="18"/>
                <w:szCs w:val="18"/>
              </w:rPr>
              <w:t>指标说明</w:t>
            </w:r>
          </w:p>
        </w:tc>
        <w:tc>
          <w:tcPr>
            <w:tcW w:w="1304" w:type="dxa"/>
            <w:shd w:val="clear" w:color="auto" w:fill="FFFFFF"/>
            <w:vAlign w:val="center"/>
          </w:tcPr>
          <w:p w14:paraId="33045B99">
            <w:pPr>
              <w:widowControl/>
              <w:spacing w:line="0" w:lineRule="atLeast"/>
              <w:jc w:val="center"/>
              <w:rPr>
                <w:rFonts w:eastAsia="仿宋_GB2312"/>
                <w:b/>
                <w:bCs/>
                <w:kern w:val="0"/>
                <w:sz w:val="18"/>
                <w:szCs w:val="18"/>
              </w:rPr>
            </w:pPr>
            <w:r>
              <w:rPr>
                <w:rFonts w:eastAsia="仿宋_GB2312"/>
                <w:b/>
                <w:bCs/>
                <w:kern w:val="0"/>
                <w:sz w:val="18"/>
                <w:szCs w:val="18"/>
              </w:rPr>
              <w:t>权重</w:t>
            </w:r>
          </w:p>
        </w:tc>
        <w:tc>
          <w:tcPr>
            <w:tcW w:w="1365" w:type="dxa"/>
            <w:shd w:val="clear" w:color="auto" w:fill="FFFFFF"/>
            <w:vAlign w:val="center"/>
          </w:tcPr>
          <w:p w14:paraId="0BC3497E">
            <w:pPr>
              <w:widowControl/>
              <w:spacing w:line="0" w:lineRule="atLeast"/>
              <w:jc w:val="center"/>
              <w:rPr>
                <w:rFonts w:eastAsia="仿宋_GB2312"/>
                <w:b/>
                <w:bCs/>
                <w:kern w:val="0"/>
                <w:sz w:val="18"/>
                <w:szCs w:val="18"/>
              </w:rPr>
            </w:pPr>
            <w:r>
              <w:rPr>
                <w:rFonts w:eastAsia="仿宋_GB2312"/>
                <w:b/>
                <w:bCs/>
                <w:kern w:val="0"/>
                <w:sz w:val="18"/>
                <w:szCs w:val="18"/>
              </w:rPr>
              <w:t>得分</w:t>
            </w:r>
          </w:p>
        </w:tc>
      </w:tr>
      <w:tr w14:paraId="01815C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1002" w:type="dxa"/>
            <w:vMerge w:val="restart"/>
            <w:shd w:val="clear" w:color="auto" w:fill="FFFFFF"/>
            <w:vAlign w:val="center"/>
          </w:tcPr>
          <w:p w14:paraId="267CCE06">
            <w:pPr>
              <w:widowControl/>
              <w:spacing w:line="0" w:lineRule="atLeast"/>
              <w:jc w:val="center"/>
              <w:rPr>
                <w:rFonts w:eastAsia="仿宋_GB2312"/>
                <w:kern w:val="0"/>
                <w:sz w:val="18"/>
                <w:szCs w:val="18"/>
              </w:rPr>
            </w:pPr>
          </w:p>
          <w:p w14:paraId="7221D2C4">
            <w:pPr>
              <w:widowControl/>
              <w:spacing w:line="0" w:lineRule="atLeast"/>
              <w:jc w:val="center"/>
              <w:rPr>
                <w:rFonts w:eastAsia="仿宋_GB2312"/>
                <w:kern w:val="0"/>
                <w:sz w:val="18"/>
                <w:szCs w:val="18"/>
              </w:rPr>
            </w:pPr>
          </w:p>
          <w:p w14:paraId="5DDA024E">
            <w:pPr>
              <w:widowControl/>
              <w:spacing w:line="0" w:lineRule="atLeast"/>
              <w:jc w:val="center"/>
              <w:rPr>
                <w:rFonts w:eastAsia="仿宋_GB2312"/>
                <w:kern w:val="0"/>
                <w:sz w:val="18"/>
                <w:szCs w:val="18"/>
              </w:rPr>
            </w:pPr>
          </w:p>
          <w:p w14:paraId="43519232">
            <w:pPr>
              <w:widowControl/>
              <w:spacing w:line="0" w:lineRule="atLeast"/>
              <w:jc w:val="center"/>
              <w:rPr>
                <w:rFonts w:eastAsia="仿宋_GB2312"/>
                <w:kern w:val="0"/>
                <w:sz w:val="18"/>
                <w:szCs w:val="18"/>
              </w:rPr>
            </w:pPr>
          </w:p>
          <w:p w14:paraId="5796155D">
            <w:pPr>
              <w:widowControl/>
              <w:spacing w:line="0" w:lineRule="atLeast"/>
              <w:jc w:val="center"/>
              <w:rPr>
                <w:rFonts w:eastAsia="仿宋_GB2312"/>
                <w:kern w:val="0"/>
                <w:sz w:val="18"/>
                <w:szCs w:val="18"/>
              </w:rPr>
            </w:pPr>
          </w:p>
          <w:p w14:paraId="3229CBFB">
            <w:pPr>
              <w:widowControl/>
              <w:spacing w:line="0" w:lineRule="atLeast"/>
              <w:jc w:val="center"/>
              <w:rPr>
                <w:rFonts w:eastAsia="仿宋_GB2312"/>
                <w:kern w:val="0"/>
                <w:sz w:val="18"/>
                <w:szCs w:val="18"/>
              </w:rPr>
            </w:pPr>
          </w:p>
          <w:p w14:paraId="0E136E7C">
            <w:pPr>
              <w:widowControl/>
              <w:spacing w:line="0" w:lineRule="atLeast"/>
              <w:jc w:val="center"/>
              <w:rPr>
                <w:rFonts w:eastAsia="仿宋_GB2312"/>
                <w:kern w:val="0"/>
                <w:sz w:val="18"/>
                <w:szCs w:val="18"/>
              </w:rPr>
            </w:pPr>
          </w:p>
          <w:p w14:paraId="4DF92019">
            <w:pPr>
              <w:widowControl/>
              <w:spacing w:line="0" w:lineRule="atLeast"/>
              <w:jc w:val="center"/>
              <w:rPr>
                <w:rFonts w:eastAsia="仿宋_GB2312"/>
                <w:kern w:val="0"/>
                <w:sz w:val="18"/>
                <w:szCs w:val="18"/>
              </w:rPr>
            </w:pPr>
          </w:p>
          <w:p w14:paraId="777D3B42">
            <w:pPr>
              <w:widowControl/>
              <w:spacing w:line="0" w:lineRule="atLeast"/>
              <w:jc w:val="center"/>
              <w:rPr>
                <w:rFonts w:eastAsia="仿宋_GB2312"/>
                <w:kern w:val="0"/>
                <w:sz w:val="18"/>
                <w:szCs w:val="18"/>
              </w:rPr>
            </w:pPr>
          </w:p>
          <w:p w14:paraId="14950DB0">
            <w:pPr>
              <w:widowControl/>
              <w:spacing w:line="0" w:lineRule="atLeast"/>
              <w:jc w:val="center"/>
              <w:rPr>
                <w:rFonts w:eastAsia="仿宋_GB2312"/>
                <w:kern w:val="0"/>
                <w:sz w:val="18"/>
                <w:szCs w:val="18"/>
              </w:rPr>
            </w:pPr>
            <w:r>
              <w:rPr>
                <w:rFonts w:hint="eastAsia" w:eastAsia="仿宋_GB2312"/>
                <w:kern w:val="0"/>
                <w:sz w:val="18"/>
                <w:szCs w:val="18"/>
              </w:rPr>
              <w:t>决策</w:t>
            </w:r>
          </w:p>
          <w:p w14:paraId="3A4EDB2C">
            <w:pPr>
              <w:widowControl/>
              <w:spacing w:line="0" w:lineRule="atLeast"/>
              <w:jc w:val="center"/>
              <w:rPr>
                <w:rFonts w:eastAsia="仿宋_GB2312"/>
                <w:kern w:val="0"/>
                <w:sz w:val="18"/>
                <w:szCs w:val="18"/>
              </w:rPr>
            </w:pPr>
          </w:p>
          <w:p w14:paraId="1C858EEF">
            <w:pPr>
              <w:widowControl/>
              <w:spacing w:line="0" w:lineRule="atLeast"/>
              <w:jc w:val="center"/>
              <w:rPr>
                <w:rFonts w:eastAsia="仿宋_GB2312"/>
                <w:kern w:val="0"/>
                <w:sz w:val="18"/>
                <w:szCs w:val="18"/>
              </w:rPr>
            </w:pPr>
          </w:p>
          <w:p w14:paraId="54BE908D">
            <w:pPr>
              <w:widowControl/>
              <w:spacing w:line="0" w:lineRule="atLeast"/>
              <w:jc w:val="center"/>
              <w:rPr>
                <w:rFonts w:eastAsia="仿宋_GB2312"/>
                <w:kern w:val="0"/>
                <w:sz w:val="18"/>
                <w:szCs w:val="18"/>
              </w:rPr>
            </w:pPr>
          </w:p>
          <w:p w14:paraId="3BF84446">
            <w:pPr>
              <w:widowControl/>
              <w:spacing w:line="0" w:lineRule="atLeast"/>
              <w:jc w:val="center"/>
              <w:rPr>
                <w:rFonts w:eastAsia="仿宋_GB2312"/>
                <w:kern w:val="0"/>
                <w:sz w:val="18"/>
                <w:szCs w:val="18"/>
              </w:rPr>
            </w:pPr>
          </w:p>
          <w:p w14:paraId="0DF84923">
            <w:pPr>
              <w:widowControl/>
              <w:spacing w:line="0" w:lineRule="atLeast"/>
              <w:jc w:val="center"/>
              <w:rPr>
                <w:rFonts w:eastAsia="仿宋_GB2312"/>
                <w:kern w:val="0"/>
                <w:sz w:val="18"/>
                <w:szCs w:val="18"/>
              </w:rPr>
            </w:pPr>
          </w:p>
          <w:p w14:paraId="76141FB4">
            <w:pPr>
              <w:widowControl/>
              <w:spacing w:line="0" w:lineRule="atLeast"/>
              <w:jc w:val="center"/>
              <w:rPr>
                <w:rFonts w:eastAsia="仿宋_GB2312"/>
                <w:kern w:val="0"/>
                <w:sz w:val="18"/>
                <w:szCs w:val="18"/>
              </w:rPr>
            </w:pPr>
          </w:p>
          <w:p w14:paraId="0DBFE90C">
            <w:pPr>
              <w:widowControl/>
              <w:spacing w:line="0" w:lineRule="atLeast"/>
              <w:jc w:val="center"/>
              <w:rPr>
                <w:rFonts w:eastAsia="仿宋_GB2312"/>
                <w:kern w:val="0"/>
                <w:sz w:val="18"/>
                <w:szCs w:val="18"/>
              </w:rPr>
            </w:pPr>
          </w:p>
          <w:p w14:paraId="51C6CC1C">
            <w:pPr>
              <w:widowControl/>
              <w:spacing w:line="0" w:lineRule="atLeast"/>
              <w:jc w:val="center"/>
              <w:rPr>
                <w:rFonts w:eastAsia="仿宋_GB2312"/>
                <w:kern w:val="0"/>
                <w:sz w:val="18"/>
                <w:szCs w:val="18"/>
              </w:rPr>
            </w:pPr>
          </w:p>
          <w:p w14:paraId="32E67724">
            <w:pPr>
              <w:widowControl/>
              <w:spacing w:line="0" w:lineRule="atLeast"/>
              <w:jc w:val="center"/>
              <w:rPr>
                <w:rFonts w:eastAsia="仿宋_GB2312"/>
                <w:kern w:val="0"/>
                <w:sz w:val="18"/>
                <w:szCs w:val="18"/>
              </w:rPr>
            </w:pPr>
          </w:p>
          <w:p w14:paraId="69F82CE7">
            <w:pPr>
              <w:widowControl/>
              <w:spacing w:line="0" w:lineRule="atLeast"/>
              <w:jc w:val="center"/>
              <w:rPr>
                <w:rFonts w:eastAsia="仿宋_GB2312"/>
                <w:kern w:val="0"/>
                <w:sz w:val="18"/>
                <w:szCs w:val="18"/>
              </w:rPr>
            </w:pPr>
          </w:p>
          <w:p w14:paraId="328E530E">
            <w:pPr>
              <w:widowControl/>
              <w:spacing w:line="0" w:lineRule="atLeast"/>
              <w:jc w:val="center"/>
              <w:rPr>
                <w:rFonts w:eastAsia="仿宋_GB2312"/>
                <w:kern w:val="0"/>
                <w:sz w:val="18"/>
                <w:szCs w:val="18"/>
              </w:rPr>
            </w:pPr>
          </w:p>
          <w:p w14:paraId="188BEFB7">
            <w:pPr>
              <w:widowControl/>
              <w:spacing w:line="0" w:lineRule="atLeast"/>
              <w:jc w:val="center"/>
              <w:rPr>
                <w:rFonts w:eastAsia="仿宋_GB2312"/>
                <w:kern w:val="0"/>
                <w:sz w:val="18"/>
                <w:szCs w:val="18"/>
              </w:rPr>
            </w:pPr>
          </w:p>
          <w:p w14:paraId="0343BCA0">
            <w:pPr>
              <w:widowControl/>
              <w:spacing w:line="0" w:lineRule="atLeast"/>
              <w:jc w:val="center"/>
              <w:rPr>
                <w:rFonts w:eastAsia="仿宋_GB2312"/>
                <w:kern w:val="0"/>
                <w:sz w:val="18"/>
                <w:szCs w:val="18"/>
              </w:rPr>
            </w:pPr>
          </w:p>
          <w:p w14:paraId="7C0234D8">
            <w:pPr>
              <w:widowControl/>
              <w:spacing w:line="0" w:lineRule="atLeast"/>
              <w:jc w:val="center"/>
              <w:rPr>
                <w:rFonts w:eastAsia="仿宋_GB2312"/>
                <w:kern w:val="0"/>
                <w:sz w:val="18"/>
                <w:szCs w:val="18"/>
              </w:rPr>
            </w:pPr>
          </w:p>
          <w:p w14:paraId="79265E13">
            <w:pPr>
              <w:widowControl/>
              <w:spacing w:line="0" w:lineRule="atLeast"/>
              <w:jc w:val="center"/>
              <w:rPr>
                <w:rFonts w:eastAsia="仿宋_GB2312"/>
                <w:kern w:val="0"/>
                <w:sz w:val="18"/>
                <w:szCs w:val="18"/>
              </w:rPr>
            </w:pPr>
          </w:p>
          <w:p w14:paraId="4EFFA99E">
            <w:pPr>
              <w:widowControl/>
              <w:spacing w:line="0" w:lineRule="atLeast"/>
              <w:jc w:val="center"/>
              <w:rPr>
                <w:rFonts w:eastAsia="仿宋_GB2312"/>
                <w:kern w:val="0"/>
                <w:sz w:val="18"/>
                <w:szCs w:val="18"/>
              </w:rPr>
            </w:pPr>
          </w:p>
          <w:p w14:paraId="01F4645B">
            <w:pPr>
              <w:widowControl/>
              <w:spacing w:line="0" w:lineRule="atLeast"/>
              <w:jc w:val="center"/>
              <w:rPr>
                <w:rFonts w:eastAsia="仿宋_GB2312"/>
                <w:kern w:val="0"/>
                <w:sz w:val="18"/>
                <w:szCs w:val="18"/>
              </w:rPr>
            </w:pPr>
          </w:p>
          <w:p w14:paraId="0C7E5CA7">
            <w:pPr>
              <w:widowControl/>
              <w:spacing w:line="0" w:lineRule="atLeast"/>
              <w:jc w:val="center"/>
              <w:rPr>
                <w:rFonts w:eastAsia="仿宋_GB2312"/>
                <w:kern w:val="0"/>
                <w:sz w:val="18"/>
                <w:szCs w:val="18"/>
              </w:rPr>
            </w:pPr>
          </w:p>
          <w:p w14:paraId="57642276">
            <w:pPr>
              <w:widowControl/>
              <w:spacing w:line="0" w:lineRule="atLeast"/>
              <w:jc w:val="center"/>
              <w:rPr>
                <w:rFonts w:eastAsia="仿宋_GB2312"/>
                <w:kern w:val="0"/>
                <w:sz w:val="18"/>
                <w:szCs w:val="18"/>
              </w:rPr>
            </w:pPr>
          </w:p>
          <w:p w14:paraId="66F307E5">
            <w:pPr>
              <w:widowControl/>
              <w:spacing w:line="0" w:lineRule="atLeast"/>
              <w:jc w:val="center"/>
              <w:rPr>
                <w:rFonts w:eastAsia="仿宋_GB2312"/>
                <w:kern w:val="0"/>
                <w:sz w:val="18"/>
                <w:szCs w:val="18"/>
              </w:rPr>
            </w:pPr>
          </w:p>
          <w:p w14:paraId="19F9FC6A">
            <w:pPr>
              <w:widowControl/>
              <w:spacing w:line="0" w:lineRule="atLeast"/>
              <w:jc w:val="center"/>
              <w:rPr>
                <w:rFonts w:eastAsia="仿宋_GB2312"/>
                <w:kern w:val="0"/>
                <w:sz w:val="18"/>
                <w:szCs w:val="18"/>
              </w:rPr>
            </w:pPr>
          </w:p>
          <w:p w14:paraId="33BBA741">
            <w:pPr>
              <w:widowControl/>
              <w:spacing w:line="0" w:lineRule="atLeast"/>
              <w:jc w:val="center"/>
              <w:rPr>
                <w:rFonts w:eastAsia="仿宋_GB2312"/>
                <w:kern w:val="0"/>
                <w:sz w:val="18"/>
                <w:szCs w:val="18"/>
              </w:rPr>
            </w:pPr>
          </w:p>
          <w:p w14:paraId="47E7B141">
            <w:pPr>
              <w:widowControl/>
              <w:spacing w:line="0" w:lineRule="atLeast"/>
              <w:jc w:val="center"/>
              <w:rPr>
                <w:rFonts w:eastAsia="仿宋_GB2312"/>
                <w:kern w:val="0"/>
                <w:sz w:val="18"/>
                <w:szCs w:val="18"/>
              </w:rPr>
            </w:pPr>
          </w:p>
          <w:p w14:paraId="3ABAB577">
            <w:pPr>
              <w:widowControl/>
              <w:spacing w:line="0" w:lineRule="atLeast"/>
              <w:jc w:val="center"/>
              <w:rPr>
                <w:rFonts w:eastAsia="仿宋_GB2312"/>
                <w:kern w:val="0"/>
                <w:sz w:val="18"/>
                <w:szCs w:val="18"/>
              </w:rPr>
            </w:pPr>
          </w:p>
          <w:p w14:paraId="6F05A94C">
            <w:pPr>
              <w:widowControl/>
              <w:spacing w:line="0" w:lineRule="atLeast"/>
              <w:jc w:val="center"/>
              <w:rPr>
                <w:rFonts w:eastAsia="仿宋_GB2312"/>
                <w:kern w:val="0"/>
                <w:sz w:val="18"/>
                <w:szCs w:val="18"/>
              </w:rPr>
            </w:pPr>
          </w:p>
          <w:p w14:paraId="536A09A0">
            <w:pPr>
              <w:widowControl/>
              <w:spacing w:line="0" w:lineRule="atLeast"/>
              <w:jc w:val="center"/>
              <w:rPr>
                <w:rFonts w:eastAsia="仿宋_GB2312"/>
                <w:kern w:val="0"/>
                <w:sz w:val="18"/>
                <w:szCs w:val="18"/>
              </w:rPr>
            </w:pPr>
            <w:r>
              <w:rPr>
                <w:rFonts w:eastAsia="仿宋_GB2312"/>
                <w:kern w:val="0"/>
                <w:sz w:val="18"/>
                <w:szCs w:val="18"/>
              </w:rPr>
              <w:t>决策　</w:t>
            </w:r>
          </w:p>
        </w:tc>
        <w:tc>
          <w:tcPr>
            <w:tcW w:w="1000" w:type="dxa"/>
            <w:vMerge w:val="restart"/>
            <w:shd w:val="clear" w:color="auto" w:fill="FFFFFF"/>
            <w:vAlign w:val="center"/>
          </w:tcPr>
          <w:p w14:paraId="2F87F3A7">
            <w:pPr>
              <w:widowControl/>
              <w:spacing w:line="0" w:lineRule="atLeast"/>
              <w:jc w:val="center"/>
              <w:rPr>
                <w:rFonts w:eastAsia="仿宋_GB2312"/>
                <w:kern w:val="0"/>
                <w:sz w:val="18"/>
                <w:szCs w:val="18"/>
              </w:rPr>
            </w:pPr>
            <w:r>
              <w:rPr>
                <w:rFonts w:eastAsia="仿宋_GB2312"/>
                <w:kern w:val="0"/>
                <w:sz w:val="18"/>
                <w:szCs w:val="18"/>
              </w:rPr>
              <w:t>项目立项　</w:t>
            </w:r>
          </w:p>
        </w:tc>
        <w:tc>
          <w:tcPr>
            <w:tcW w:w="1071" w:type="dxa"/>
            <w:shd w:val="clear" w:color="auto" w:fill="FFFFFF"/>
            <w:vAlign w:val="center"/>
          </w:tcPr>
          <w:p w14:paraId="0BD23776">
            <w:pPr>
              <w:widowControl/>
              <w:spacing w:line="0" w:lineRule="atLeast"/>
              <w:jc w:val="center"/>
              <w:rPr>
                <w:rFonts w:eastAsia="仿宋_GB2312"/>
                <w:kern w:val="0"/>
                <w:sz w:val="18"/>
                <w:szCs w:val="18"/>
              </w:rPr>
            </w:pPr>
            <w:r>
              <w:rPr>
                <w:rFonts w:eastAsia="仿宋_GB2312"/>
                <w:kern w:val="0"/>
                <w:sz w:val="18"/>
                <w:szCs w:val="18"/>
              </w:rPr>
              <w:t>立项依据</w:t>
            </w:r>
          </w:p>
          <w:p w14:paraId="7A38FF3B">
            <w:pPr>
              <w:widowControl/>
              <w:spacing w:line="0" w:lineRule="atLeast"/>
              <w:jc w:val="center"/>
              <w:rPr>
                <w:rFonts w:eastAsia="仿宋_GB2312"/>
                <w:kern w:val="0"/>
                <w:sz w:val="18"/>
                <w:szCs w:val="18"/>
              </w:rPr>
            </w:pPr>
            <w:r>
              <w:rPr>
                <w:rFonts w:eastAsia="仿宋_GB2312"/>
                <w:kern w:val="0"/>
                <w:sz w:val="18"/>
                <w:szCs w:val="18"/>
              </w:rPr>
              <w:t>充分性</w:t>
            </w:r>
          </w:p>
        </w:tc>
        <w:tc>
          <w:tcPr>
            <w:tcW w:w="1725" w:type="dxa"/>
            <w:shd w:val="clear" w:color="auto" w:fill="FFFFFF"/>
            <w:vAlign w:val="center"/>
          </w:tcPr>
          <w:p w14:paraId="67D1E45B">
            <w:pPr>
              <w:widowControl/>
              <w:spacing w:line="0" w:lineRule="atLeast"/>
              <w:rPr>
                <w:rFonts w:eastAsia="仿宋_GB2312"/>
                <w:kern w:val="0"/>
                <w:sz w:val="18"/>
                <w:szCs w:val="18"/>
              </w:rPr>
            </w:pPr>
            <w:r>
              <w:rPr>
                <w:rFonts w:eastAsia="仿宋_GB2312"/>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13A580C5">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①项目立项是否符合国家法律法规、国民经济发展规划和相关政策；</w:t>
            </w:r>
            <w:r>
              <w:rPr>
                <w:rFonts w:eastAsia="仿宋_GB2312"/>
                <w:kern w:val="0"/>
                <w:sz w:val="18"/>
                <w:szCs w:val="18"/>
              </w:rPr>
              <w:br w:type="textWrapping"/>
            </w:r>
            <w:r>
              <w:rPr>
                <w:rFonts w:eastAsia="仿宋_GB2312"/>
                <w:kern w:val="0"/>
                <w:sz w:val="18"/>
                <w:szCs w:val="18"/>
              </w:rPr>
              <w:t>②项目立项是否符合行业发展规划和政策要求；</w:t>
            </w:r>
            <w:r>
              <w:rPr>
                <w:rFonts w:eastAsia="仿宋_GB2312"/>
                <w:kern w:val="0"/>
                <w:sz w:val="18"/>
                <w:szCs w:val="18"/>
              </w:rPr>
              <w:br w:type="textWrapping"/>
            </w:r>
            <w:r>
              <w:rPr>
                <w:rFonts w:eastAsia="仿宋_GB2312"/>
                <w:kern w:val="0"/>
                <w:sz w:val="18"/>
                <w:szCs w:val="18"/>
              </w:rPr>
              <w:t>③项目立项是否与部门职责范围相符，属于部门履职所需；</w:t>
            </w:r>
            <w:r>
              <w:rPr>
                <w:rFonts w:eastAsia="仿宋_GB2312"/>
                <w:kern w:val="0"/>
                <w:sz w:val="18"/>
                <w:szCs w:val="18"/>
              </w:rPr>
              <w:br w:type="textWrapping"/>
            </w:r>
            <w:r>
              <w:rPr>
                <w:rFonts w:eastAsia="仿宋_GB2312"/>
                <w:kern w:val="0"/>
                <w:sz w:val="18"/>
                <w:szCs w:val="18"/>
              </w:rPr>
              <w:t>④项目是否属于公共财政支持范围，是否符合中央、地方事权支出责任划分原则；</w:t>
            </w:r>
            <w:r>
              <w:rPr>
                <w:rFonts w:eastAsia="仿宋_GB2312"/>
                <w:kern w:val="0"/>
                <w:sz w:val="18"/>
                <w:szCs w:val="18"/>
              </w:rPr>
              <w:br w:type="textWrapping"/>
            </w:r>
            <w:r>
              <w:rPr>
                <w:rFonts w:eastAsia="仿宋_GB2312"/>
                <w:kern w:val="0"/>
                <w:sz w:val="18"/>
                <w:szCs w:val="18"/>
              </w:rPr>
              <w:t>⑤项目是否与相关部门同类项目或部门内部相关项目重复。</w:t>
            </w:r>
          </w:p>
        </w:tc>
        <w:tc>
          <w:tcPr>
            <w:tcW w:w="1304" w:type="dxa"/>
            <w:shd w:val="clear" w:color="auto" w:fill="FFFFFF"/>
            <w:vAlign w:val="center"/>
          </w:tcPr>
          <w:p w14:paraId="3C04FEDB">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auto" w:fill="FFFFFF"/>
            <w:vAlign w:val="center"/>
          </w:tcPr>
          <w:p w14:paraId="7AF1880F">
            <w:pPr>
              <w:widowControl/>
              <w:spacing w:line="0" w:lineRule="atLeast"/>
              <w:jc w:val="center"/>
              <w:rPr>
                <w:rFonts w:eastAsia="仿宋_GB2312"/>
                <w:b/>
                <w:bCs/>
                <w:kern w:val="0"/>
                <w:sz w:val="18"/>
                <w:szCs w:val="18"/>
              </w:rPr>
            </w:pPr>
            <w:r>
              <w:rPr>
                <w:rFonts w:hint="eastAsia" w:eastAsia="仿宋_GB2312"/>
                <w:b/>
                <w:bCs/>
                <w:kern w:val="0"/>
                <w:sz w:val="18"/>
                <w:szCs w:val="18"/>
              </w:rPr>
              <w:t>3</w:t>
            </w:r>
          </w:p>
        </w:tc>
      </w:tr>
      <w:tr w14:paraId="040400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2" w:type="dxa"/>
            <w:vMerge w:val="continue"/>
            <w:shd w:val="clear" w:color="auto" w:fill="FFFFFF"/>
            <w:vAlign w:val="center"/>
          </w:tcPr>
          <w:p w14:paraId="55DB0CDC">
            <w:pPr>
              <w:spacing w:line="0" w:lineRule="atLeast"/>
              <w:jc w:val="center"/>
              <w:rPr>
                <w:rFonts w:eastAsia="仿宋_GB2312"/>
                <w:kern w:val="0"/>
                <w:sz w:val="18"/>
                <w:szCs w:val="18"/>
              </w:rPr>
            </w:pPr>
          </w:p>
        </w:tc>
        <w:tc>
          <w:tcPr>
            <w:tcW w:w="1000" w:type="dxa"/>
            <w:vMerge w:val="continue"/>
            <w:shd w:val="clear" w:color="auto" w:fill="FFFFFF"/>
            <w:vAlign w:val="center"/>
          </w:tcPr>
          <w:p w14:paraId="119FFDDE">
            <w:pPr>
              <w:widowControl/>
              <w:spacing w:line="0" w:lineRule="atLeast"/>
              <w:jc w:val="center"/>
              <w:rPr>
                <w:rFonts w:eastAsia="仿宋_GB2312"/>
                <w:kern w:val="0"/>
                <w:sz w:val="18"/>
                <w:szCs w:val="18"/>
              </w:rPr>
            </w:pPr>
          </w:p>
        </w:tc>
        <w:tc>
          <w:tcPr>
            <w:tcW w:w="1071" w:type="dxa"/>
            <w:shd w:val="clear" w:color="auto" w:fill="FFFFFF"/>
            <w:vAlign w:val="center"/>
          </w:tcPr>
          <w:p w14:paraId="10E195F7">
            <w:pPr>
              <w:widowControl/>
              <w:spacing w:line="0" w:lineRule="atLeast"/>
              <w:jc w:val="center"/>
              <w:rPr>
                <w:rFonts w:eastAsia="仿宋_GB2312"/>
                <w:kern w:val="0"/>
                <w:sz w:val="18"/>
                <w:szCs w:val="18"/>
              </w:rPr>
            </w:pPr>
            <w:r>
              <w:rPr>
                <w:rFonts w:eastAsia="仿宋_GB2312"/>
                <w:kern w:val="0"/>
                <w:sz w:val="18"/>
                <w:szCs w:val="18"/>
              </w:rPr>
              <w:t>立项程序</w:t>
            </w:r>
          </w:p>
          <w:p w14:paraId="5A51C989">
            <w:pPr>
              <w:widowControl/>
              <w:spacing w:line="0" w:lineRule="atLeast"/>
              <w:jc w:val="center"/>
              <w:rPr>
                <w:rFonts w:eastAsia="仿宋_GB2312"/>
                <w:kern w:val="0"/>
                <w:sz w:val="18"/>
                <w:szCs w:val="18"/>
              </w:rPr>
            </w:pPr>
            <w:r>
              <w:rPr>
                <w:rFonts w:eastAsia="仿宋_GB2312"/>
                <w:kern w:val="0"/>
                <w:sz w:val="18"/>
                <w:szCs w:val="18"/>
              </w:rPr>
              <w:t>规范性</w:t>
            </w:r>
          </w:p>
        </w:tc>
        <w:tc>
          <w:tcPr>
            <w:tcW w:w="1725" w:type="dxa"/>
            <w:shd w:val="clear" w:color="auto" w:fill="FFFFFF"/>
            <w:vAlign w:val="center"/>
          </w:tcPr>
          <w:p w14:paraId="09B2133E">
            <w:pPr>
              <w:widowControl/>
              <w:spacing w:line="0" w:lineRule="atLeast"/>
              <w:rPr>
                <w:rFonts w:eastAsia="仿宋_GB2312"/>
                <w:kern w:val="0"/>
                <w:sz w:val="18"/>
                <w:szCs w:val="18"/>
              </w:rPr>
            </w:pPr>
            <w:r>
              <w:rPr>
                <w:rFonts w:eastAsia="仿宋_GB2312"/>
                <w:kern w:val="0"/>
                <w:sz w:val="18"/>
                <w:szCs w:val="18"/>
              </w:rPr>
              <w:t>项目申请、设立过程是否符合相关要求，用以反映和考核项目立项的规范情况。</w:t>
            </w:r>
          </w:p>
        </w:tc>
        <w:tc>
          <w:tcPr>
            <w:tcW w:w="5216" w:type="dxa"/>
            <w:shd w:val="clear" w:color="auto" w:fill="FFFFFF"/>
            <w:vAlign w:val="center"/>
          </w:tcPr>
          <w:p w14:paraId="3BE3327D">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①项目是否按照规定的程序申请设立；</w:t>
            </w:r>
            <w:r>
              <w:rPr>
                <w:rFonts w:eastAsia="仿宋_GB2312"/>
                <w:kern w:val="0"/>
                <w:sz w:val="18"/>
                <w:szCs w:val="18"/>
              </w:rPr>
              <w:br w:type="textWrapping"/>
            </w:r>
            <w:r>
              <w:rPr>
                <w:rFonts w:eastAsia="仿宋_GB2312"/>
                <w:kern w:val="0"/>
                <w:sz w:val="18"/>
                <w:szCs w:val="18"/>
              </w:rPr>
              <w:t>②审批文件、材料是否符合相关要求；</w:t>
            </w:r>
            <w:r>
              <w:rPr>
                <w:rFonts w:eastAsia="仿宋_GB2312"/>
                <w:kern w:val="0"/>
                <w:sz w:val="18"/>
                <w:szCs w:val="18"/>
              </w:rPr>
              <w:br w:type="textWrapping"/>
            </w:r>
            <w:r>
              <w:rPr>
                <w:rFonts w:eastAsia="仿宋_GB2312"/>
                <w:kern w:val="0"/>
                <w:sz w:val="18"/>
                <w:szCs w:val="18"/>
              </w:rPr>
              <w:t>③事前是否已经过必要的可行性研究、专家论证、风险评估、绩效评估、集体决策。</w:t>
            </w:r>
          </w:p>
        </w:tc>
        <w:tc>
          <w:tcPr>
            <w:tcW w:w="1304" w:type="dxa"/>
            <w:shd w:val="clear" w:color="auto" w:fill="FFFFFF"/>
            <w:vAlign w:val="center"/>
          </w:tcPr>
          <w:p w14:paraId="07AAFDB5">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auto" w:fill="FFFFFF"/>
            <w:vAlign w:val="center"/>
          </w:tcPr>
          <w:p w14:paraId="278D5DFB">
            <w:pPr>
              <w:widowControl/>
              <w:spacing w:line="0" w:lineRule="atLeast"/>
              <w:jc w:val="center"/>
              <w:rPr>
                <w:rFonts w:eastAsia="仿宋_GB2312"/>
                <w:b/>
                <w:bCs/>
                <w:kern w:val="0"/>
                <w:sz w:val="18"/>
                <w:szCs w:val="18"/>
              </w:rPr>
            </w:pPr>
            <w:r>
              <w:rPr>
                <w:rFonts w:hint="eastAsia" w:eastAsia="仿宋_GB2312"/>
                <w:b/>
                <w:bCs/>
                <w:kern w:val="0"/>
                <w:sz w:val="18"/>
                <w:szCs w:val="18"/>
              </w:rPr>
              <w:t>3</w:t>
            </w:r>
          </w:p>
        </w:tc>
      </w:tr>
      <w:tr w14:paraId="4A680E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2" w:type="dxa"/>
            <w:vMerge w:val="continue"/>
            <w:shd w:val="clear" w:color="auto" w:fill="FFFFFF"/>
            <w:vAlign w:val="center"/>
          </w:tcPr>
          <w:p w14:paraId="664E1013">
            <w:pPr>
              <w:spacing w:line="0" w:lineRule="atLeast"/>
              <w:jc w:val="center"/>
              <w:rPr>
                <w:rFonts w:eastAsia="仿宋_GB2312"/>
                <w:kern w:val="0"/>
                <w:sz w:val="18"/>
                <w:szCs w:val="18"/>
              </w:rPr>
            </w:pPr>
          </w:p>
        </w:tc>
        <w:tc>
          <w:tcPr>
            <w:tcW w:w="1000" w:type="dxa"/>
            <w:vMerge w:val="restart"/>
            <w:shd w:val="clear" w:color="auto" w:fill="FFFFFF"/>
            <w:vAlign w:val="center"/>
          </w:tcPr>
          <w:p w14:paraId="1C6D9E37">
            <w:pPr>
              <w:widowControl/>
              <w:spacing w:line="0" w:lineRule="atLeast"/>
              <w:jc w:val="center"/>
              <w:rPr>
                <w:rFonts w:eastAsia="仿宋_GB2312"/>
                <w:kern w:val="0"/>
                <w:sz w:val="18"/>
                <w:szCs w:val="18"/>
              </w:rPr>
            </w:pPr>
            <w:r>
              <w:rPr>
                <w:rFonts w:eastAsia="仿宋_GB2312"/>
                <w:kern w:val="0"/>
                <w:sz w:val="18"/>
                <w:szCs w:val="18"/>
              </w:rPr>
              <w:t>绩效目标　</w:t>
            </w:r>
          </w:p>
        </w:tc>
        <w:tc>
          <w:tcPr>
            <w:tcW w:w="1071" w:type="dxa"/>
            <w:shd w:val="clear" w:color="auto" w:fill="FFFFFF"/>
            <w:vAlign w:val="center"/>
          </w:tcPr>
          <w:p w14:paraId="05A21734">
            <w:pPr>
              <w:widowControl/>
              <w:spacing w:line="0" w:lineRule="atLeast"/>
              <w:jc w:val="center"/>
              <w:rPr>
                <w:rFonts w:eastAsia="仿宋_GB2312"/>
                <w:kern w:val="0"/>
                <w:sz w:val="18"/>
                <w:szCs w:val="18"/>
              </w:rPr>
            </w:pPr>
            <w:r>
              <w:rPr>
                <w:rFonts w:eastAsia="仿宋_GB2312"/>
                <w:kern w:val="0"/>
                <w:sz w:val="18"/>
                <w:szCs w:val="18"/>
              </w:rPr>
              <w:t>绩效目标</w:t>
            </w:r>
          </w:p>
          <w:p w14:paraId="5D02912B">
            <w:pPr>
              <w:widowControl/>
              <w:spacing w:line="0" w:lineRule="atLeast"/>
              <w:jc w:val="center"/>
              <w:rPr>
                <w:rFonts w:eastAsia="仿宋_GB2312"/>
                <w:kern w:val="0"/>
                <w:sz w:val="18"/>
                <w:szCs w:val="18"/>
              </w:rPr>
            </w:pPr>
            <w:r>
              <w:rPr>
                <w:rFonts w:eastAsia="仿宋_GB2312"/>
                <w:kern w:val="0"/>
                <w:sz w:val="18"/>
                <w:szCs w:val="18"/>
              </w:rPr>
              <w:t>合理性</w:t>
            </w:r>
          </w:p>
        </w:tc>
        <w:tc>
          <w:tcPr>
            <w:tcW w:w="1725" w:type="dxa"/>
            <w:shd w:val="clear" w:color="000000" w:fill="FFFFFF"/>
            <w:vAlign w:val="center"/>
          </w:tcPr>
          <w:p w14:paraId="21EDE0B3">
            <w:pPr>
              <w:widowControl/>
              <w:spacing w:line="0" w:lineRule="atLeast"/>
              <w:rPr>
                <w:rFonts w:eastAsia="仿宋_GB2312"/>
                <w:kern w:val="0"/>
                <w:sz w:val="18"/>
                <w:szCs w:val="18"/>
              </w:rPr>
            </w:pPr>
            <w:r>
              <w:rPr>
                <w:rFonts w:eastAsia="仿宋_GB2312"/>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14:paraId="08AE830F">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（如未设定预算绩效目标，也可考核其他工作任务目标）</w:t>
            </w:r>
            <w:r>
              <w:rPr>
                <w:rFonts w:eastAsia="仿宋_GB2312"/>
                <w:kern w:val="0"/>
                <w:sz w:val="18"/>
                <w:szCs w:val="18"/>
              </w:rPr>
              <w:br w:type="textWrapping"/>
            </w:r>
            <w:r>
              <w:rPr>
                <w:rFonts w:eastAsia="仿宋_GB2312"/>
                <w:kern w:val="0"/>
                <w:sz w:val="18"/>
                <w:szCs w:val="18"/>
              </w:rPr>
              <w:t>①项目是否有绩效目标；</w:t>
            </w:r>
            <w:r>
              <w:rPr>
                <w:rFonts w:eastAsia="仿宋_GB2312"/>
                <w:kern w:val="0"/>
                <w:sz w:val="18"/>
                <w:szCs w:val="18"/>
              </w:rPr>
              <w:br w:type="textWrapping"/>
            </w:r>
            <w:r>
              <w:rPr>
                <w:rFonts w:eastAsia="仿宋_GB2312"/>
                <w:kern w:val="0"/>
                <w:sz w:val="18"/>
                <w:szCs w:val="18"/>
              </w:rPr>
              <w:t>②项目绩效目标与实际工作内容是否具有相关性；</w:t>
            </w:r>
            <w:r>
              <w:rPr>
                <w:rFonts w:eastAsia="仿宋_GB2312"/>
                <w:kern w:val="0"/>
                <w:sz w:val="18"/>
                <w:szCs w:val="18"/>
              </w:rPr>
              <w:br w:type="textWrapping"/>
            </w:r>
            <w:r>
              <w:rPr>
                <w:rFonts w:eastAsia="仿宋_GB2312"/>
                <w:kern w:val="0"/>
                <w:sz w:val="18"/>
                <w:szCs w:val="18"/>
              </w:rPr>
              <w:t>③项目预期产出效益和效果是否符合正常的业绩水平；</w:t>
            </w:r>
          </w:p>
          <w:p w14:paraId="5A2B09B6">
            <w:pPr>
              <w:widowControl/>
              <w:spacing w:line="0" w:lineRule="atLeast"/>
              <w:jc w:val="left"/>
              <w:rPr>
                <w:rFonts w:eastAsia="仿宋_GB2312"/>
                <w:kern w:val="0"/>
                <w:sz w:val="18"/>
                <w:szCs w:val="18"/>
              </w:rPr>
            </w:pPr>
            <w:r>
              <w:rPr>
                <w:rFonts w:eastAsia="仿宋_GB2312"/>
                <w:kern w:val="0"/>
                <w:sz w:val="18"/>
                <w:szCs w:val="18"/>
              </w:rPr>
              <w:t>④是否与预算确定的项目投资额或资金量相匹配。</w:t>
            </w:r>
          </w:p>
        </w:tc>
        <w:tc>
          <w:tcPr>
            <w:tcW w:w="1304" w:type="dxa"/>
            <w:shd w:val="clear" w:color="000000" w:fill="FFFFFF"/>
            <w:vAlign w:val="center"/>
          </w:tcPr>
          <w:p w14:paraId="3082264A">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000000" w:fill="FFFFFF"/>
            <w:vAlign w:val="center"/>
          </w:tcPr>
          <w:p w14:paraId="49B43314">
            <w:pPr>
              <w:widowControl/>
              <w:spacing w:line="0" w:lineRule="atLeast"/>
              <w:jc w:val="center"/>
              <w:rPr>
                <w:rFonts w:eastAsia="仿宋_GB2312"/>
                <w:b/>
                <w:bCs/>
                <w:kern w:val="0"/>
                <w:sz w:val="18"/>
                <w:szCs w:val="18"/>
              </w:rPr>
            </w:pPr>
            <w:r>
              <w:rPr>
                <w:rFonts w:hint="eastAsia" w:eastAsia="仿宋_GB2312"/>
                <w:b/>
                <w:bCs/>
                <w:kern w:val="0"/>
                <w:sz w:val="18"/>
                <w:szCs w:val="18"/>
              </w:rPr>
              <w:t>3</w:t>
            </w:r>
          </w:p>
        </w:tc>
      </w:tr>
      <w:tr w14:paraId="573F1E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1002" w:type="dxa"/>
            <w:vMerge w:val="continue"/>
            <w:shd w:val="clear" w:color="auto" w:fill="FFFFFF"/>
            <w:vAlign w:val="center"/>
          </w:tcPr>
          <w:p w14:paraId="595F110A">
            <w:pPr>
              <w:widowControl/>
              <w:spacing w:line="0" w:lineRule="atLeast"/>
              <w:jc w:val="center"/>
              <w:rPr>
                <w:rFonts w:eastAsia="仿宋_GB2312"/>
                <w:kern w:val="0"/>
                <w:sz w:val="18"/>
                <w:szCs w:val="18"/>
              </w:rPr>
            </w:pPr>
          </w:p>
        </w:tc>
        <w:tc>
          <w:tcPr>
            <w:tcW w:w="1000" w:type="dxa"/>
            <w:vMerge w:val="continue"/>
            <w:shd w:val="clear" w:color="auto" w:fill="FFFFFF"/>
            <w:vAlign w:val="center"/>
          </w:tcPr>
          <w:p w14:paraId="5F81AA36">
            <w:pPr>
              <w:widowControl/>
              <w:spacing w:line="0" w:lineRule="atLeast"/>
              <w:jc w:val="center"/>
              <w:rPr>
                <w:rFonts w:eastAsia="仿宋_GB2312"/>
                <w:kern w:val="0"/>
                <w:sz w:val="18"/>
                <w:szCs w:val="18"/>
              </w:rPr>
            </w:pPr>
          </w:p>
        </w:tc>
        <w:tc>
          <w:tcPr>
            <w:tcW w:w="1071" w:type="dxa"/>
            <w:shd w:val="clear" w:color="auto" w:fill="FFFFFF"/>
            <w:vAlign w:val="center"/>
          </w:tcPr>
          <w:p w14:paraId="58A2C689">
            <w:pPr>
              <w:widowControl/>
              <w:spacing w:line="0" w:lineRule="atLeast"/>
              <w:jc w:val="center"/>
              <w:rPr>
                <w:rFonts w:eastAsia="仿宋_GB2312"/>
                <w:kern w:val="0"/>
                <w:sz w:val="18"/>
                <w:szCs w:val="18"/>
              </w:rPr>
            </w:pPr>
            <w:r>
              <w:rPr>
                <w:rFonts w:eastAsia="仿宋_GB2312"/>
                <w:kern w:val="0"/>
                <w:sz w:val="18"/>
                <w:szCs w:val="18"/>
              </w:rPr>
              <w:t>绩效指标</w:t>
            </w:r>
          </w:p>
          <w:p w14:paraId="129290AD">
            <w:pPr>
              <w:widowControl/>
              <w:spacing w:line="0" w:lineRule="atLeast"/>
              <w:jc w:val="center"/>
              <w:rPr>
                <w:rFonts w:eastAsia="仿宋_GB2312"/>
                <w:kern w:val="0"/>
                <w:sz w:val="18"/>
                <w:szCs w:val="18"/>
              </w:rPr>
            </w:pPr>
            <w:r>
              <w:rPr>
                <w:rFonts w:eastAsia="仿宋_GB2312"/>
                <w:kern w:val="0"/>
                <w:sz w:val="18"/>
                <w:szCs w:val="18"/>
              </w:rPr>
              <w:t>明确性</w:t>
            </w:r>
          </w:p>
        </w:tc>
        <w:tc>
          <w:tcPr>
            <w:tcW w:w="1725" w:type="dxa"/>
            <w:shd w:val="clear" w:color="000000" w:fill="FFFFFF"/>
            <w:vAlign w:val="center"/>
          </w:tcPr>
          <w:p w14:paraId="53DD0039">
            <w:pPr>
              <w:widowControl/>
              <w:spacing w:line="0" w:lineRule="atLeast"/>
              <w:rPr>
                <w:rFonts w:eastAsia="仿宋_GB2312"/>
                <w:kern w:val="0"/>
                <w:sz w:val="18"/>
                <w:szCs w:val="18"/>
              </w:rPr>
            </w:pPr>
            <w:r>
              <w:rPr>
                <w:rFonts w:eastAsia="仿宋_GB2312"/>
                <w:kern w:val="0"/>
                <w:sz w:val="18"/>
                <w:szCs w:val="18"/>
              </w:rPr>
              <w:t>依据绩效目标设定的绩效指标是否清晰、细化、可衡量等，用以反映和考核项目绩效目标的明细化情况。</w:t>
            </w:r>
          </w:p>
        </w:tc>
        <w:tc>
          <w:tcPr>
            <w:tcW w:w="5216" w:type="dxa"/>
            <w:shd w:val="clear" w:color="000000" w:fill="FFFFFF"/>
            <w:vAlign w:val="center"/>
          </w:tcPr>
          <w:p w14:paraId="526B2315">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①是否将项目绩效目标细化分解为具体的绩效指标；</w:t>
            </w:r>
            <w:r>
              <w:rPr>
                <w:rFonts w:eastAsia="仿宋_GB2312"/>
                <w:kern w:val="0"/>
                <w:sz w:val="18"/>
                <w:szCs w:val="18"/>
              </w:rPr>
              <w:br w:type="textWrapping"/>
            </w:r>
            <w:r>
              <w:rPr>
                <w:rFonts w:eastAsia="仿宋_GB2312"/>
                <w:kern w:val="0"/>
                <w:sz w:val="18"/>
                <w:szCs w:val="18"/>
              </w:rPr>
              <w:t>②是否通过清晰、可衡量的指标值予以体现；</w:t>
            </w:r>
            <w:r>
              <w:rPr>
                <w:rFonts w:eastAsia="仿宋_GB2312"/>
                <w:kern w:val="0"/>
                <w:sz w:val="18"/>
                <w:szCs w:val="18"/>
              </w:rPr>
              <w:br w:type="textWrapping"/>
            </w:r>
            <w:r>
              <w:rPr>
                <w:rFonts w:eastAsia="仿宋_GB2312"/>
                <w:kern w:val="0"/>
                <w:sz w:val="18"/>
                <w:szCs w:val="18"/>
              </w:rPr>
              <w:t>③是否与项目目标任务数或计划数相对应。</w:t>
            </w:r>
            <w:r>
              <w:rPr>
                <w:rFonts w:eastAsia="仿宋_GB2312"/>
                <w:kern w:val="0"/>
                <w:sz w:val="18"/>
                <w:szCs w:val="18"/>
              </w:rPr>
              <w:br w:type="textWrapping"/>
            </w:r>
          </w:p>
        </w:tc>
        <w:tc>
          <w:tcPr>
            <w:tcW w:w="1304" w:type="dxa"/>
            <w:shd w:val="clear" w:color="000000" w:fill="FFFFFF"/>
            <w:vAlign w:val="center"/>
          </w:tcPr>
          <w:p w14:paraId="7650A264">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000000" w:fill="FFFFFF"/>
            <w:vAlign w:val="center"/>
          </w:tcPr>
          <w:p w14:paraId="5B8E24B4">
            <w:pPr>
              <w:widowControl/>
              <w:spacing w:line="0" w:lineRule="atLeast"/>
              <w:jc w:val="center"/>
              <w:rPr>
                <w:rFonts w:eastAsia="仿宋_GB2312"/>
                <w:b/>
                <w:bCs/>
                <w:kern w:val="0"/>
                <w:sz w:val="18"/>
                <w:szCs w:val="18"/>
              </w:rPr>
            </w:pPr>
            <w:r>
              <w:rPr>
                <w:rFonts w:hint="eastAsia" w:eastAsia="仿宋_GB2312"/>
                <w:b/>
                <w:bCs/>
                <w:kern w:val="0"/>
                <w:sz w:val="18"/>
                <w:szCs w:val="18"/>
              </w:rPr>
              <w:t>3</w:t>
            </w:r>
          </w:p>
        </w:tc>
      </w:tr>
      <w:tr w14:paraId="75588A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1002" w:type="dxa"/>
            <w:vMerge w:val="continue"/>
            <w:shd w:val="clear" w:color="auto" w:fill="FFFFFF"/>
            <w:vAlign w:val="center"/>
          </w:tcPr>
          <w:p w14:paraId="461E0ABF">
            <w:pPr>
              <w:spacing w:line="0" w:lineRule="atLeast"/>
              <w:jc w:val="center"/>
              <w:rPr>
                <w:rFonts w:eastAsia="仿宋_GB2312"/>
                <w:kern w:val="0"/>
                <w:sz w:val="18"/>
                <w:szCs w:val="18"/>
              </w:rPr>
            </w:pPr>
          </w:p>
        </w:tc>
        <w:tc>
          <w:tcPr>
            <w:tcW w:w="1000" w:type="dxa"/>
            <w:vMerge w:val="restart"/>
            <w:shd w:val="clear" w:color="auto" w:fill="FFFFFF"/>
            <w:vAlign w:val="center"/>
          </w:tcPr>
          <w:p w14:paraId="6CFBC9E9">
            <w:pPr>
              <w:widowControl/>
              <w:spacing w:line="0" w:lineRule="atLeast"/>
              <w:jc w:val="center"/>
              <w:rPr>
                <w:rFonts w:eastAsia="仿宋_GB2312"/>
                <w:kern w:val="0"/>
                <w:sz w:val="18"/>
                <w:szCs w:val="18"/>
              </w:rPr>
            </w:pPr>
            <w:r>
              <w:rPr>
                <w:rFonts w:eastAsia="仿宋_GB2312"/>
                <w:kern w:val="0"/>
                <w:sz w:val="18"/>
                <w:szCs w:val="18"/>
              </w:rPr>
              <w:t>资金投入</w:t>
            </w:r>
          </w:p>
          <w:p w14:paraId="1518C676">
            <w:pPr>
              <w:spacing w:line="0" w:lineRule="atLeast"/>
              <w:jc w:val="center"/>
              <w:rPr>
                <w:rFonts w:eastAsia="仿宋_GB2312"/>
                <w:kern w:val="0"/>
                <w:sz w:val="18"/>
                <w:szCs w:val="18"/>
              </w:rPr>
            </w:pPr>
            <w:r>
              <w:rPr>
                <w:rFonts w:eastAsia="仿宋_GB2312"/>
                <w:kern w:val="0"/>
                <w:sz w:val="18"/>
                <w:szCs w:val="18"/>
              </w:rPr>
              <w:t>　</w:t>
            </w:r>
          </w:p>
        </w:tc>
        <w:tc>
          <w:tcPr>
            <w:tcW w:w="1071" w:type="dxa"/>
            <w:shd w:val="clear" w:color="auto" w:fill="FFFFFF"/>
            <w:vAlign w:val="center"/>
          </w:tcPr>
          <w:p w14:paraId="5674CFC9">
            <w:pPr>
              <w:widowControl/>
              <w:spacing w:line="0" w:lineRule="atLeast"/>
              <w:jc w:val="center"/>
              <w:rPr>
                <w:rFonts w:eastAsia="仿宋_GB2312"/>
                <w:kern w:val="0"/>
                <w:sz w:val="18"/>
                <w:szCs w:val="18"/>
              </w:rPr>
            </w:pPr>
            <w:r>
              <w:rPr>
                <w:rFonts w:eastAsia="仿宋_GB2312"/>
                <w:kern w:val="0"/>
                <w:sz w:val="18"/>
                <w:szCs w:val="18"/>
              </w:rPr>
              <w:t>预算编制</w:t>
            </w:r>
          </w:p>
          <w:p w14:paraId="059FCFCD">
            <w:pPr>
              <w:widowControl/>
              <w:spacing w:line="0" w:lineRule="atLeast"/>
              <w:jc w:val="center"/>
              <w:rPr>
                <w:rFonts w:eastAsia="仿宋_GB2312"/>
                <w:kern w:val="0"/>
                <w:sz w:val="18"/>
                <w:szCs w:val="18"/>
              </w:rPr>
            </w:pPr>
            <w:r>
              <w:rPr>
                <w:rFonts w:eastAsia="仿宋_GB2312"/>
                <w:kern w:val="0"/>
                <w:sz w:val="18"/>
                <w:szCs w:val="18"/>
              </w:rPr>
              <w:t>科学性</w:t>
            </w:r>
          </w:p>
        </w:tc>
        <w:tc>
          <w:tcPr>
            <w:tcW w:w="1725" w:type="dxa"/>
            <w:shd w:val="clear" w:color="auto" w:fill="FFFFFF"/>
            <w:vAlign w:val="center"/>
          </w:tcPr>
          <w:p w14:paraId="264BC337">
            <w:pPr>
              <w:widowControl/>
              <w:spacing w:line="0" w:lineRule="atLeast"/>
              <w:rPr>
                <w:rFonts w:eastAsia="仿宋_GB2312"/>
                <w:kern w:val="0"/>
                <w:sz w:val="18"/>
                <w:szCs w:val="18"/>
              </w:rPr>
            </w:pPr>
            <w:r>
              <w:rPr>
                <w:rFonts w:eastAsia="仿宋_GB2312"/>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28CEB172">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①预算编制是否经过科学论证；</w:t>
            </w:r>
            <w:r>
              <w:rPr>
                <w:rFonts w:eastAsia="仿宋_GB2312"/>
                <w:kern w:val="0"/>
                <w:sz w:val="18"/>
                <w:szCs w:val="18"/>
              </w:rPr>
              <w:br w:type="textWrapping"/>
            </w:r>
            <w:r>
              <w:rPr>
                <w:rFonts w:eastAsia="仿宋_GB2312"/>
                <w:kern w:val="0"/>
                <w:sz w:val="18"/>
                <w:szCs w:val="18"/>
              </w:rPr>
              <w:t>②预算内容与项目内容是否匹配；</w:t>
            </w:r>
            <w:r>
              <w:rPr>
                <w:rFonts w:eastAsia="仿宋_GB2312"/>
                <w:kern w:val="0"/>
                <w:sz w:val="18"/>
                <w:szCs w:val="18"/>
              </w:rPr>
              <w:br w:type="textWrapping"/>
            </w:r>
            <w:r>
              <w:rPr>
                <w:rFonts w:eastAsia="仿宋_GB2312"/>
                <w:kern w:val="0"/>
                <w:sz w:val="18"/>
                <w:szCs w:val="18"/>
              </w:rPr>
              <w:t>③预算额度测算依据是否充分，是否按照标准编制；</w:t>
            </w:r>
            <w:r>
              <w:rPr>
                <w:rFonts w:eastAsia="仿宋_GB2312"/>
                <w:kern w:val="0"/>
                <w:sz w:val="18"/>
                <w:szCs w:val="18"/>
              </w:rPr>
              <w:br w:type="textWrapping"/>
            </w:r>
            <w:r>
              <w:rPr>
                <w:rFonts w:eastAsia="仿宋_GB2312"/>
                <w:kern w:val="0"/>
                <w:sz w:val="18"/>
                <w:szCs w:val="18"/>
              </w:rPr>
              <w:t>④预算确定的项目投资额或资金量是否与工作任务相匹配。</w:t>
            </w:r>
          </w:p>
        </w:tc>
        <w:tc>
          <w:tcPr>
            <w:tcW w:w="1304" w:type="dxa"/>
            <w:shd w:val="clear" w:color="auto" w:fill="FFFFFF"/>
            <w:vAlign w:val="center"/>
          </w:tcPr>
          <w:p w14:paraId="4E807AA5">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auto" w:fill="FFFFFF"/>
            <w:vAlign w:val="center"/>
          </w:tcPr>
          <w:p w14:paraId="6C7FD84E">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1BD4FC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1002" w:type="dxa"/>
            <w:vMerge w:val="continue"/>
            <w:shd w:val="clear" w:color="auto" w:fill="FFFFFF"/>
            <w:vAlign w:val="center"/>
          </w:tcPr>
          <w:p w14:paraId="79C2A70D">
            <w:pPr>
              <w:widowControl/>
              <w:spacing w:line="0" w:lineRule="atLeast"/>
              <w:jc w:val="center"/>
              <w:rPr>
                <w:rFonts w:eastAsia="仿宋_GB2312"/>
                <w:kern w:val="0"/>
                <w:sz w:val="18"/>
                <w:szCs w:val="18"/>
              </w:rPr>
            </w:pPr>
          </w:p>
        </w:tc>
        <w:tc>
          <w:tcPr>
            <w:tcW w:w="1000" w:type="dxa"/>
            <w:vMerge w:val="continue"/>
            <w:shd w:val="clear" w:color="auto" w:fill="FFFFFF"/>
            <w:vAlign w:val="center"/>
          </w:tcPr>
          <w:p w14:paraId="7D1D843A">
            <w:pPr>
              <w:widowControl/>
              <w:spacing w:line="0" w:lineRule="atLeast"/>
              <w:jc w:val="center"/>
              <w:rPr>
                <w:rFonts w:eastAsia="仿宋_GB2312"/>
                <w:kern w:val="0"/>
                <w:sz w:val="18"/>
                <w:szCs w:val="18"/>
              </w:rPr>
            </w:pPr>
          </w:p>
        </w:tc>
        <w:tc>
          <w:tcPr>
            <w:tcW w:w="1071" w:type="dxa"/>
            <w:shd w:val="clear" w:color="auto" w:fill="FFFFFF"/>
            <w:vAlign w:val="center"/>
          </w:tcPr>
          <w:p w14:paraId="1F3473CC">
            <w:pPr>
              <w:widowControl/>
              <w:spacing w:line="0" w:lineRule="atLeast"/>
              <w:jc w:val="center"/>
              <w:rPr>
                <w:rFonts w:eastAsia="仿宋_GB2312"/>
                <w:kern w:val="0"/>
                <w:sz w:val="18"/>
                <w:szCs w:val="18"/>
              </w:rPr>
            </w:pPr>
            <w:r>
              <w:rPr>
                <w:rFonts w:eastAsia="仿宋_GB2312"/>
                <w:kern w:val="0"/>
                <w:sz w:val="18"/>
                <w:szCs w:val="18"/>
              </w:rPr>
              <w:t>资金分配</w:t>
            </w:r>
          </w:p>
          <w:p w14:paraId="7044B7AA">
            <w:pPr>
              <w:widowControl/>
              <w:spacing w:line="0" w:lineRule="atLeast"/>
              <w:jc w:val="center"/>
              <w:rPr>
                <w:rFonts w:eastAsia="仿宋_GB2312"/>
                <w:kern w:val="0"/>
                <w:sz w:val="18"/>
                <w:szCs w:val="18"/>
              </w:rPr>
            </w:pPr>
            <w:r>
              <w:rPr>
                <w:rFonts w:eastAsia="仿宋_GB2312"/>
                <w:kern w:val="0"/>
                <w:sz w:val="18"/>
                <w:szCs w:val="18"/>
              </w:rPr>
              <w:t>合理性</w:t>
            </w:r>
          </w:p>
        </w:tc>
        <w:tc>
          <w:tcPr>
            <w:tcW w:w="1725" w:type="dxa"/>
            <w:shd w:val="clear" w:color="auto" w:fill="FFFFFF"/>
            <w:vAlign w:val="center"/>
          </w:tcPr>
          <w:p w14:paraId="78E2767D">
            <w:pPr>
              <w:widowControl/>
              <w:spacing w:line="0" w:lineRule="atLeast"/>
              <w:rPr>
                <w:rFonts w:eastAsia="仿宋_GB2312"/>
                <w:kern w:val="0"/>
                <w:sz w:val="18"/>
                <w:szCs w:val="18"/>
              </w:rPr>
            </w:pPr>
            <w:r>
              <w:rPr>
                <w:rFonts w:eastAsia="仿宋_GB2312"/>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33DB7553">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①预算资金分配依据是否充分；</w:t>
            </w:r>
            <w:r>
              <w:rPr>
                <w:rFonts w:eastAsia="仿宋_GB2312"/>
                <w:kern w:val="0"/>
                <w:sz w:val="18"/>
                <w:szCs w:val="18"/>
              </w:rPr>
              <w:br w:type="textWrapping"/>
            </w:r>
            <w:r>
              <w:rPr>
                <w:rFonts w:eastAsia="仿宋_GB2312"/>
                <w:kern w:val="0"/>
                <w:sz w:val="18"/>
                <w:szCs w:val="18"/>
              </w:rPr>
              <w:t>②资金分配额度是否合理，与项目单位或地方实际是否相适应。</w:t>
            </w:r>
          </w:p>
        </w:tc>
        <w:tc>
          <w:tcPr>
            <w:tcW w:w="1304" w:type="dxa"/>
            <w:shd w:val="clear" w:color="auto" w:fill="FFFFFF"/>
            <w:vAlign w:val="center"/>
          </w:tcPr>
          <w:p w14:paraId="10E418E6">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auto" w:fill="FFFFFF"/>
            <w:vAlign w:val="center"/>
          </w:tcPr>
          <w:p w14:paraId="5D044849">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0C4EA1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1002" w:type="dxa"/>
            <w:vMerge w:val="restart"/>
            <w:shd w:val="clear" w:color="auto" w:fill="FFFFFF"/>
            <w:vAlign w:val="center"/>
          </w:tcPr>
          <w:p w14:paraId="74B72A10">
            <w:pPr>
              <w:spacing w:line="0" w:lineRule="atLeast"/>
              <w:jc w:val="center"/>
              <w:rPr>
                <w:rFonts w:eastAsia="仿宋_GB2312"/>
                <w:kern w:val="0"/>
                <w:sz w:val="18"/>
                <w:szCs w:val="18"/>
              </w:rPr>
            </w:pPr>
          </w:p>
          <w:p w14:paraId="1E5EE3AF">
            <w:pPr>
              <w:spacing w:line="0" w:lineRule="atLeast"/>
              <w:jc w:val="center"/>
              <w:rPr>
                <w:rFonts w:eastAsia="仿宋_GB2312"/>
                <w:kern w:val="0"/>
                <w:sz w:val="18"/>
                <w:szCs w:val="18"/>
              </w:rPr>
            </w:pPr>
          </w:p>
          <w:p w14:paraId="215323F3">
            <w:pPr>
              <w:spacing w:line="0" w:lineRule="atLeast"/>
              <w:jc w:val="center"/>
              <w:rPr>
                <w:rFonts w:eastAsia="仿宋_GB2312"/>
                <w:kern w:val="0"/>
                <w:sz w:val="18"/>
                <w:szCs w:val="18"/>
              </w:rPr>
            </w:pPr>
          </w:p>
          <w:p w14:paraId="0AB5A5E7">
            <w:pPr>
              <w:spacing w:line="0" w:lineRule="atLeast"/>
              <w:jc w:val="center"/>
              <w:rPr>
                <w:rFonts w:eastAsia="仿宋_GB2312"/>
                <w:kern w:val="0"/>
                <w:sz w:val="18"/>
                <w:szCs w:val="18"/>
              </w:rPr>
            </w:pPr>
          </w:p>
          <w:p w14:paraId="645182C8">
            <w:pPr>
              <w:spacing w:line="0" w:lineRule="atLeast"/>
              <w:jc w:val="center"/>
              <w:rPr>
                <w:rFonts w:eastAsia="仿宋_GB2312"/>
                <w:kern w:val="0"/>
                <w:sz w:val="18"/>
                <w:szCs w:val="18"/>
              </w:rPr>
            </w:pPr>
          </w:p>
          <w:p w14:paraId="5D6F9625">
            <w:pPr>
              <w:spacing w:line="0" w:lineRule="atLeast"/>
              <w:jc w:val="center"/>
              <w:rPr>
                <w:rFonts w:eastAsia="仿宋_GB2312"/>
                <w:kern w:val="0"/>
                <w:sz w:val="18"/>
                <w:szCs w:val="18"/>
              </w:rPr>
            </w:pPr>
          </w:p>
          <w:p w14:paraId="5325245F">
            <w:pPr>
              <w:spacing w:line="0" w:lineRule="atLeast"/>
              <w:jc w:val="center"/>
              <w:rPr>
                <w:rFonts w:eastAsia="仿宋_GB2312"/>
                <w:kern w:val="0"/>
                <w:sz w:val="18"/>
                <w:szCs w:val="18"/>
              </w:rPr>
            </w:pPr>
          </w:p>
          <w:p w14:paraId="24856EE4">
            <w:pPr>
              <w:spacing w:line="0" w:lineRule="atLeast"/>
              <w:jc w:val="center"/>
              <w:rPr>
                <w:rFonts w:eastAsia="仿宋_GB2312"/>
                <w:kern w:val="0"/>
                <w:sz w:val="18"/>
                <w:szCs w:val="18"/>
              </w:rPr>
            </w:pPr>
          </w:p>
          <w:p w14:paraId="13941DB8">
            <w:pPr>
              <w:spacing w:line="0" w:lineRule="atLeast"/>
              <w:jc w:val="center"/>
              <w:rPr>
                <w:rFonts w:eastAsia="仿宋_GB2312"/>
                <w:kern w:val="0"/>
                <w:sz w:val="18"/>
                <w:szCs w:val="18"/>
              </w:rPr>
            </w:pPr>
          </w:p>
          <w:p w14:paraId="7BBA3595">
            <w:pPr>
              <w:spacing w:line="0" w:lineRule="atLeast"/>
              <w:jc w:val="center"/>
              <w:rPr>
                <w:rFonts w:eastAsia="仿宋_GB2312"/>
                <w:kern w:val="0"/>
                <w:sz w:val="18"/>
                <w:szCs w:val="18"/>
              </w:rPr>
            </w:pPr>
          </w:p>
          <w:p w14:paraId="32FFBCEF">
            <w:pPr>
              <w:spacing w:line="0" w:lineRule="atLeast"/>
              <w:jc w:val="center"/>
              <w:rPr>
                <w:rFonts w:eastAsia="仿宋_GB2312"/>
                <w:kern w:val="0"/>
                <w:sz w:val="18"/>
                <w:szCs w:val="18"/>
              </w:rPr>
            </w:pPr>
          </w:p>
          <w:p w14:paraId="5B540A2A">
            <w:pPr>
              <w:spacing w:line="0" w:lineRule="atLeast"/>
              <w:jc w:val="center"/>
              <w:rPr>
                <w:rFonts w:eastAsia="仿宋_GB2312"/>
                <w:kern w:val="0"/>
                <w:sz w:val="18"/>
                <w:szCs w:val="18"/>
              </w:rPr>
            </w:pPr>
          </w:p>
          <w:p w14:paraId="419696B6">
            <w:pPr>
              <w:spacing w:line="0" w:lineRule="atLeast"/>
              <w:jc w:val="center"/>
              <w:rPr>
                <w:rFonts w:eastAsia="仿宋_GB2312"/>
                <w:kern w:val="0"/>
                <w:sz w:val="18"/>
                <w:szCs w:val="18"/>
              </w:rPr>
            </w:pPr>
          </w:p>
          <w:p w14:paraId="289CD8A8">
            <w:pPr>
              <w:spacing w:line="0" w:lineRule="atLeast"/>
              <w:jc w:val="center"/>
              <w:rPr>
                <w:rFonts w:eastAsia="仿宋_GB2312"/>
                <w:kern w:val="0"/>
                <w:sz w:val="18"/>
                <w:szCs w:val="18"/>
              </w:rPr>
            </w:pPr>
          </w:p>
          <w:p w14:paraId="2E9C9C58">
            <w:pPr>
              <w:spacing w:line="0" w:lineRule="atLeast"/>
              <w:jc w:val="center"/>
              <w:rPr>
                <w:rFonts w:eastAsia="仿宋_GB2312"/>
                <w:kern w:val="0"/>
                <w:sz w:val="18"/>
                <w:szCs w:val="18"/>
              </w:rPr>
            </w:pPr>
          </w:p>
          <w:p w14:paraId="52A51671">
            <w:pPr>
              <w:spacing w:line="0" w:lineRule="atLeast"/>
              <w:jc w:val="center"/>
              <w:rPr>
                <w:rFonts w:eastAsia="仿宋_GB2312"/>
                <w:kern w:val="0"/>
                <w:sz w:val="18"/>
                <w:szCs w:val="18"/>
              </w:rPr>
            </w:pPr>
            <w:r>
              <w:rPr>
                <w:rFonts w:eastAsia="仿宋_GB2312"/>
                <w:kern w:val="0"/>
                <w:sz w:val="18"/>
                <w:szCs w:val="18"/>
              </w:rPr>
              <w:t>过程</w:t>
            </w:r>
          </w:p>
          <w:p w14:paraId="566E3A17">
            <w:pPr>
              <w:widowControl/>
              <w:spacing w:line="0" w:lineRule="atLeast"/>
              <w:jc w:val="center"/>
              <w:rPr>
                <w:rFonts w:eastAsia="仿宋_GB2312"/>
                <w:kern w:val="0"/>
                <w:sz w:val="18"/>
                <w:szCs w:val="18"/>
              </w:rPr>
            </w:pPr>
            <w:r>
              <w:rPr>
                <w:rFonts w:eastAsia="仿宋_GB2312"/>
                <w:kern w:val="0"/>
                <w:sz w:val="18"/>
                <w:szCs w:val="18"/>
              </w:rPr>
              <w:t>　　</w:t>
            </w:r>
          </w:p>
        </w:tc>
        <w:tc>
          <w:tcPr>
            <w:tcW w:w="1000" w:type="dxa"/>
            <w:vMerge w:val="restart"/>
            <w:shd w:val="clear" w:color="auto" w:fill="FFFFFF"/>
            <w:vAlign w:val="center"/>
          </w:tcPr>
          <w:p w14:paraId="27C4BFD3">
            <w:pPr>
              <w:widowControl/>
              <w:spacing w:line="0" w:lineRule="atLeast"/>
              <w:jc w:val="center"/>
              <w:rPr>
                <w:rFonts w:eastAsia="仿宋_GB2312"/>
                <w:kern w:val="0"/>
                <w:sz w:val="18"/>
                <w:szCs w:val="18"/>
              </w:rPr>
            </w:pPr>
            <w:r>
              <w:rPr>
                <w:rFonts w:eastAsia="仿宋_GB2312"/>
                <w:kern w:val="0"/>
                <w:sz w:val="18"/>
                <w:szCs w:val="18"/>
              </w:rPr>
              <w:t>资金管理</w:t>
            </w:r>
          </w:p>
        </w:tc>
        <w:tc>
          <w:tcPr>
            <w:tcW w:w="1071" w:type="dxa"/>
            <w:shd w:val="clear" w:color="auto" w:fill="FFFFFF"/>
            <w:vAlign w:val="center"/>
          </w:tcPr>
          <w:p w14:paraId="2D64885D">
            <w:pPr>
              <w:widowControl/>
              <w:spacing w:line="0" w:lineRule="atLeast"/>
              <w:jc w:val="center"/>
              <w:rPr>
                <w:rFonts w:eastAsia="仿宋_GB2312"/>
                <w:kern w:val="0"/>
                <w:sz w:val="18"/>
                <w:szCs w:val="18"/>
              </w:rPr>
            </w:pPr>
            <w:r>
              <w:rPr>
                <w:rFonts w:eastAsia="仿宋_GB2312"/>
                <w:kern w:val="0"/>
                <w:sz w:val="18"/>
                <w:szCs w:val="18"/>
              </w:rPr>
              <w:t>资金到位率</w:t>
            </w:r>
          </w:p>
        </w:tc>
        <w:tc>
          <w:tcPr>
            <w:tcW w:w="1725" w:type="dxa"/>
            <w:shd w:val="clear" w:color="000000" w:fill="FFFFFF"/>
            <w:vAlign w:val="center"/>
          </w:tcPr>
          <w:p w14:paraId="6368AA1E">
            <w:pPr>
              <w:widowControl/>
              <w:spacing w:line="0" w:lineRule="atLeast"/>
              <w:rPr>
                <w:rFonts w:eastAsia="仿宋_GB2312"/>
                <w:kern w:val="0"/>
                <w:sz w:val="18"/>
                <w:szCs w:val="18"/>
              </w:rPr>
            </w:pPr>
            <w:r>
              <w:rPr>
                <w:rFonts w:eastAsia="仿宋_GB2312"/>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49A7ECD6">
            <w:pPr>
              <w:widowControl/>
              <w:spacing w:line="0" w:lineRule="atLeast"/>
              <w:rPr>
                <w:rFonts w:eastAsia="仿宋_GB2312"/>
                <w:kern w:val="0"/>
                <w:sz w:val="18"/>
                <w:szCs w:val="18"/>
              </w:rPr>
            </w:pPr>
            <w:r>
              <w:rPr>
                <w:rFonts w:eastAsia="仿宋_GB2312"/>
                <w:kern w:val="0"/>
                <w:sz w:val="18"/>
                <w:szCs w:val="18"/>
              </w:rPr>
              <w:t>资金到位率=（实际到位资金/预算资金）×100%。</w:t>
            </w:r>
          </w:p>
          <w:p w14:paraId="0EB7CF37">
            <w:pPr>
              <w:widowControl/>
              <w:spacing w:line="0" w:lineRule="atLeast"/>
              <w:rPr>
                <w:rFonts w:eastAsia="仿宋_GB2312"/>
                <w:kern w:val="0"/>
                <w:sz w:val="18"/>
                <w:szCs w:val="18"/>
              </w:rPr>
            </w:pPr>
            <w:r>
              <w:rPr>
                <w:rFonts w:eastAsia="仿宋_GB2312"/>
                <w:kern w:val="0"/>
                <w:sz w:val="18"/>
                <w:szCs w:val="18"/>
              </w:rPr>
              <w:t>实际到位资金：一定时期（本年度或项目期）内落实到具体项目的资金。</w:t>
            </w:r>
          </w:p>
          <w:p w14:paraId="7965828A">
            <w:pPr>
              <w:widowControl/>
              <w:spacing w:line="0" w:lineRule="atLeast"/>
              <w:rPr>
                <w:rFonts w:eastAsia="仿宋_GB2312"/>
                <w:kern w:val="0"/>
                <w:sz w:val="18"/>
                <w:szCs w:val="18"/>
              </w:rPr>
            </w:pPr>
            <w:r>
              <w:rPr>
                <w:rFonts w:eastAsia="仿宋_GB2312"/>
                <w:kern w:val="0"/>
                <w:sz w:val="18"/>
                <w:szCs w:val="18"/>
              </w:rPr>
              <w:t>预算资金：一定时期（本年度或项目期）内预算安排到具体项目的资金。</w:t>
            </w:r>
          </w:p>
        </w:tc>
        <w:tc>
          <w:tcPr>
            <w:tcW w:w="1304" w:type="dxa"/>
            <w:shd w:val="clear" w:color="000000" w:fill="FFFFFF"/>
            <w:vAlign w:val="center"/>
          </w:tcPr>
          <w:p w14:paraId="21BEA4C1">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388B8E17">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2DA341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1002" w:type="dxa"/>
            <w:vMerge w:val="continue"/>
            <w:shd w:val="clear" w:color="auto" w:fill="FFFFFF"/>
            <w:vAlign w:val="center"/>
          </w:tcPr>
          <w:p w14:paraId="24763D84">
            <w:pPr>
              <w:spacing w:line="0" w:lineRule="atLeast"/>
              <w:jc w:val="center"/>
              <w:rPr>
                <w:rFonts w:eastAsia="仿宋_GB2312"/>
                <w:kern w:val="0"/>
                <w:sz w:val="18"/>
                <w:szCs w:val="18"/>
              </w:rPr>
            </w:pPr>
          </w:p>
        </w:tc>
        <w:tc>
          <w:tcPr>
            <w:tcW w:w="1000" w:type="dxa"/>
            <w:vMerge w:val="continue"/>
            <w:shd w:val="clear" w:color="auto" w:fill="FFFFFF"/>
            <w:vAlign w:val="center"/>
          </w:tcPr>
          <w:p w14:paraId="0038B0DD">
            <w:pPr>
              <w:spacing w:line="0" w:lineRule="atLeast"/>
              <w:jc w:val="center"/>
              <w:rPr>
                <w:rFonts w:eastAsia="仿宋_GB2312"/>
                <w:kern w:val="0"/>
                <w:sz w:val="18"/>
                <w:szCs w:val="18"/>
              </w:rPr>
            </w:pPr>
          </w:p>
        </w:tc>
        <w:tc>
          <w:tcPr>
            <w:tcW w:w="1071" w:type="dxa"/>
            <w:shd w:val="clear" w:color="auto" w:fill="FFFFFF"/>
            <w:vAlign w:val="center"/>
          </w:tcPr>
          <w:p w14:paraId="70B64CB9">
            <w:pPr>
              <w:widowControl/>
              <w:spacing w:line="0" w:lineRule="atLeast"/>
              <w:jc w:val="center"/>
              <w:rPr>
                <w:rFonts w:eastAsia="仿宋_GB2312"/>
                <w:kern w:val="0"/>
                <w:sz w:val="18"/>
                <w:szCs w:val="18"/>
              </w:rPr>
            </w:pPr>
            <w:r>
              <w:rPr>
                <w:rFonts w:eastAsia="仿宋_GB2312"/>
                <w:kern w:val="0"/>
                <w:sz w:val="18"/>
                <w:szCs w:val="18"/>
              </w:rPr>
              <w:t>预算执行率</w:t>
            </w:r>
          </w:p>
        </w:tc>
        <w:tc>
          <w:tcPr>
            <w:tcW w:w="1725" w:type="dxa"/>
            <w:shd w:val="clear" w:color="auto" w:fill="FFFFFF"/>
            <w:vAlign w:val="center"/>
          </w:tcPr>
          <w:p w14:paraId="699524C6">
            <w:pPr>
              <w:widowControl/>
              <w:spacing w:line="0" w:lineRule="atLeast"/>
              <w:rPr>
                <w:rFonts w:eastAsia="仿宋_GB2312"/>
                <w:kern w:val="0"/>
                <w:sz w:val="18"/>
                <w:szCs w:val="18"/>
              </w:rPr>
            </w:pPr>
            <w:r>
              <w:rPr>
                <w:rFonts w:eastAsia="仿宋_GB2312"/>
                <w:kern w:val="0"/>
                <w:sz w:val="18"/>
                <w:szCs w:val="18"/>
              </w:rPr>
              <w:t>项目预算资金是否按照计划执行，用以反映或考核项目预算执行情况。</w:t>
            </w:r>
          </w:p>
        </w:tc>
        <w:tc>
          <w:tcPr>
            <w:tcW w:w="5216" w:type="dxa"/>
            <w:shd w:val="clear" w:color="auto" w:fill="FFFFFF"/>
            <w:vAlign w:val="center"/>
          </w:tcPr>
          <w:p w14:paraId="0F8EE6D4">
            <w:pPr>
              <w:widowControl/>
              <w:spacing w:line="0" w:lineRule="atLeast"/>
              <w:rPr>
                <w:rFonts w:eastAsia="仿宋_GB2312"/>
                <w:kern w:val="0"/>
                <w:sz w:val="18"/>
                <w:szCs w:val="18"/>
              </w:rPr>
            </w:pPr>
            <w:r>
              <w:rPr>
                <w:rFonts w:eastAsia="仿宋_GB2312"/>
                <w:kern w:val="0"/>
                <w:sz w:val="18"/>
                <w:szCs w:val="18"/>
              </w:rPr>
              <w:t>预算执行率=（实际支出资金/实际到位资金）×100%。</w:t>
            </w:r>
            <w:r>
              <w:rPr>
                <w:rFonts w:eastAsia="仿宋_GB2312"/>
                <w:kern w:val="0"/>
                <w:sz w:val="18"/>
                <w:szCs w:val="18"/>
              </w:rPr>
              <w:br w:type="textWrapping"/>
            </w:r>
            <w:r>
              <w:rPr>
                <w:rFonts w:eastAsia="仿宋_GB2312"/>
                <w:kern w:val="0"/>
                <w:sz w:val="18"/>
                <w:szCs w:val="18"/>
              </w:rPr>
              <w:t>实际支出资金：一定时期（本年度或项目期）内项目实际拨付的资金。</w:t>
            </w:r>
          </w:p>
        </w:tc>
        <w:tc>
          <w:tcPr>
            <w:tcW w:w="1304" w:type="dxa"/>
            <w:shd w:val="clear" w:color="auto" w:fill="FFFFFF"/>
            <w:vAlign w:val="center"/>
          </w:tcPr>
          <w:p w14:paraId="6C0725DF">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auto" w:fill="FFFFFF"/>
            <w:vAlign w:val="center"/>
          </w:tcPr>
          <w:p w14:paraId="715EA5A1">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66F38E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2" w:type="dxa"/>
            <w:vMerge w:val="continue"/>
            <w:shd w:val="clear" w:color="auto" w:fill="FFFFFF"/>
            <w:vAlign w:val="center"/>
          </w:tcPr>
          <w:p w14:paraId="451D682C">
            <w:pPr>
              <w:spacing w:line="0" w:lineRule="atLeast"/>
              <w:jc w:val="center"/>
              <w:rPr>
                <w:rFonts w:eastAsia="仿宋_GB2312"/>
                <w:kern w:val="0"/>
                <w:sz w:val="18"/>
                <w:szCs w:val="18"/>
              </w:rPr>
            </w:pPr>
          </w:p>
        </w:tc>
        <w:tc>
          <w:tcPr>
            <w:tcW w:w="1000" w:type="dxa"/>
            <w:shd w:val="clear" w:color="auto" w:fill="FFFFFF"/>
            <w:vAlign w:val="center"/>
          </w:tcPr>
          <w:p w14:paraId="4DEA7547">
            <w:pPr>
              <w:widowControl/>
              <w:spacing w:line="0" w:lineRule="atLeast"/>
              <w:jc w:val="center"/>
              <w:rPr>
                <w:rFonts w:eastAsia="仿宋_GB2312"/>
                <w:kern w:val="0"/>
                <w:sz w:val="18"/>
                <w:szCs w:val="18"/>
              </w:rPr>
            </w:pPr>
            <w:r>
              <w:rPr>
                <w:rFonts w:eastAsia="仿宋_GB2312"/>
                <w:kern w:val="0"/>
                <w:sz w:val="18"/>
                <w:szCs w:val="18"/>
              </w:rPr>
              <w:t>资金管理</w:t>
            </w:r>
          </w:p>
        </w:tc>
        <w:tc>
          <w:tcPr>
            <w:tcW w:w="1071" w:type="dxa"/>
            <w:shd w:val="clear" w:color="auto" w:fill="FFFFFF"/>
            <w:vAlign w:val="center"/>
          </w:tcPr>
          <w:p w14:paraId="495EF465">
            <w:pPr>
              <w:widowControl/>
              <w:spacing w:line="0" w:lineRule="atLeast"/>
              <w:jc w:val="center"/>
              <w:rPr>
                <w:rFonts w:eastAsia="仿宋_GB2312"/>
                <w:kern w:val="0"/>
                <w:sz w:val="18"/>
                <w:szCs w:val="18"/>
              </w:rPr>
            </w:pPr>
            <w:r>
              <w:rPr>
                <w:rFonts w:eastAsia="仿宋_GB2312"/>
                <w:kern w:val="0"/>
                <w:sz w:val="18"/>
                <w:szCs w:val="18"/>
              </w:rPr>
              <w:t>资金使用</w:t>
            </w:r>
          </w:p>
          <w:p w14:paraId="07BDDC4F">
            <w:pPr>
              <w:widowControl/>
              <w:spacing w:line="0" w:lineRule="atLeast"/>
              <w:jc w:val="center"/>
              <w:rPr>
                <w:rFonts w:eastAsia="仿宋_GB2312"/>
                <w:kern w:val="0"/>
                <w:sz w:val="18"/>
                <w:szCs w:val="18"/>
              </w:rPr>
            </w:pPr>
            <w:r>
              <w:rPr>
                <w:rFonts w:eastAsia="仿宋_GB2312"/>
                <w:kern w:val="0"/>
                <w:sz w:val="18"/>
                <w:szCs w:val="18"/>
              </w:rPr>
              <w:t>合规性</w:t>
            </w:r>
          </w:p>
        </w:tc>
        <w:tc>
          <w:tcPr>
            <w:tcW w:w="1725" w:type="dxa"/>
            <w:shd w:val="clear" w:color="000000" w:fill="FFFFFF"/>
            <w:vAlign w:val="center"/>
          </w:tcPr>
          <w:p w14:paraId="166BFCEA">
            <w:pPr>
              <w:widowControl/>
              <w:spacing w:line="0" w:lineRule="atLeast"/>
              <w:rPr>
                <w:rFonts w:eastAsia="仿宋_GB2312"/>
                <w:kern w:val="0"/>
                <w:sz w:val="18"/>
                <w:szCs w:val="18"/>
              </w:rPr>
            </w:pPr>
            <w:r>
              <w:rPr>
                <w:rFonts w:eastAsia="仿宋_GB2312"/>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07089DAD">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①是否符合国家财经法规和财务管理制度以及有关专项资金管理办法的规定；</w:t>
            </w:r>
            <w:r>
              <w:rPr>
                <w:rFonts w:eastAsia="仿宋_GB2312"/>
                <w:kern w:val="0"/>
                <w:sz w:val="18"/>
                <w:szCs w:val="18"/>
              </w:rPr>
              <w:br w:type="textWrapping"/>
            </w:r>
            <w:r>
              <w:rPr>
                <w:rFonts w:eastAsia="仿宋_GB2312"/>
                <w:kern w:val="0"/>
                <w:sz w:val="18"/>
                <w:szCs w:val="18"/>
              </w:rPr>
              <w:t>②资金的拨付是否有完整的审批程序和手续；</w:t>
            </w:r>
            <w:r>
              <w:rPr>
                <w:rFonts w:eastAsia="仿宋_GB2312"/>
                <w:kern w:val="0"/>
                <w:sz w:val="18"/>
                <w:szCs w:val="18"/>
              </w:rPr>
              <w:br w:type="textWrapping"/>
            </w:r>
            <w:r>
              <w:rPr>
                <w:rFonts w:eastAsia="仿宋_GB2312"/>
                <w:kern w:val="0"/>
                <w:sz w:val="18"/>
                <w:szCs w:val="18"/>
              </w:rPr>
              <w:t>③是否符合项目预算批复或合同规定的用途；</w:t>
            </w:r>
            <w:r>
              <w:rPr>
                <w:rFonts w:eastAsia="仿宋_GB2312"/>
                <w:kern w:val="0"/>
                <w:sz w:val="18"/>
                <w:szCs w:val="18"/>
              </w:rPr>
              <w:br w:type="textWrapping"/>
            </w:r>
            <w:r>
              <w:rPr>
                <w:rFonts w:eastAsia="仿宋_GB2312"/>
                <w:kern w:val="0"/>
                <w:sz w:val="18"/>
                <w:szCs w:val="18"/>
              </w:rPr>
              <w:t>④是否存在截留、挤占、挪用、虚列支出等情况。</w:t>
            </w:r>
          </w:p>
        </w:tc>
        <w:tc>
          <w:tcPr>
            <w:tcW w:w="1304" w:type="dxa"/>
            <w:shd w:val="clear" w:color="000000" w:fill="FFFFFF"/>
            <w:vAlign w:val="center"/>
          </w:tcPr>
          <w:p w14:paraId="15D55EA1">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302673AB">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1DDC94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1002" w:type="dxa"/>
            <w:vMerge w:val="continue"/>
            <w:shd w:val="clear" w:color="auto" w:fill="FFFFFF"/>
            <w:vAlign w:val="center"/>
          </w:tcPr>
          <w:p w14:paraId="24BF6E02">
            <w:pPr>
              <w:spacing w:line="0" w:lineRule="atLeast"/>
              <w:jc w:val="center"/>
              <w:rPr>
                <w:rFonts w:eastAsia="仿宋_GB2312"/>
                <w:kern w:val="0"/>
                <w:sz w:val="18"/>
                <w:szCs w:val="18"/>
              </w:rPr>
            </w:pPr>
          </w:p>
        </w:tc>
        <w:tc>
          <w:tcPr>
            <w:tcW w:w="1000" w:type="dxa"/>
            <w:vMerge w:val="restart"/>
            <w:shd w:val="clear" w:color="auto" w:fill="FFFFFF"/>
            <w:vAlign w:val="center"/>
          </w:tcPr>
          <w:p w14:paraId="103E8099">
            <w:pPr>
              <w:widowControl/>
              <w:spacing w:line="0" w:lineRule="atLeast"/>
              <w:jc w:val="center"/>
              <w:rPr>
                <w:rFonts w:eastAsia="仿宋_GB2312"/>
                <w:kern w:val="0"/>
                <w:sz w:val="18"/>
                <w:szCs w:val="18"/>
              </w:rPr>
            </w:pPr>
            <w:r>
              <w:rPr>
                <w:rFonts w:eastAsia="仿宋_GB2312"/>
                <w:kern w:val="0"/>
                <w:sz w:val="18"/>
                <w:szCs w:val="18"/>
              </w:rPr>
              <w:t>组织实施</w:t>
            </w:r>
          </w:p>
          <w:p w14:paraId="24A1E84C">
            <w:pPr>
              <w:spacing w:line="0" w:lineRule="atLeast"/>
              <w:jc w:val="center"/>
              <w:rPr>
                <w:rFonts w:eastAsia="仿宋_GB2312"/>
                <w:kern w:val="0"/>
                <w:sz w:val="18"/>
                <w:szCs w:val="18"/>
              </w:rPr>
            </w:pPr>
            <w:r>
              <w:rPr>
                <w:rFonts w:eastAsia="仿宋_GB2312"/>
                <w:kern w:val="0"/>
                <w:sz w:val="18"/>
                <w:szCs w:val="18"/>
              </w:rPr>
              <w:t>　</w:t>
            </w:r>
          </w:p>
        </w:tc>
        <w:tc>
          <w:tcPr>
            <w:tcW w:w="1071" w:type="dxa"/>
            <w:shd w:val="clear" w:color="auto" w:fill="FFFFFF"/>
            <w:vAlign w:val="center"/>
          </w:tcPr>
          <w:p w14:paraId="6B56E27C">
            <w:pPr>
              <w:widowControl/>
              <w:spacing w:line="0" w:lineRule="atLeast"/>
              <w:jc w:val="center"/>
              <w:rPr>
                <w:rFonts w:eastAsia="仿宋_GB2312"/>
                <w:kern w:val="0"/>
                <w:sz w:val="18"/>
                <w:szCs w:val="18"/>
              </w:rPr>
            </w:pPr>
            <w:r>
              <w:rPr>
                <w:rFonts w:eastAsia="仿宋_GB2312"/>
                <w:kern w:val="0"/>
                <w:sz w:val="18"/>
                <w:szCs w:val="18"/>
              </w:rPr>
              <w:t>管理制度</w:t>
            </w:r>
          </w:p>
          <w:p w14:paraId="0294E592">
            <w:pPr>
              <w:widowControl/>
              <w:spacing w:line="0" w:lineRule="atLeast"/>
              <w:jc w:val="center"/>
              <w:rPr>
                <w:rFonts w:eastAsia="仿宋_GB2312"/>
                <w:kern w:val="0"/>
                <w:sz w:val="18"/>
                <w:szCs w:val="18"/>
              </w:rPr>
            </w:pPr>
            <w:r>
              <w:rPr>
                <w:rFonts w:eastAsia="仿宋_GB2312"/>
                <w:kern w:val="0"/>
                <w:sz w:val="18"/>
                <w:szCs w:val="18"/>
              </w:rPr>
              <w:t>健全性</w:t>
            </w:r>
          </w:p>
        </w:tc>
        <w:tc>
          <w:tcPr>
            <w:tcW w:w="1725" w:type="dxa"/>
            <w:shd w:val="clear" w:color="000000" w:fill="FFFFFF"/>
            <w:vAlign w:val="center"/>
          </w:tcPr>
          <w:p w14:paraId="56D0EF32">
            <w:pPr>
              <w:widowControl/>
              <w:spacing w:line="0" w:lineRule="atLeast"/>
              <w:rPr>
                <w:rFonts w:eastAsia="仿宋_GB2312"/>
                <w:kern w:val="0"/>
                <w:sz w:val="18"/>
                <w:szCs w:val="18"/>
              </w:rPr>
            </w:pPr>
            <w:r>
              <w:rPr>
                <w:rFonts w:eastAsia="仿宋_GB2312"/>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15CF9BDF">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①是否已制定或具有相应的财务和业务管理制度；</w:t>
            </w:r>
            <w:r>
              <w:rPr>
                <w:rFonts w:eastAsia="仿宋_GB2312"/>
                <w:kern w:val="0"/>
                <w:sz w:val="18"/>
                <w:szCs w:val="18"/>
              </w:rPr>
              <w:br w:type="textWrapping"/>
            </w:r>
            <w:r>
              <w:rPr>
                <w:rFonts w:eastAsia="仿宋_GB2312"/>
                <w:kern w:val="0"/>
                <w:sz w:val="18"/>
                <w:szCs w:val="18"/>
              </w:rPr>
              <w:t>②财务和业务管理制度是否合法、合规、完整。</w:t>
            </w:r>
          </w:p>
        </w:tc>
        <w:tc>
          <w:tcPr>
            <w:tcW w:w="1304" w:type="dxa"/>
            <w:shd w:val="clear" w:color="000000" w:fill="FFFFFF"/>
            <w:vAlign w:val="center"/>
          </w:tcPr>
          <w:p w14:paraId="0E99D4A5">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73B7348E">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783570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1002" w:type="dxa"/>
            <w:vMerge w:val="continue"/>
            <w:shd w:val="clear" w:color="auto" w:fill="FFFFFF"/>
            <w:vAlign w:val="center"/>
          </w:tcPr>
          <w:p w14:paraId="44F06FFD">
            <w:pPr>
              <w:widowControl/>
              <w:spacing w:line="0" w:lineRule="atLeast"/>
              <w:jc w:val="center"/>
              <w:rPr>
                <w:rFonts w:eastAsia="仿宋_GB2312"/>
                <w:kern w:val="0"/>
                <w:sz w:val="18"/>
                <w:szCs w:val="18"/>
              </w:rPr>
            </w:pPr>
          </w:p>
        </w:tc>
        <w:tc>
          <w:tcPr>
            <w:tcW w:w="1000" w:type="dxa"/>
            <w:vMerge w:val="continue"/>
            <w:shd w:val="clear" w:color="auto" w:fill="FFFFFF"/>
            <w:vAlign w:val="center"/>
          </w:tcPr>
          <w:p w14:paraId="77D17083">
            <w:pPr>
              <w:widowControl/>
              <w:spacing w:line="0" w:lineRule="atLeast"/>
              <w:jc w:val="center"/>
              <w:rPr>
                <w:rFonts w:eastAsia="仿宋_GB2312"/>
                <w:kern w:val="0"/>
                <w:sz w:val="18"/>
                <w:szCs w:val="18"/>
              </w:rPr>
            </w:pPr>
          </w:p>
        </w:tc>
        <w:tc>
          <w:tcPr>
            <w:tcW w:w="1071" w:type="dxa"/>
            <w:shd w:val="clear" w:color="auto" w:fill="FFFFFF"/>
            <w:vAlign w:val="center"/>
          </w:tcPr>
          <w:p w14:paraId="76D304CB">
            <w:pPr>
              <w:widowControl/>
              <w:spacing w:line="0" w:lineRule="atLeast"/>
              <w:jc w:val="center"/>
              <w:rPr>
                <w:rFonts w:eastAsia="仿宋_GB2312"/>
                <w:kern w:val="0"/>
                <w:sz w:val="18"/>
                <w:szCs w:val="18"/>
              </w:rPr>
            </w:pPr>
            <w:r>
              <w:rPr>
                <w:rFonts w:eastAsia="仿宋_GB2312"/>
                <w:kern w:val="0"/>
                <w:sz w:val="18"/>
                <w:szCs w:val="18"/>
              </w:rPr>
              <w:t>制度执行</w:t>
            </w:r>
          </w:p>
          <w:p w14:paraId="50F471DE">
            <w:pPr>
              <w:widowControl/>
              <w:spacing w:line="0" w:lineRule="atLeast"/>
              <w:jc w:val="center"/>
              <w:rPr>
                <w:rFonts w:eastAsia="仿宋_GB2312"/>
                <w:kern w:val="0"/>
                <w:sz w:val="18"/>
                <w:szCs w:val="18"/>
              </w:rPr>
            </w:pPr>
            <w:r>
              <w:rPr>
                <w:rFonts w:eastAsia="仿宋_GB2312"/>
                <w:kern w:val="0"/>
                <w:sz w:val="18"/>
                <w:szCs w:val="18"/>
              </w:rPr>
              <w:t>有效性</w:t>
            </w:r>
          </w:p>
        </w:tc>
        <w:tc>
          <w:tcPr>
            <w:tcW w:w="1725" w:type="dxa"/>
            <w:shd w:val="clear" w:color="000000" w:fill="FFFFFF"/>
            <w:vAlign w:val="center"/>
          </w:tcPr>
          <w:p w14:paraId="0677C542">
            <w:pPr>
              <w:widowControl/>
              <w:spacing w:line="0" w:lineRule="atLeast"/>
              <w:rPr>
                <w:rFonts w:eastAsia="仿宋_GB2312"/>
                <w:kern w:val="0"/>
                <w:sz w:val="18"/>
                <w:szCs w:val="18"/>
              </w:rPr>
            </w:pPr>
            <w:r>
              <w:rPr>
                <w:rFonts w:eastAsia="仿宋_GB2312"/>
                <w:kern w:val="0"/>
                <w:sz w:val="18"/>
                <w:szCs w:val="18"/>
              </w:rPr>
              <w:t>项目实施是否符合相关管理规定，用以反映和考核相关管理制度的有效执行情况。</w:t>
            </w:r>
          </w:p>
        </w:tc>
        <w:tc>
          <w:tcPr>
            <w:tcW w:w="5216" w:type="dxa"/>
            <w:shd w:val="clear" w:color="000000" w:fill="FFFFFF"/>
            <w:vAlign w:val="center"/>
          </w:tcPr>
          <w:p w14:paraId="1FE980F8">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①是否遵守相关法律法规和相关管理规定；</w:t>
            </w:r>
            <w:r>
              <w:rPr>
                <w:rFonts w:eastAsia="仿宋_GB2312"/>
                <w:kern w:val="0"/>
                <w:sz w:val="18"/>
                <w:szCs w:val="18"/>
              </w:rPr>
              <w:br w:type="textWrapping"/>
            </w:r>
            <w:r>
              <w:rPr>
                <w:rFonts w:eastAsia="仿宋_GB2312"/>
                <w:kern w:val="0"/>
                <w:sz w:val="18"/>
                <w:szCs w:val="18"/>
              </w:rPr>
              <w:t>②项目调整及支出调整手续是否完备；</w:t>
            </w:r>
            <w:r>
              <w:rPr>
                <w:rFonts w:eastAsia="仿宋_GB2312"/>
                <w:kern w:val="0"/>
                <w:sz w:val="18"/>
                <w:szCs w:val="18"/>
              </w:rPr>
              <w:br w:type="textWrapping"/>
            </w:r>
            <w:r>
              <w:rPr>
                <w:rFonts w:eastAsia="仿宋_GB2312"/>
                <w:kern w:val="0"/>
                <w:sz w:val="18"/>
                <w:szCs w:val="18"/>
              </w:rPr>
              <w:t>③项目合同书、验收报告、技术鉴定等资料是否齐全并及时归档；</w:t>
            </w:r>
            <w:r>
              <w:rPr>
                <w:rFonts w:eastAsia="仿宋_GB2312"/>
                <w:kern w:val="0"/>
                <w:sz w:val="18"/>
                <w:szCs w:val="18"/>
              </w:rPr>
              <w:br w:type="textWrapping"/>
            </w:r>
            <w:r>
              <w:rPr>
                <w:rFonts w:eastAsia="仿宋_GB2312"/>
                <w:kern w:val="0"/>
                <w:sz w:val="18"/>
                <w:szCs w:val="18"/>
              </w:rPr>
              <w:t>④项目实施的人员条件、场地设备、信息支撑等是否落实到位。</w:t>
            </w:r>
          </w:p>
        </w:tc>
        <w:tc>
          <w:tcPr>
            <w:tcW w:w="1304" w:type="dxa"/>
            <w:shd w:val="clear" w:color="000000" w:fill="FFFFFF"/>
            <w:vAlign w:val="center"/>
          </w:tcPr>
          <w:p w14:paraId="6BB51749">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76E7E281">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4D70BD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1002" w:type="dxa"/>
            <w:vMerge w:val="restart"/>
            <w:shd w:val="clear" w:color="auto" w:fill="FFFFFF"/>
            <w:vAlign w:val="center"/>
          </w:tcPr>
          <w:p w14:paraId="284E061E">
            <w:pPr>
              <w:widowControl/>
              <w:spacing w:line="0" w:lineRule="atLeast"/>
              <w:jc w:val="center"/>
              <w:rPr>
                <w:rFonts w:eastAsia="仿宋_GB2312"/>
                <w:kern w:val="0"/>
                <w:sz w:val="18"/>
                <w:szCs w:val="18"/>
              </w:rPr>
            </w:pPr>
            <w:r>
              <w:rPr>
                <w:rFonts w:eastAsia="仿宋_GB2312"/>
                <w:kern w:val="0"/>
                <w:sz w:val="18"/>
                <w:szCs w:val="18"/>
              </w:rPr>
              <w:t>产出</w:t>
            </w:r>
          </w:p>
        </w:tc>
        <w:tc>
          <w:tcPr>
            <w:tcW w:w="1000" w:type="dxa"/>
            <w:shd w:val="clear" w:color="auto" w:fill="FFFFFF"/>
            <w:vAlign w:val="center"/>
          </w:tcPr>
          <w:p w14:paraId="3B4F43E7">
            <w:pPr>
              <w:widowControl/>
              <w:spacing w:line="0" w:lineRule="atLeast"/>
              <w:jc w:val="center"/>
              <w:rPr>
                <w:rFonts w:eastAsia="仿宋_GB2312"/>
                <w:kern w:val="0"/>
                <w:sz w:val="18"/>
                <w:szCs w:val="18"/>
              </w:rPr>
            </w:pPr>
            <w:r>
              <w:rPr>
                <w:rFonts w:eastAsia="仿宋_GB2312"/>
                <w:kern w:val="0"/>
                <w:sz w:val="18"/>
                <w:szCs w:val="18"/>
              </w:rPr>
              <w:t>产出数量</w:t>
            </w:r>
          </w:p>
        </w:tc>
        <w:tc>
          <w:tcPr>
            <w:tcW w:w="1071" w:type="dxa"/>
            <w:shd w:val="clear" w:color="auto" w:fill="FFFFFF"/>
            <w:vAlign w:val="center"/>
          </w:tcPr>
          <w:p w14:paraId="721B55D0">
            <w:pPr>
              <w:widowControl/>
              <w:spacing w:line="0" w:lineRule="atLeast"/>
              <w:jc w:val="center"/>
              <w:rPr>
                <w:rFonts w:eastAsia="仿宋_GB2312"/>
                <w:kern w:val="0"/>
                <w:sz w:val="18"/>
                <w:szCs w:val="18"/>
              </w:rPr>
            </w:pPr>
            <w:r>
              <w:rPr>
                <w:rFonts w:eastAsia="仿宋_GB2312"/>
                <w:kern w:val="0"/>
                <w:sz w:val="18"/>
                <w:szCs w:val="18"/>
              </w:rPr>
              <w:t>实际完成率</w:t>
            </w:r>
          </w:p>
        </w:tc>
        <w:tc>
          <w:tcPr>
            <w:tcW w:w="1725" w:type="dxa"/>
            <w:shd w:val="clear" w:color="000000" w:fill="FFFFFF"/>
            <w:vAlign w:val="center"/>
          </w:tcPr>
          <w:p w14:paraId="0E879AB0">
            <w:pPr>
              <w:widowControl/>
              <w:spacing w:line="0" w:lineRule="atLeast"/>
              <w:rPr>
                <w:rFonts w:eastAsia="仿宋_GB2312"/>
                <w:kern w:val="0"/>
                <w:sz w:val="18"/>
                <w:szCs w:val="18"/>
              </w:rPr>
            </w:pPr>
            <w:r>
              <w:rPr>
                <w:rFonts w:eastAsia="仿宋_GB2312"/>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40B045DD">
            <w:pPr>
              <w:widowControl/>
              <w:spacing w:line="0" w:lineRule="atLeast"/>
              <w:rPr>
                <w:rFonts w:eastAsia="仿宋_GB2312"/>
                <w:kern w:val="0"/>
                <w:sz w:val="18"/>
                <w:szCs w:val="18"/>
              </w:rPr>
            </w:pPr>
            <w:r>
              <w:rPr>
                <w:rFonts w:eastAsia="仿宋_GB2312"/>
                <w:kern w:val="0"/>
                <w:sz w:val="18"/>
                <w:szCs w:val="18"/>
              </w:rPr>
              <w:t>实际完成率=（实际产出数/计划产出数）×100%。</w:t>
            </w:r>
            <w:r>
              <w:rPr>
                <w:rFonts w:eastAsia="仿宋_GB2312"/>
                <w:kern w:val="0"/>
                <w:sz w:val="18"/>
                <w:szCs w:val="18"/>
              </w:rPr>
              <w:br w:type="textWrapping"/>
            </w:r>
            <w:r>
              <w:rPr>
                <w:rFonts w:eastAsia="仿宋_GB2312"/>
                <w:kern w:val="0"/>
                <w:sz w:val="18"/>
                <w:szCs w:val="18"/>
              </w:rPr>
              <w:t>实际产出数：一定时期（本年度或项目期）内项目实际产出的产品或提供的服务数量。</w:t>
            </w:r>
            <w:r>
              <w:rPr>
                <w:rFonts w:eastAsia="仿宋_GB2312"/>
                <w:kern w:val="0"/>
                <w:sz w:val="18"/>
                <w:szCs w:val="18"/>
              </w:rPr>
              <w:br w:type="textWrapping"/>
            </w:r>
            <w:r>
              <w:rPr>
                <w:rFonts w:eastAsia="仿宋_GB2312"/>
                <w:kern w:val="0"/>
                <w:sz w:val="18"/>
                <w:szCs w:val="18"/>
              </w:rPr>
              <w:t>计划产出数：项目绩效目标确定的在一定时期（本年度或项目期）内计划产出的产品或提供的服务数量。</w:t>
            </w:r>
          </w:p>
        </w:tc>
        <w:tc>
          <w:tcPr>
            <w:tcW w:w="1304" w:type="dxa"/>
            <w:shd w:val="clear" w:color="000000" w:fill="FFFFFF"/>
            <w:vAlign w:val="center"/>
          </w:tcPr>
          <w:p w14:paraId="1011D735">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3FBA210F">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2EC0A1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73" w:hRule="atLeast"/>
          <w:jc w:val="center"/>
        </w:trPr>
        <w:tc>
          <w:tcPr>
            <w:tcW w:w="1002" w:type="dxa"/>
            <w:vMerge w:val="continue"/>
            <w:shd w:val="clear" w:color="auto" w:fill="FFFFFF"/>
            <w:vAlign w:val="center"/>
          </w:tcPr>
          <w:p w14:paraId="06F2807F">
            <w:pPr>
              <w:widowControl/>
              <w:spacing w:line="0" w:lineRule="atLeast"/>
              <w:jc w:val="center"/>
              <w:rPr>
                <w:rFonts w:eastAsia="仿宋_GB2312"/>
                <w:kern w:val="0"/>
                <w:sz w:val="18"/>
                <w:szCs w:val="18"/>
              </w:rPr>
            </w:pPr>
          </w:p>
        </w:tc>
        <w:tc>
          <w:tcPr>
            <w:tcW w:w="1000" w:type="dxa"/>
            <w:shd w:val="clear" w:color="auto" w:fill="FFFFFF"/>
            <w:vAlign w:val="center"/>
          </w:tcPr>
          <w:p w14:paraId="37D6411F">
            <w:pPr>
              <w:widowControl/>
              <w:spacing w:line="0" w:lineRule="atLeast"/>
              <w:jc w:val="center"/>
              <w:rPr>
                <w:rFonts w:eastAsia="仿宋_GB2312"/>
                <w:kern w:val="0"/>
                <w:sz w:val="18"/>
                <w:szCs w:val="18"/>
              </w:rPr>
            </w:pPr>
            <w:r>
              <w:rPr>
                <w:rFonts w:eastAsia="仿宋_GB2312"/>
                <w:kern w:val="0"/>
                <w:sz w:val="18"/>
                <w:szCs w:val="18"/>
              </w:rPr>
              <w:t>产出质量</w:t>
            </w:r>
          </w:p>
        </w:tc>
        <w:tc>
          <w:tcPr>
            <w:tcW w:w="1071" w:type="dxa"/>
            <w:shd w:val="clear" w:color="auto" w:fill="FFFFFF"/>
            <w:vAlign w:val="center"/>
          </w:tcPr>
          <w:p w14:paraId="134BFE68">
            <w:pPr>
              <w:widowControl/>
              <w:spacing w:line="0" w:lineRule="atLeast"/>
              <w:jc w:val="center"/>
              <w:rPr>
                <w:rFonts w:eastAsia="仿宋_GB2312"/>
                <w:kern w:val="0"/>
                <w:sz w:val="18"/>
                <w:szCs w:val="18"/>
              </w:rPr>
            </w:pPr>
            <w:r>
              <w:rPr>
                <w:rFonts w:eastAsia="仿宋_GB2312"/>
                <w:kern w:val="0"/>
                <w:sz w:val="18"/>
                <w:szCs w:val="18"/>
              </w:rPr>
              <w:t>质量达标率</w:t>
            </w:r>
          </w:p>
        </w:tc>
        <w:tc>
          <w:tcPr>
            <w:tcW w:w="1725" w:type="dxa"/>
            <w:shd w:val="clear" w:color="000000" w:fill="FFFFFF"/>
            <w:vAlign w:val="center"/>
          </w:tcPr>
          <w:p w14:paraId="3C936DC4">
            <w:pPr>
              <w:widowControl/>
              <w:spacing w:line="0" w:lineRule="atLeast"/>
              <w:rPr>
                <w:rFonts w:eastAsia="仿宋_GB2312"/>
                <w:kern w:val="0"/>
                <w:sz w:val="18"/>
                <w:szCs w:val="18"/>
              </w:rPr>
            </w:pPr>
            <w:r>
              <w:rPr>
                <w:rFonts w:eastAsia="仿宋_GB2312"/>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00C01673">
            <w:pPr>
              <w:widowControl/>
              <w:spacing w:line="0" w:lineRule="atLeast"/>
              <w:rPr>
                <w:rFonts w:eastAsia="仿宋_GB2312"/>
                <w:kern w:val="0"/>
                <w:sz w:val="18"/>
                <w:szCs w:val="18"/>
              </w:rPr>
            </w:pPr>
            <w:r>
              <w:rPr>
                <w:rFonts w:eastAsia="仿宋_GB2312"/>
                <w:kern w:val="0"/>
                <w:sz w:val="18"/>
                <w:szCs w:val="18"/>
              </w:rPr>
              <w:t>质量达标率=（质量达标产出数/实际产出数）×100%。</w:t>
            </w:r>
          </w:p>
          <w:p w14:paraId="486DD1DD">
            <w:pPr>
              <w:widowControl/>
              <w:spacing w:line="0" w:lineRule="atLeast"/>
              <w:rPr>
                <w:rFonts w:eastAsia="仿宋_GB2312"/>
                <w:kern w:val="0"/>
                <w:sz w:val="18"/>
                <w:szCs w:val="18"/>
              </w:rPr>
            </w:pPr>
            <w:r>
              <w:rPr>
                <w:rFonts w:eastAsia="仿宋_GB2312"/>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shd w:val="clear" w:color="000000" w:fill="FFFFFF"/>
            <w:vAlign w:val="center"/>
          </w:tcPr>
          <w:p w14:paraId="465C7133">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404D569E">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54E1B4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1002" w:type="dxa"/>
            <w:vMerge w:val="continue"/>
            <w:shd w:val="clear" w:color="auto" w:fill="FFFFFF"/>
            <w:vAlign w:val="center"/>
          </w:tcPr>
          <w:p w14:paraId="4B990F74">
            <w:pPr>
              <w:spacing w:line="0" w:lineRule="atLeast"/>
              <w:jc w:val="center"/>
              <w:rPr>
                <w:rFonts w:eastAsia="仿宋_GB2312"/>
                <w:kern w:val="0"/>
                <w:sz w:val="18"/>
                <w:szCs w:val="18"/>
              </w:rPr>
            </w:pPr>
          </w:p>
        </w:tc>
        <w:tc>
          <w:tcPr>
            <w:tcW w:w="1000" w:type="dxa"/>
            <w:shd w:val="clear" w:color="auto" w:fill="FFFFFF"/>
            <w:vAlign w:val="center"/>
          </w:tcPr>
          <w:p w14:paraId="7F84D554">
            <w:pPr>
              <w:spacing w:line="0" w:lineRule="atLeast"/>
              <w:jc w:val="center"/>
              <w:rPr>
                <w:rFonts w:eastAsia="仿宋_GB2312"/>
                <w:kern w:val="0"/>
                <w:sz w:val="18"/>
                <w:szCs w:val="18"/>
              </w:rPr>
            </w:pPr>
            <w:r>
              <w:rPr>
                <w:rFonts w:eastAsia="仿宋_GB2312"/>
                <w:kern w:val="0"/>
                <w:sz w:val="18"/>
                <w:szCs w:val="18"/>
              </w:rPr>
              <w:t>产出时效</w:t>
            </w:r>
          </w:p>
        </w:tc>
        <w:tc>
          <w:tcPr>
            <w:tcW w:w="1071" w:type="dxa"/>
            <w:shd w:val="clear" w:color="auto" w:fill="FFFFFF"/>
            <w:vAlign w:val="center"/>
          </w:tcPr>
          <w:p w14:paraId="4E45406A">
            <w:pPr>
              <w:widowControl/>
              <w:spacing w:line="0" w:lineRule="atLeast"/>
              <w:jc w:val="center"/>
              <w:rPr>
                <w:rFonts w:eastAsia="仿宋_GB2312"/>
                <w:kern w:val="0"/>
                <w:sz w:val="18"/>
                <w:szCs w:val="18"/>
              </w:rPr>
            </w:pPr>
            <w:r>
              <w:rPr>
                <w:rFonts w:eastAsia="仿宋_GB2312"/>
                <w:kern w:val="0"/>
                <w:sz w:val="18"/>
                <w:szCs w:val="18"/>
              </w:rPr>
              <w:t>完成及时性</w:t>
            </w:r>
          </w:p>
        </w:tc>
        <w:tc>
          <w:tcPr>
            <w:tcW w:w="1725" w:type="dxa"/>
            <w:shd w:val="clear" w:color="000000" w:fill="FFFFFF"/>
            <w:vAlign w:val="center"/>
          </w:tcPr>
          <w:p w14:paraId="66F3BB9F">
            <w:pPr>
              <w:widowControl/>
              <w:spacing w:line="0" w:lineRule="atLeast"/>
              <w:rPr>
                <w:rFonts w:eastAsia="仿宋_GB2312"/>
                <w:kern w:val="0"/>
                <w:sz w:val="18"/>
                <w:szCs w:val="18"/>
              </w:rPr>
            </w:pPr>
            <w:r>
              <w:rPr>
                <w:rFonts w:eastAsia="仿宋_GB2312"/>
                <w:kern w:val="0"/>
                <w:sz w:val="18"/>
                <w:szCs w:val="18"/>
              </w:rPr>
              <w:t>项目实际完成时间与计划完成时间的比较，用以反映和考核项目产出时效目标的实现程度。</w:t>
            </w:r>
          </w:p>
        </w:tc>
        <w:tc>
          <w:tcPr>
            <w:tcW w:w="5216" w:type="dxa"/>
            <w:shd w:val="clear" w:color="000000" w:fill="FFFFFF"/>
            <w:vAlign w:val="center"/>
          </w:tcPr>
          <w:p w14:paraId="6924DACA">
            <w:pPr>
              <w:widowControl/>
              <w:spacing w:line="0" w:lineRule="atLeast"/>
              <w:rPr>
                <w:rFonts w:eastAsia="仿宋_GB2312"/>
                <w:kern w:val="0"/>
                <w:sz w:val="18"/>
                <w:szCs w:val="18"/>
              </w:rPr>
            </w:pPr>
            <w:r>
              <w:rPr>
                <w:rFonts w:eastAsia="仿宋_GB2312"/>
                <w:kern w:val="0"/>
                <w:sz w:val="18"/>
                <w:szCs w:val="18"/>
              </w:rPr>
              <w:t>实际完成时间：项目实施单位完成该项目实际所耗用的时间。</w:t>
            </w:r>
            <w:r>
              <w:rPr>
                <w:rFonts w:eastAsia="仿宋_GB2312"/>
                <w:kern w:val="0"/>
                <w:sz w:val="18"/>
                <w:szCs w:val="18"/>
              </w:rPr>
              <w:br w:type="textWrapping"/>
            </w:r>
            <w:r>
              <w:rPr>
                <w:rFonts w:eastAsia="仿宋_GB2312"/>
                <w:kern w:val="0"/>
                <w:sz w:val="18"/>
                <w:szCs w:val="18"/>
              </w:rPr>
              <w:t>计划完成时间：按照项目实施计划或相关规定完成该项目所需的时间。</w:t>
            </w:r>
          </w:p>
        </w:tc>
        <w:tc>
          <w:tcPr>
            <w:tcW w:w="1304" w:type="dxa"/>
            <w:shd w:val="clear" w:color="000000" w:fill="FFFFFF"/>
            <w:vAlign w:val="center"/>
          </w:tcPr>
          <w:p w14:paraId="613A12B6">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678683B7">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3C1881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2" w:type="dxa"/>
            <w:vMerge w:val="continue"/>
            <w:shd w:val="clear" w:color="auto" w:fill="FFFFFF"/>
            <w:vAlign w:val="center"/>
          </w:tcPr>
          <w:p w14:paraId="40E66496">
            <w:pPr>
              <w:widowControl/>
              <w:spacing w:line="0" w:lineRule="atLeast"/>
              <w:jc w:val="center"/>
              <w:rPr>
                <w:rFonts w:eastAsia="仿宋_GB2312"/>
                <w:kern w:val="0"/>
                <w:sz w:val="18"/>
                <w:szCs w:val="18"/>
              </w:rPr>
            </w:pPr>
          </w:p>
        </w:tc>
        <w:tc>
          <w:tcPr>
            <w:tcW w:w="1000" w:type="dxa"/>
            <w:shd w:val="clear" w:color="auto" w:fill="FFFFFF"/>
            <w:vAlign w:val="center"/>
          </w:tcPr>
          <w:p w14:paraId="176303CF">
            <w:pPr>
              <w:widowControl/>
              <w:spacing w:line="0" w:lineRule="atLeast"/>
              <w:jc w:val="center"/>
              <w:rPr>
                <w:rFonts w:eastAsia="仿宋_GB2312"/>
                <w:kern w:val="0"/>
                <w:sz w:val="18"/>
                <w:szCs w:val="18"/>
              </w:rPr>
            </w:pPr>
            <w:r>
              <w:rPr>
                <w:rFonts w:eastAsia="仿宋_GB2312"/>
                <w:kern w:val="0"/>
                <w:sz w:val="18"/>
                <w:szCs w:val="18"/>
              </w:rPr>
              <w:t>产出成本</w:t>
            </w:r>
          </w:p>
        </w:tc>
        <w:tc>
          <w:tcPr>
            <w:tcW w:w="1071" w:type="dxa"/>
            <w:shd w:val="clear" w:color="auto" w:fill="FFFFFF"/>
            <w:vAlign w:val="center"/>
          </w:tcPr>
          <w:p w14:paraId="6B6F0B2A">
            <w:pPr>
              <w:widowControl/>
              <w:spacing w:line="0" w:lineRule="atLeast"/>
              <w:jc w:val="center"/>
              <w:rPr>
                <w:rFonts w:eastAsia="仿宋_GB2312"/>
                <w:kern w:val="0"/>
                <w:sz w:val="18"/>
                <w:szCs w:val="18"/>
              </w:rPr>
            </w:pPr>
            <w:r>
              <w:rPr>
                <w:rFonts w:eastAsia="仿宋_GB2312"/>
                <w:kern w:val="0"/>
                <w:sz w:val="18"/>
                <w:szCs w:val="18"/>
              </w:rPr>
              <w:t>成本节约率</w:t>
            </w:r>
          </w:p>
        </w:tc>
        <w:tc>
          <w:tcPr>
            <w:tcW w:w="1725" w:type="dxa"/>
            <w:shd w:val="clear" w:color="000000" w:fill="FFFFFF"/>
            <w:vAlign w:val="center"/>
          </w:tcPr>
          <w:p w14:paraId="1D0F1391">
            <w:pPr>
              <w:widowControl/>
              <w:spacing w:line="0" w:lineRule="atLeast"/>
              <w:rPr>
                <w:rFonts w:eastAsia="仿宋_GB2312"/>
                <w:kern w:val="0"/>
                <w:sz w:val="18"/>
                <w:szCs w:val="18"/>
              </w:rPr>
            </w:pPr>
            <w:r>
              <w:rPr>
                <w:rFonts w:eastAsia="仿宋_GB2312"/>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2692C25B">
            <w:pPr>
              <w:widowControl/>
              <w:spacing w:line="0" w:lineRule="atLeast"/>
              <w:rPr>
                <w:rFonts w:eastAsia="仿宋_GB2312"/>
                <w:kern w:val="0"/>
                <w:sz w:val="18"/>
                <w:szCs w:val="18"/>
              </w:rPr>
            </w:pPr>
            <w:r>
              <w:rPr>
                <w:rFonts w:eastAsia="仿宋_GB2312"/>
                <w:kern w:val="0"/>
                <w:sz w:val="18"/>
                <w:szCs w:val="18"/>
              </w:rPr>
              <w:br w:type="textWrapping"/>
            </w:r>
            <w:r>
              <w:rPr>
                <w:rFonts w:eastAsia="仿宋_GB2312"/>
                <w:kern w:val="0"/>
                <w:sz w:val="18"/>
                <w:szCs w:val="18"/>
              </w:rPr>
              <w:t>成本节约率=[（计划成本-实际成本）/计划成本]×100%。</w:t>
            </w:r>
            <w:r>
              <w:rPr>
                <w:rFonts w:eastAsia="仿宋_GB2312"/>
                <w:kern w:val="0"/>
                <w:sz w:val="18"/>
                <w:szCs w:val="18"/>
              </w:rPr>
              <w:br w:type="textWrapping"/>
            </w:r>
            <w:r>
              <w:rPr>
                <w:rFonts w:eastAsia="仿宋_GB2312"/>
                <w:kern w:val="0"/>
                <w:sz w:val="18"/>
                <w:szCs w:val="18"/>
              </w:rPr>
              <w:t>实际成本：项目实施单位如期、保质、保量完成既定工作目标实际所耗费的支出。</w:t>
            </w:r>
            <w:r>
              <w:rPr>
                <w:rFonts w:eastAsia="仿宋_GB2312"/>
                <w:kern w:val="0"/>
                <w:sz w:val="18"/>
                <w:szCs w:val="18"/>
              </w:rPr>
              <w:br w:type="textWrapping"/>
            </w:r>
            <w:r>
              <w:rPr>
                <w:rFonts w:eastAsia="仿宋_GB2312"/>
                <w:kern w:val="0"/>
                <w:sz w:val="18"/>
                <w:szCs w:val="18"/>
              </w:rPr>
              <w:t>计划成本：项目实施单位为完成工作目标计划安排的支出，一般以项目预算为参考。</w:t>
            </w:r>
          </w:p>
        </w:tc>
        <w:tc>
          <w:tcPr>
            <w:tcW w:w="1304" w:type="dxa"/>
            <w:shd w:val="clear" w:color="000000" w:fill="FFFFFF"/>
            <w:vAlign w:val="center"/>
          </w:tcPr>
          <w:p w14:paraId="2BB0DFEF">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2226C82C">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1A3CE3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1002" w:type="dxa"/>
            <w:vMerge w:val="restart"/>
            <w:shd w:val="clear" w:color="auto" w:fill="FFFFFF"/>
            <w:vAlign w:val="center"/>
          </w:tcPr>
          <w:p w14:paraId="6DBC7956">
            <w:pPr>
              <w:widowControl/>
              <w:spacing w:line="0" w:lineRule="atLeast"/>
              <w:jc w:val="center"/>
              <w:rPr>
                <w:rFonts w:eastAsia="仿宋_GB2312"/>
                <w:kern w:val="0"/>
                <w:sz w:val="18"/>
                <w:szCs w:val="18"/>
              </w:rPr>
            </w:pPr>
            <w:r>
              <w:rPr>
                <w:rFonts w:eastAsia="仿宋_GB2312"/>
                <w:kern w:val="0"/>
                <w:sz w:val="18"/>
                <w:szCs w:val="18"/>
              </w:rPr>
              <w:t>效益　</w:t>
            </w:r>
          </w:p>
        </w:tc>
        <w:tc>
          <w:tcPr>
            <w:tcW w:w="1000" w:type="dxa"/>
            <w:vMerge w:val="restart"/>
            <w:shd w:val="clear" w:color="auto" w:fill="FFFFFF"/>
            <w:vAlign w:val="center"/>
          </w:tcPr>
          <w:p w14:paraId="7EF474F5">
            <w:pPr>
              <w:widowControl/>
              <w:spacing w:line="0" w:lineRule="atLeast"/>
              <w:jc w:val="center"/>
              <w:rPr>
                <w:rFonts w:eastAsia="仿宋_GB2312"/>
                <w:kern w:val="0"/>
                <w:sz w:val="18"/>
                <w:szCs w:val="18"/>
              </w:rPr>
            </w:pPr>
            <w:r>
              <w:rPr>
                <w:rFonts w:eastAsia="仿宋_GB2312"/>
                <w:kern w:val="0"/>
                <w:sz w:val="18"/>
                <w:szCs w:val="18"/>
              </w:rPr>
              <w:t>项目效益　</w:t>
            </w:r>
          </w:p>
        </w:tc>
        <w:tc>
          <w:tcPr>
            <w:tcW w:w="1071" w:type="dxa"/>
            <w:shd w:val="clear" w:color="auto" w:fill="FFFFFF"/>
            <w:vAlign w:val="center"/>
          </w:tcPr>
          <w:p w14:paraId="2CA27DE1">
            <w:pPr>
              <w:widowControl/>
              <w:spacing w:line="0" w:lineRule="atLeast"/>
              <w:jc w:val="center"/>
              <w:rPr>
                <w:rFonts w:eastAsia="仿宋_GB2312"/>
                <w:kern w:val="0"/>
                <w:sz w:val="18"/>
                <w:szCs w:val="18"/>
              </w:rPr>
            </w:pPr>
            <w:r>
              <w:rPr>
                <w:rFonts w:eastAsia="仿宋_GB2312"/>
                <w:kern w:val="0"/>
                <w:sz w:val="18"/>
                <w:szCs w:val="18"/>
              </w:rPr>
              <w:t>实施效益</w:t>
            </w:r>
          </w:p>
        </w:tc>
        <w:tc>
          <w:tcPr>
            <w:tcW w:w="1725" w:type="dxa"/>
            <w:shd w:val="clear" w:color="auto" w:fill="FFFFFF"/>
            <w:vAlign w:val="center"/>
          </w:tcPr>
          <w:p w14:paraId="6C2399CC">
            <w:pPr>
              <w:widowControl/>
              <w:spacing w:line="0" w:lineRule="atLeast"/>
              <w:jc w:val="left"/>
              <w:rPr>
                <w:rFonts w:eastAsia="仿宋_GB2312"/>
                <w:kern w:val="0"/>
                <w:sz w:val="18"/>
                <w:szCs w:val="18"/>
              </w:rPr>
            </w:pPr>
            <w:r>
              <w:rPr>
                <w:rFonts w:eastAsia="仿宋_GB2312"/>
                <w:kern w:val="0"/>
                <w:sz w:val="18"/>
                <w:szCs w:val="18"/>
              </w:rPr>
              <w:t>项目实施所产生的效益。</w:t>
            </w:r>
          </w:p>
        </w:tc>
        <w:tc>
          <w:tcPr>
            <w:tcW w:w="5216" w:type="dxa"/>
            <w:shd w:val="clear" w:color="auto" w:fill="FFFFFF"/>
            <w:vAlign w:val="center"/>
          </w:tcPr>
          <w:p w14:paraId="02F5622B">
            <w:pPr>
              <w:widowControl/>
              <w:spacing w:line="0" w:lineRule="atLeast"/>
              <w:rPr>
                <w:rFonts w:eastAsia="仿宋_GB2312"/>
                <w:kern w:val="0"/>
                <w:sz w:val="18"/>
                <w:szCs w:val="18"/>
              </w:rPr>
            </w:pPr>
            <w:r>
              <w:rPr>
                <w:rFonts w:eastAsia="仿宋_GB2312"/>
                <w:kern w:val="0"/>
                <w:sz w:val="18"/>
                <w:szCs w:val="18"/>
              </w:rPr>
              <w:t>项目实施所产生的社会效益、经济效益、生态效益、可持续影响等。可根据项目实际情况有选择地设置和细化。</w:t>
            </w:r>
          </w:p>
        </w:tc>
        <w:tc>
          <w:tcPr>
            <w:tcW w:w="1304" w:type="dxa"/>
            <w:shd w:val="clear" w:color="auto" w:fill="FFFFFF"/>
            <w:vAlign w:val="center"/>
          </w:tcPr>
          <w:p w14:paraId="1EE09C09">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auto" w:fill="FFFFFF"/>
            <w:vAlign w:val="center"/>
          </w:tcPr>
          <w:p w14:paraId="6D8BEC4E">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1F2381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1002" w:type="dxa"/>
            <w:vMerge w:val="continue"/>
            <w:shd w:val="clear" w:color="auto" w:fill="FFFFFF"/>
            <w:vAlign w:val="center"/>
          </w:tcPr>
          <w:p w14:paraId="30744A49">
            <w:pPr>
              <w:widowControl/>
              <w:spacing w:line="0" w:lineRule="atLeast"/>
              <w:jc w:val="center"/>
              <w:rPr>
                <w:rFonts w:eastAsia="仿宋_GB2312"/>
                <w:kern w:val="0"/>
                <w:sz w:val="18"/>
                <w:szCs w:val="18"/>
              </w:rPr>
            </w:pPr>
          </w:p>
        </w:tc>
        <w:tc>
          <w:tcPr>
            <w:tcW w:w="1000" w:type="dxa"/>
            <w:vMerge w:val="continue"/>
            <w:shd w:val="clear" w:color="auto" w:fill="FFFFFF"/>
            <w:vAlign w:val="center"/>
          </w:tcPr>
          <w:p w14:paraId="78917931">
            <w:pPr>
              <w:widowControl/>
              <w:spacing w:line="0" w:lineRule="atLeast"/>
              <w:jc w:val="center"/>
              <w:rPr>
                <w:rFonts w:eastAsia="仿宋_GB2312"/>
                <w:kern w:val="0"/>
                <w:sz w:val="18"/>
                <w:szCs w:val="18"/>
              </w:rPr>
            </w:pPr>
          </w:p>
        </w:tc>
        <w:tc>
          <w:tcPr>
            <w:tcW w:w="1071" w:type="dxa"/>
            <w:shd w:val="clear" w:color="auto" w:fill="FFFFFF"/>
            <w:vAlign w:val="center"/>
          </w:tcPr>
          <w:p w14:paraId="217826B1">
            <w:pPr>
              <w:widowControl/>
              <w:spacing w:line="0" w:lineRule="atLeast"/>
              <w:jc w:val="center"/>
              <w:rPr>
                <w:rFonts w:eastAsia="仿宋_GB2312"/>
                <w:kern w:val="0"/>
                <w:sz w:val="18"/>
                <w:szCs w:val="18"/>
              </w:rPr>
            </w:pPr>
            <w:r>
              <w:rPr>
                <w:rFonts w:eastAsia="仿宋_GB2312"/>
                <w:kern w:val="0"/>
                <w:sz w:val="18"/>
                <w:szCs w:val="18"/>
              </w:rPr>
              <w:t>满意度</w:t>
            </w:r>
          </w:p>
        </w:tc>
        <w:tc>
          <w:tcPr>
            <w:tcW w:w="1725" w:type="dxa"/>
            <w:shd w:val="clear" w:color="000000" w:fill="FFFFFF"/>
            <w:vAlign w:val="center"/>
          </w:tcPr>
          <w:p w14:paraId="623E02BC">
            <w:pPr>
              <w:widowControl/>
              <w:spacing w:line="0" w:lineRule="atLeast"/>
              <w:rPr>
                <w:rFonts w:eastAsia="仿宋_GB2312"/>
                <w:kern w:val="0"/>
                <w:sz w:val="18"/>
                <w:szCs w:val="18"/>
              </w:rPr>
            </w:pPr>
            <w:r>
              <w:rPr>
                <w:rFonts w:eastAsia="仿宋_GB2312"/>
                <w:kern w:val="0"/>
                <w:sz w:val="18"/>
                <w:szCs w:val="18"/>
              </w:rPr>
              <w:t>社会公众或服务对象对项目实施效果的满意程度。</w:t>
            </w:r>
          </w:p>
        </w:tc>
        <w:tc>
          <w:tcPr>
            <w:tcW w:w="5216" w:type="dxa"/>
            <w:shd w:val="clear" w:color="000000" w:fill="FFFFFF"/>
            <w:vAlign w:val="center"/>
          </w:tcPr>
          <w:p w14:paraId="3657CF26">
            <w:pPr>
              <w:widowControl/>
              <w:spacing w:line="0" w:lineRule="atLeast"/>
              <w:rPr>
                <w:rFonts w:eastAsia="仿宋_GB2312"/>
                <w:kern w:val="0"/>
                <w:sz w:val="18"/>
                <w:szCs w:val="18"/>
              </w:rPr>
            </w:pPr>
            <w:r>
              <w:rPr>
                <w:rFonts w:eastAsia="仿宋_GB2312"/>
                <w:kern w:val="0"/>
                <w:sz w:val="18"/>
                <w:szCs w:val="18"/>
              </w:rPr>
              <w:t>社会公众或服务对象是指因该项目实施而受到影响的部门（单位）、群体或个人。一般采取社会调查的方式。</w:t>
            </w:r>
          </w:p>
        </w:tc>
        <w:tc>
          <w:tcPr>
            <w:tcW w:w="1304" w:type="dxa"/>
            <w:shd w:val="clear" w:color="000000" w:fill="FFFFFF"/>
            <w:vAlign w:val="center"/>
          </w:tcPr>
          <w:p w14:paraId="7B21A88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0B9C1D5A">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4BE468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3" w:hRule="atLeast"/>
          <w:jc w:val="center"/>
        </w:trPr>
        <w:tc>
          <w:tcPr>
            <w:tcW w:w="10019" w:type="dxa"/>
            <w:gridSpan w:val="5"/>
            <w:shd w:val="clear" w:color="auto" w:fill="FFFFFF"/>
            <w:vAlign w:val="center"/>
          </w:tcPr>
          <w:p w14:paraId="013521B7">
            <w:pPr>
              <w:widowControl/>
              <w:spacing w:line="0" w:lineRule="atLeast"/>
              <w:jc w:val="center"/>
              <w:rPr>
                <w:rFonts w:eastAsia="仿宋_GB2312"/>
                <w:b/>
                <w:bCs/>
                <w:kern w:val="0"/>
                <w:sz w:val="18"/>
                <w:szCs w:val="18"/>
              </w:rPr>
            </w:pPr>
            <w:r>
              <w:rPr>
                <w:rFonts w:hint="eastAsia" w:eastAsia="仿宋_GB2312"/>
                <w:b/>
                <w:bCs/>
                <w:kern w:val="0"/>
                <w:sz w:val="18"/>
                <w:szCs w:val="18"/>
              </w:rPr>
              <w:t>合计</w:t>
            </w:r>
          </w:p>
        </w:tc>
        <w:tc>
          <w:tcPr>
            <w:tcW w:w="1299" w:type="dxa"/>
            <w:shd w:val="clear" w:color="000000" w:fill="FFFFFF"/>
            <w:vAlign w:val="center"/>
          </w:tcPr>
          <w:p w14:paraId="328C3F15">
            <w:pPr>
              <w:widowControl/>
              <w:spacing w:line="0" w:lineRule="atLeast"/>
              <w:jc w:val="center"/>
              <w:rPr>
                <w:rFonts w:eastAsia="仿宋_GB2312"/>
                <w:b/>
                <w:bCs/>
                <w:kern w:val="0"/>
                <w:sz w:val="18"/>
                <w:szCs w:val="18"/>
              </w:rPr>
            </w:pPr>
            <w:r>
              <w:rPr>
                <w:rFonts w:eastAsia="仿宋_GB2312"/>
                <w:b/>
                <w:bCs/>
                <w:kern w:val="0"/>
                <w:sz w:val="18"/>
                <w:szCs w:val="18"/>
              </w:rPr>
              <w:fldChar w:fldCharType="begin"/>
            </w:r>
            <w:r>
              <w:rPr>
                <w:rFonts w:eastAsia="仿宋_GB2312"/>
                <w:b/>
                <w:bCs/>
                <w:kern w:val="0"/>
                <w:sz w:val="18"/>
                <w:szCs w:val="18"/>
              </w:rPr>
              <w:instrText xml:space="preserve"> = sum(F2:F18) \* MERGEFORMAT </w:instrText>
            </w:r>
            <w:r>
              <w:rPr>
                <w:rFonts w:eastAsia="仿宋_GB2312"/>
                <w:b/>
                <w:bCs/>
                <w:kern w:val="0"/>
                <w:sz w:val="18"/>
                <w:szCs w:val="18"/>
              </w:rPr>
              <w:fldChar w:fldCharType="separate"/>
            </w:r>
            <w:r>
              <w:rPr>
                <w:rFonts w:eastAsia="仿宋_GB2312"/>
                <w:b/>
                <w:bCs/>
                <w:kern w:val="0"/>
                <w:sz w:val="18"/>
                <w:szCs w:val="18"/>
              </w:rPr>
              <w:t>100</w:t>
            </w:r>
            <w:r>
              <w:rPr>
                <w:rFonts w:eastAsia="仿宋_GB2312"/>
                <w:b/>
                <w:bCs/>
                <w:kern w:val="0"/>
                <w:sz w:val="18"/>
                <w:szCs w:val="18"/>
              </w:rPr>
              <w:fldChar w:fldCharType="end"/>
            </w:r>
          </w:p>
        </w:tc>
        <w:tc>
          <w:tcPr>
            <w:tcW w:w="1365" w:type="dxa"/>
            <w:shd w:val="clear" w:color="000000" w:fill="FFFFFF"/>
            <w:vAlign w:val="center"/>
          </w:tcPr>
          <w:p w14:paraId="6CF457AA">
            <w:pPr>
              <w:widowControl/>
              <w:spacing w:line="0" w:lineRule="atLeast"/>
              <w:jc w:val="center"/>
              <w:rPr>
                <w:rFonts w:eastAsia="仿宋_GB2312"/>
                <w:b/>
                <w:bCs/>
                <w:kern w:val="0"/>
                <w:sz w:val="18"/>
                <w:szCs w:val="18"/>
              </w:rPr>
            </w:pPr>
            <w:r>
              <w:rPr>
                <w:rFonts w:hint="eastAsia" w:eastAsia="仿宋_GB2312"/>
                <w:b/>
                <w:bCs/>
                <w:kern w:val="0"/>
                <w:sz w:val="18"/>
                <w:szCs w:val="18"/>
              </w:rPr>
              <w:t>100</w:t>
            </w:r>
          </w:p>
        </w:tc>
      </w:tr>
    </w:tbl>
    <w:p w14:paraId="6B1994E4">
      <w:pPr>
        <w:sectPr>
          <w:pgSz w:w="16838" w:h="11906" w:orient="landscape"/>
          <w:pgMar w:top="1800" w:right="1440" w:bottom="1558" w:left="1440" w:header="851" w:footer="992" w:gutter="0"/>
          <w:cols w:space="425" w:num="1"/>
          <w:docGrid w:type="lines" w:linePitch="312" w:charSpace="0"/>
        </w:sectPr>
      </w:pPr>
    </w:p>
    <w:p w14:paraId="6073F793">
      <w:pPr>
        <w:spacing w:line="600" w:lineRule="exact"/>
        <w:rPr>
          <w:rFonts w:eastAsia="黑体"/>
          <w:sz w:val="32"/>
          <w:szCs w:val="32"/>
        </w:rPr>
      </w:pPr>
      <w:r>
        <w:rPr>
          <w:rFonts w:hint="eastAsia" w:eastAsia="黑体"/>
          <w:sz w:val="32"/>
          <w:szCs w:val="32"/>
        </w:rPr>
        <w:t>附件2</w:t>
      </w:r>
    </w:p>
    <w:tbl>
      <w:tblPr>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69"/>
        <w:gridCol w:w="1069"/>
        <w:gridCol w:w="1505"/>
        <w:gridCol w:w="1070"/>
        <w:gridCol w:w="1569"/>
        <w:gridCol w:w="2063"/>
        <w:gridCol w:w="2061"/>
        <w:gridCol w:w="396"/>
        <w:gridCol w:w="400"/>
        <w:gridCol w:w="385"/>
        <w:gridCol w:w="480"/>
        <w:gridCol w:w="703"/>
        <w:gridCol w:w="1075"/>
      </w:tblGrid>
      <w:tr w14:paraId="69D07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13851" w:type="dxa"/>
            <w:gridSpan w:val="13"/>
            <w:tcBorders>
              <w:top w:val="nil"/>
              <w:left w:val="nil"/>
              <w:bottom w:val="nil"/>
              <w:right w:val="nil"/>
            </w:tcBorders>
            <w:shd w:val="clear"/>
            <w:vAlign w:val="center"/>
          </w:tcPr>
          <w:p w14:paraId="7137880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项目支出绩效自评表</w:t>
            </w:r>
          </w:p>
        </w:tc>
      </w:tr>
      <w:tr w14:paraId="4D269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3851" w:type="dxa"/>
            <w:gridSpan w:val="13"/>
            <w:tcBorders>
              <w:top w:val="nil"/>
              <w:left w:val="nil"/>
              <w:bottom w:val="nil"/>
              <w:right w:val="nil"/>
            </w:tcBorders>
            <w:shd w:val="clear"/>
            <w:vAlign w:val="center"/>
          </w:tcPr>
          <w:p w14:paraId="64873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(2024年度)</w:t>
            </w:r>
          </w:p>
        </w:tc>
      </w:tr>
      <w:tr w14:paraId="321EC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3BCC7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11691" w:type="dxa"/>
            <w:gridSpan w:val="11"/>
            <w:tcBorders>
              <w:top w:val="single" w:color="000000" w:sz="4" w:space="0"/>
              <w:left w:val="single" w:color="000000" w:sz="4" w:space="0"/>
              <w:bottom w:val="single" w:color="000000" w:sz="4" w:space="0"/>
              <w:right w:val="single" w:color="000000" w:sz="4" w:space="0"/>
            </w:tcBorders>
            <w:shd w:val="clear"/>
            <w:vAlign w:val="center"/>
          </w:tcPr>
          <w:p w14:paraId="470BBD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雅山污水处理厂污水处理运行费（污水处理）</w:t>
            </w:r>
          </w:p>
        </w:tc>
      </w:tr>
      <w:tr w14:paraId="67E86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591A9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主管部门</w:t>
            </w:r>
          </w:p>
        </w:tc>
        <w:tc>
          <w:tcPr>
            <w:tcW w:w="4173" w:type="dxa"/>
            <w:gridSpan w:val="3"/>
            <w:tcBorders>
              <w:top w:val="single" w:color="000000" w:sz="4" w:space="0"/>
              <w:left w:val="single" w:color="000000" w:sz="4" w:space="0"/>
              <w:bottom w:val="single" w:color="000000" w:sz="4" w:space="0"/>
              <w:right w:val="single" w:color="000000" w:sz="4" w:space="0"/>
            </w:tcBorders>
            <w:shd w:val="clear"/>
            <w:vAlign w:val="center"/>
          </w:tcPr>
          <w:p w14:paraId="72B33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乌鲁木齐市雅玛里克山污水处理厂</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DC6C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实施单位</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24967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乌鲁木齐市雅玛里克山污水处理厂</w:t>
            </w:r>
          </w:p>
        </w:tc>
      </w:tr>
      <w:tr w14:paraId="437C5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6186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项目资金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（万元）</w:t>
            </w: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1EDECECB">
            <w:pPr>
              <w:jc w:val="center"/>
              <w:rPr>
                <w:rFonts w:hint="eastAsia" w:ascii="宋体" w:hAnsi="宋体" w:eastAsia="宋体" w:cs="宋体"/>
                <w:i w:val="0"/>
                <w:iCs w:val="0"/>
                <w:color w:val="000000"/>
                <w:sz w:val="20"/>
                <w:szCs w:val="20"/>
                <w:u w:val="none"/>
              </w:rPr>
            </w:pP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5A856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年初预算数</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A357A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全年预算数</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4474E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全年执行数</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5AE72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55878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执行率</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D490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r>
      <w:tr w14:paraId="61368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85BE5DA">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27F8F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年度资金总额</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1EB8D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2C4A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20BA8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01E97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6DE0E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678E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10.00分</w:t>
            </w:r>
          </w:p>
        </w:tc>
      </w:tr>
      <w:tr w14:paraId="62563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94024A4">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4EAD1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其中：当年财政拨款</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2C504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4B61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6B6C7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409E73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3D984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CBAD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71B5F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EA150C8">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5681F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其他资金</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6FC6D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5FD7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73C3D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70DD40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2AF02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3B5F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3D9CA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9EB5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年度总体目标</w:t>
            </w:r>
          </w:p>
        </w:tc>
        <w:tc>
          <w:tcPr>
            <w:tcW w:w="7333" w:type="dxa"/>
            <w:gridSpan w:val="5"/>
            <w:tcBorders>
              <w:top w:val="single" w:color="000000" w:sz="4" w:space="0"/>
              <w:left w:val="single" w:color="000000" w:sz="4" w:space="0"/>
              <w:bottom w:val="single" w:color="000000" w:sz="4" w:space="0"/>
              <w:right w:val="single" w:color="000000" w:sz="4" w:space="0"/>
            </w:tcBorders>
            <w:shd w:val="clear"/>
            <w:vAlign w:val="center"/>
          </w:tcPr>
          <w:p w14:paraId="4345C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预期目标</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34AB3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实际完成情况</w:t>
            </w:r>
          </w:p>
        </w:tc>
      </w:tr>
      <w:tr w14:paraId="2E741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3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E4C8FD">
            <w:pPr>
              <w:jc w:val="center"/>
              <w:rPr>
                <w:rFonts w:hint="eastAsia" w:ascii="宋体" w:hAnsi="宋体" w:eastAsia="宋体" w:cs="宋体"/>
                <w:i w:val="0"/>
                <w:iCs w:val="0"/>
                <w:color w:val="000000"/>
                <w:sz w:val="20"/>
                <w:szCs w:val="20"/>
                <w:u w:val="none"/>
              </w:rPr>
            </w:pPr>
          </w:p>
        </w:tc>
        <w:tc>
          <w:tcPr>
            <w:tcW w:w="7333" w:type="dxa"/>
            <w:gridSpan w:val="5"/>
            <w:tcBorders>
              <w:top w:val="single" w:color="000000" w:sz="4" w:space="0"/>
              <w:left w:val="single" w:color="000000" w:sz="4" w:space="0"/>
              <w:bottom w:val="single" w:color="000000" w:sz="4" w:space="0"/>
              <w:right w:val="single" w:color="000000" w:sz="4" w:space="0"/>
            </w:tcBorders>
            <w:shd w:val="clear"/>
            <w:vAlign w:val="top"/>
          </w:tcPr>
          <w:p w14:paraId="30D56EC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用于雅山污水处理厂污水处理运行费用，污水处理987.67万吨，保障污水处理厂正常运行，为雅玛里克山荒山绿化提供稳定的水源。</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top"/>
          </w:tcPr>
          <w:p w14:paraId="101DCA6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完成污水处理987.67万吨，保障污水处理厂正常运行，为雅玛里克山荒山绿化提供稳定的水源。</w:t>
            </w:r>
          </w:p>
        </w:tc>
      </w:tr>
      <w:tr w14:paraId="1335B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E72AE77">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EA736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一级指标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4FFD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二级指标</w:t>
            </w:r>
          </w:p>
        </w:tc>
        <w:tc>
          <w:tcPr>
            <w:tcW w:w="2653"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EB87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三级指标</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8ACA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年度指标值</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E2C1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实际完成值</w:t>
            </w:r>
          </w:p>
        </w:tc>
        <w:tc>
          <w:tcPr>
            <w:tcW w:w="8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10664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772"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89D5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c>
          <w:tcPr>
            <w:tcW w:w="1786"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754D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偏差原因分析及改进措施</w:t>
            </w:r>
          </w:p>
        </w:tc>
      </w:tr>
      <w:tr w14:paraId="27DBA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97045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0B69E24">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EB072D">
            <w:pPr>
              <w:jc w:val="center"/>
              <w:rPr>
                <w:rFonts w:hint="eastAsia" w:ascii="宋体" w:hAnsi="宋体" w:eastAsia="宋体" w:cs="宋体"/>
                <w:i w:val="0"/>
                <w:iCs w:val="0"/>
                <w:color w:val="000000"/>
                <w:sz w:val="20"/>
                <w:szCs w:val="20"/>
                <w:u w:val="none"/>
              </w:rPr>
            </w:pPr>
          </w:p>
        </w:tc>
        <w:tc>
          <w:tcPr>
            <w:tcW w:w="265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8F9791E">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7BB8AD">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DC974B3">
            <w:pPr>
              <w:jc w:val="center"/>
              <w:rPr>
                <w:rFonts w:hint="eastAsia" w:ascii="宋体" w:hAnsi="宋体" w:eastAsia="宋体" w:cs="宋体"/>
                <w:i w:val="0"/>
                <w:iCs w:val="0"/>
                <w:color w:val="000000"/>
                <w:sz w:val="20"/>
                <w:szCs w:val="20"/>
                <w:u w:val="none"/>
              </w:rPr>
            </w:pPr>
          </w:p>
        </w:tc>
        <w:tc>
          <w:tcPr>
            <w:tcW w:w="8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C5D485C">
            <w:pPr>
              <w:jc w:val="center"/>
              <w:rPr>
                <w:rFonts w:hint="eastAsia" w:ascii="宋体" w:hAnsi="宋体" w:eastAsia="宋体" w:cs="宋体"/>
                <w:i w:val="0"/>
                <w:iCs w:val="0"/>
                <w:color w:val="000000"/>
                <w:sz w:val="20"/>
                <w:szCs w:val="20"/>
                <w:u w:val="none"/>
              </w:rPr>
            </w:pPr>
          </w:p>
        </w:tc>
        <w:tc>
          <w:tcPr>
            <w:tcW w:w="77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BAAD833">
            <w:pPr>
              <w:jc w:val="center"/>
              <w:rPr>
                <w:rFonts w:hint="eastAsia" w:ascii="宋体" w:hAnsi="宋体" w:eastAsia="宋体" w:cs="宋体"/>
                <w:i w:val="0"/>
                <w:iCs w:val="0"/>
                <w:color w:val="000000"/>
                <w:sz w:val="20"/>
                <w:szCs w:val="20"/>
                <w:u w:val="none"/>
              </w:rPr>
            </w:pPr>
          </w:p>
        </w:tc>
        <w:tc>
          <w:tcPr>
            <w:tcW w:w="178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F291175">
            <w:pPr>
              <w:jc w:val="center"/>
              <w:rPr>
                <w:rFonts w:hint="eastAsia" w:ascii="宋体" w:hAnsi="宋体" w:eastAsia="宋体" w:cs="宋体"/>
                <w:i w:val="0"/>
                <w:iCs w:val="0"/>
                <w:color w:val="000000"/>
                <w:sz w:val="20"/>
                <w:szCs w:val="20"/>
                <w:u w:val="none"/>
              </w:rPr>
            </w:pPr>
          </w:p>
        </w:tc>
      </w:tr>
      <w:tr w14:paraId="5A6EB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AC0C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年度绩效指标完成情况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71F9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产出指标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6052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B3B64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污水处理量</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2ED3E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&gt;=987.67万吨</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C0BC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=987.67万吨</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17D5B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4CF9F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5AB58C78">
            <w:pPr>
              <w:jc w:val="center"/>
              <w:rPr>
                <w:rFonts w:hint="eastAsia" w:ascii="宋体" w:hAnsi="宋体" w:eastAsia="宋体" w:cs="宋体"/>
                <w:i w:val="0"/>
                <w:iCs w:val="0"/>
                <w:color w:val="000000"/>
                <w:sz w:val="20"/>
                <w:szCs w:val="20"/>
                <w:u w:val="none"/>
              </w:rPr>
            </w:pPr>
          </w:p>
        </w:tc>
      </w:tr>
      <w:tr w14:paraId="01EA7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67BC9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C695F1">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432171">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547FD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污水处理运行期</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8038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&gt;=7月</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B458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=7月</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3233E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5057C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1E87E979">
            <w:pPr>
              <w:jc w:val="center"/>
              <w:rPr>
                <w:rFonts w:hint="eastAsia" w:ascii="宋体" w:hAnsi="宋体" w:eastAsia="宋体" w:cs="宋体"/>
                <w:i w:val="0"/>
                <w:iCs w:val="0"/>
                <w:color w:val="000000"/>
                <w:sz w:val="20"/>
                <w:szCs w:val="20"/>
                <w:u w:val="none"/>
              </w:rPr>
            </w:pPr>
          </w:p>
        </w:tc>
      </w:tr>
      <w:tr w14:paraId="5ED10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131677F">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A21BC6">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6995E8">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864F1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日污水处理量</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82AE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&gt;=4.7万吨</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6288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=4.7万吨</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1E462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171295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24585F8A">
            <w:pPr>
              <w:jc w:val="center"/>
              <w:rPr>
                <w:rFonts w:hint="eastAsia" w:ascii="宋体" w:hAnsi="宋体" w:eastAsia="宋体" w:cs="宋体"/>
                <w:i w:val="0"/>
                <w:iCs w:val="0"/>
                <w:color w:val="000000"/>
                <w:sz w:val="20"/>
                <w:szCs w:val="20"/>
                <w:u w:val="none"/>
              </w:rPr>
            </w:pPr>
          </w:p>
        </w:tc>
      </w:tr>
      <w:tr w14:paraId="29054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5FD98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3C05A5">
            <w:pPr>
              <w:jc w:val="center"/>
              <w:rPr>
                <w:rFonts w:hint="eastAsia" w:ascii="宋体" w:hAnsi="宋体" w:eastAsia="宋体" w:cs="宋体"/>
                <w:i w:val="0"/>
                <w:iCs w:val="0"/>
                <w:color w:val="000000"/>
                <w:sz w:val="20"/>
                <w:szCs w:val="20"/>
                <w:u w:val="none"/>
              </w:rPr>
            </w:pP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07AEC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4AF89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污水处理合格率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76ED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71FD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482F5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55494A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4836D44F">
            <w:pPr>
              <w:jc w:val="center"/>
              <w:rPr>
                <w:rFonts w:hint="eastAsia" w:ascii="宋体" w:hAnsi="宋体" w:eastAsia="宋体" w:cs="宋体"/>
                <w:i w:val="0"/>
                <w:iCs w:val="0"/>
                <w:color w:val="000000"/>
                <w:sz w:val="20"/>
                <w:szCs w:val="20"/>
                <w:u w:val="none"/>
              </w:rPr>
            </w:pPr>
          </w:p>
        </w:tc>
      </w:tr>
      <w:tr w14:paraId="39B22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E7403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EAFF00">
            <w:pPr>
              <w:jc w:val="center"/>
              <w:rPr>
                <w:rFonts w:hint="eastAsia" w:ascii="宋体" w:hAnsi="宋体" w:eastAsia="宋体" w:cs="宋体"/>
                <w:i w:val="0"/>
                <w:iCs w:val="0"/>
                <w:color w:val="000000"/>
                <w:sz w:val="20"/>
                <w:szCs w:val="20"/>
                <w:u w:val="none"/>
              </w:rPr>
            </w:pP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6E261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7D588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资金支付时效</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D394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=2024年12月底</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704C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=2024年12月底</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04FCCE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461A5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40E2BB71">
            <w:pPr>
              <w:jc w:val="center"/>
              <w:rPr>
                <w:rFonts w:hint="eastAsia" w:ascii="宋体" w:hAnsi="宋体" w:eastAsia="宋体" w:cs="宋体"/>
                <w:i w:val="0"/>
                <w:iCs w:val="0"/>
                <w:color w:val="000000"/>
                <w:sz w:val="20"/>
                <w:szCs w:val="20"/>
                <w:u w:val="none"/>
              </w:rPr>
            </w:pPr>
          </w:p>
        </w:tc>
      </w:tr>
      <w:tr w14:paraId="18A02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D1D3B2">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DBB5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成本指标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7CD5B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3734C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污水处理费用</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7C19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=1.95元/吨</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BCCD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=1.95元/吨</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735C2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5039B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354BE555">
            <w:pPr>
              <w:jc w:val="center"/>
              <w:rPr>
                <w:rFonts w:hint="eastAsia" w:ascii="宋体" w:hAnsi="宋体" w:eastAsia="宋体" w:cs="宋体"/>
                <w:i w:val="0"/>
                <w:iCs w:val="0"/>
                <w:color w:val="000000"/>
                <w:sz w:val="20"/>
                <w:szCs w:val="20"/>
                <w:u w:val="none"/>
              </w:rPr>
            </w:pPr>
          </w:p>
        </w:tc>
      </w:tr>
      <w:tr w14:paraId="3F519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FDCDE5D">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657F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效益指标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62B47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D1AE3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促进雅山荒山绿化</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3A19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显著促进</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CF58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7DF26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17365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36D31047">
            <w:pPr>
              <w:jc w:val="center"/>
              <w:rPr>
                <w:rFonts w:hint="eastAsia" w:ascii="宋体" w:hAnsi="宋体" w:eastAsia="宋体" w:cs="宋体"/>
                <w:i w:val="0"/>
                <w:iCs w:val="0"/>
                <w:color w:val="000000"/>
                <w:sz w:val="20"/>
                <w:szCs w:val="20"/>
                <w:u w:val="none"/>
              </w:rPr>
            </w:pPr>
          </w:p>
        </w:tc>
      </w:tr>
      <w:tr w14:paraId="1529C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5A5B09">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1ED1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07AE8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D20F4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受益群体满意度</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76D8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2ED9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5CF9A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67595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37CBB613">
            <w:pPr>
              <w:jc w:val="center"/>
              <w:rPr>
                <w:rFonts w:hint="eastAsia" w:ascii="宋体" w:hAnsi="宋体" w:eastAsia="宋体" w:cs="宋体"/>
                <w:i w:val="0"/>
                <w:iCs w:val="0"/>
                <w:color w:val="000000"/>
                <w:sz w:val="20"/>
                <w:szCs w:val="20"/>
                <w:u w:val="none"/>
              </w:rPr>
            </w:pPr>
          </w:p>
        </w:tc>
      </w:tr>
      <w:tr w14:paraId="08857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0493" w:type="dxa"/>
            <w:gridSpan w:val="7"/>
            <w:tcBorders>
              <w:top w:val="single" w:color="000000" w:sz="4" w:space="0"/>
              <w:left w:val="single" w:color="000000" w:sz="4" w:space="0"/>
              <w:bottom w:val="single" w:color="000000" w:sz="4" w:space="0"/>
              <w:right w:val="single" w:color="000000" w:sz="4" w:space="0"/>
            </w:tcBorders>
            <w:shd w:val="clear"/>
            <w:vAlign w:val="center"/>
          </w:tcPr>
          <w:p w14:paraId="46D82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总分</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6F2A2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6428A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100.00分</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3B45147C">
            <w:pPr>
              <w:jc w:val="center"/>
              <w:rPr>
                <w:rFonts w:hint="eastAsia" w:ascii="宋体" w:hAnsi="宋体" w:eastAsia="宋体" w:cs="宋体"/>
                <w:i w:val="0"/>
                <w:iCs w:val="0"/>
                <w:color w:val="000000"/>
                <w:sz w:val="20"/>
                <w:szCs w:val="20"/>
                <w:u w:val="none"/>
              </w:rPr>
            </w:pPr>
          </w:p>
        </w:tc>
      </w:tr>
    </w:tbl>
    <w:p w14:paraId="6FF22D3F">
      <w:bookmarkStart w:id="15" w:name="_GoBack"/>
      <w:bookmarkEnd w:id="15"/>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62"/>
    </w:sdtPr>
    <w:sdtContent>
      <w:p w14:paraId="2885976B">
        <w:pPr>
          <w:pStyle w:val="7"/>
          <w:jc w:val="center"/>
        </w:pPr>
        <w:r>
          <w:fldChar w:fldCharType="begin"/>
        </w:r>
        <w:r>
          <w:instrText xml:space="preserve">PAGE   \* MERGEFORMAT</w:instrText>
        </w:r>
        <w:r>
          <w:fldChar w:fldCharType="separate"/>
        </w:r>
        <w:r>
          <w:rPr>
            <w:lang w:val="zh-CN"/>
          </w:rPr>
          <w:t>13</w:t>
        </w:r>
        <w:r>
          <w:fldChar w:fldCharType="end"/>
        </w:r>
      </w:p>
    </w:sdtContent>
  </w:sdt>
  <w:p w14:paraId="49F4CCF5">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80369D"/>
    <w:multiLevelType w:val="singleLevel"/>
    <w:tmpl w:val="BD80369D"/>
    <w:lvl w:ilvl="0" w:tentative="0">
      <w:start w:val="2"/>
      <w:numFmt w:val="decimal"/>
      <w:lvlText w:val="%1."/>
      <w:lvlJc w:val="left"/>
      <w:pPr>
        <w:tabs>
          <w:tab w:val="left" w:pos="312"/>
        </w:tabs>
      </w:pPr>
    </w:lvl>
  </w:abstractNum>
  <w:abstractNum w:abstractNumId="1">
    <w:nsid w:val="F4CD2B0F"/>
    <w:multiLevelType w:val="singleLevel"/>
    <w:tmpl w:val="F4CD2B0F"/>
    <w:lvl w:ilvl="0" w:tentative="0">
      <w:start w:val="1"/>
      <w:numFmt w:val="decimal"/>
      <w:suff w:val="nothing"/>
      <w:lvlText w:val="（%1）"/>
      <w:lvlJc w:val="left"/>
    </w:lvl>
  </w:abstractNum>
  <w:abstractNum w:abstractNumId="2">
    <w:nsid w:val="FF9379A8"/>
    <w:multiLevelType w:val="singleLevel"/>
    <w:tmpl w:val="FF9379A8"/>
    <w:lvl w:ilvl="0" w:tentative="0">
      <w:start w:val="2"/>
      <w:numFmt w:val="chineseCounting"/>
      <w:suff w:val="nothing"/>
      <w:lvlText w:val="（%1）"/>
      <w:lvlJc w:val="left"/>
      <w:rPr>
        <w:rFonts w:hint="eastAsia"/>
      </w:rPr>
    </w:lvl>
  </w:abstractNum>
  <w:abstractNum w:abstractNumId="3">
    <w:nsid w:val="116B29BF"/>
    <w:multiLevelType w:val="singleLevel"/>
    <w:tmpl w:val="116B29BF"/>
    <w:lvl w:ilvl="0" w:tentative="0">
      <w:start w:val="3"/>
      <w:numFmt w:val="chineseCounting"/>
      <w:suff w:val="nothing"/>
      <w:lvlText w:val="%1、"/>
      <w:lvlJc w:val="left"/>
      <w:rPr>
        <w:rFonts w:hint="eastAsia"/>
      </w:rPr>
    </w:lvl>
  </w:abstractNum>
  <w:abstractNum w:abstractNumId="4">
    <w:nsid w:val="27813159"/>
    <w:multiLevelType w:val="singleLevel"/>
    <w:tmpl w:val="27813159"/>
    <w:lvl w:ilvl="0" w:tentative="0">
      <w:start w:val="3"/>
      <w:numFmt w:val="chineseCounting"/>
      <w:suff w:val="nothing"/>
      <w:lvlText w:val="（%1）"/>
      <w:lvlJc w:val="left"/>
      <w:rPr>
        <w:rFonts w:hint="eastAsia"/>
      </w:rPr>
    </w:lvl>
  </w:abstractNum>
  <w:abstractNum w:abstractNumId="5">
    <w:nsid w:val="6FAA0AB1"/>
    <w:multiLevelType w:val="singleLevel"/>
    <w:tmpl w:val="6FAA0AB1"/>
    <w:lvl w:ilvl="0" w:tentative="0">
      <w:start w:val="2"/>
      <w:numFmt w:val="chineseCounting"/>
      <w:suff w:val="nothing"/>
      <w:lvlText w:val="（%1）"/>
      <w:lvlJc w:val="left"/>
      <w:pPr>
        <w:ind w:left="-13"/>
      </w:pPr>
      <w:rPr>
        <w:rFonts w:hint="eastAsia"/>
      </w:r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iOGM5NzlhN2JhOTc3OTljZTBmY2FhN2MzNTk3ODEifQ=="/>
  </w:docVars>
  <w:rsids>
    <w:rsidRoot w:val="FF6C4049"/>
    <w:rsid w:val="0004136B"/>
    <w:rsid w:val="006F7242"/>
    <w:rsid w:val="007B168A"/>
    <w:rsid w:val="008B2CFE"/>
    <w:rsid w:val="00C2648E"/>
    <w:rsid w:val="00CE5DBD"/>
    <w:rsid w:val="00F26FF6"/>
    <w:rsid w:val="00F4166A"/>
    <w:rsid w:val="01610122"/>
    <w:rsid w:val="022A0594"/>
    <w:rsid w:val="02510197"/>
    <w:rsid w:val="02EB4CC3"/>
    <w:rsid w:val="035E347F"/>
    <w:rsid w:val="03EC461B"/>
    <w:rsid w:val="04C90A79"/>
    <w:rsid w:val="07397B77"/>
    <w:rsid w:val="0AD007F3"/>
    <w:rsid w:val="0C073C89"/>
    <w:rsid w:val="0E3C619F"/>
    <w:rsid w:val="0F6273CA"/>
    <w:rsid w:val="100F38EC"/>
    <w:rsid w:val="11170296"/>
    <w:rsid w:val="129C3395"/>
    <w:rsid w:val="12C66037"/>
    <w:rsid w:val="12CD1ABC"/>
    <w:rsid w:val="13471461"/>
    <w:rsid w:val="13B90F01"/>
    <w:rsid w:val="155E4C4D"/>
    <w:rsid w:val="15655DA6"/>
    <w:rsid w:val="181066D2"/>
    <w:rsid w:val="19FF1C43"/>
    <w:rsid w:val="1C671E73"/>
    <w:rsid w:val="1C995CE9"/>
    <w:rsid w:val="1D322C47"/>
    <w:rsid w:val="228C453A"/>
    <w:rsid w:val="23616034"/>
    <w:rsid w:val="23696C97"/>
    <w:rsid w:val="24480FA2"/>
    <w:rsid w:val="25227A45"/>
    <w:rsid w:val="25F66A1A"/>
    <w:rsid w:val="26AC3A6A"/>
    <w:rsid w:val="27E606EF"/>
    <w:rsid w:val="29744A28"/>
    <w:rsid w:val="2B9D7E25"/>
    <w:rsid w:val="2BFD6A4C"/>
    <w:rsid w:val="2C7C7A3B"/>
    <w:rsid w:val="2E855ADF"/>
    <w:rsid w:val="2F364819"/>
    <w:rsid w:val="2FD63906"/>
    <w:rsid w:val="311D0D90"/>
    <w:rsid w:val="33B40C5F"/>
    <w:rsid w:val="36D44595"/>
    <w:rsid w:val="37215DAE"/>
    <w:rsid w:val="38CA40DD"/>
    <w:rsid w:val="395F2B56"/>
    <w:rsid w:val="3A6E7F68"/>
    <w:rsid w:val="3B482032"/>
    <w:rsid w:val="3BBA0580"/>
    <w:rsid w:val="3BECE841"/>
    <w:rsid w:val="3CDE204C"/>
    <w:rsid w:val="3D363C36"/>
    <w:rsid w:val="3E9C3F6D"/>
    <w:rsid w:val="3FF7797D"/>
    <w:rsid w:val="46690BD8"/>
    <w:rsid w:val="47251E7B"/>
    <w:rsid w:val="480B0A3F"/>
    <w:rsid w:val="49792371"/>
    <w:rsid w:val="49F70BF1"/>
    <w:rsid w:val="4B4340EE"/>
    <w:rsid w:val="4B5301B7"/>
    <w:rsid w:val="4D9B0CF0"/>
    <w:rsid w:val="503D507A"/>
    <w:rsid w:val="51FA74D0"/>
    <w:rsid w:val="52AA4A52"/>
    <w:rsid w:val="533269B7"/>
    <w:rsid w:val="539D3AD1"/>
    <w:rsid w:val="59943D66"/>
    <w:rsid w:val="59DE668E"/>
    <w:rsid w:val="59E051FD"/>
    <w:rsid w:val="59E6355E"/>
    <w:rsid w:val="5B821531"/>
    <w:rsid w:val="5BFF6039"/>
    <w:rsid w:val="5D76A616"/>
    <w:rsid w:val="5D7F20B9"/>
    <w:rsid w:val="5DAC7D0E"/>
    <w:rsid w:val="5F2922AC"/>
    <w:rsid w:val="5F98B5AF"/>
    <w:rsid w:val="5FFE8511"/>
    <w:rsid w:val="5FFEACE2"/>
    <w:rsid w:val="609D5BF6"/>
    <w:rsid w:val="60C55551"/>
    <w:rsid w:val="61073070"/>
    <w:rsid w:val="61B9080E"/>
    <w:rsid w:val="61DF3FED"/>
    <w:rsid w:val="62606CE8"/>
    <w:rsid w:val="62E23FCD"/>
    <w:rsid w:val="642B176B"/>
    <w:rsid w:val="643EE26D"/>
    <w:rsid w:val="647C4E4C"/>
    <w:rsid w:val="656019A0"/>
    <w:rsid w:val="65F242EE"/>
    <w:rsid w:val="65F406D1"/>
    <w:rsid w:val="666D7E19"/>
    <w:rsid w:val="68376930"/>
    <w:rsid w:val="68F91E38"/>
    <w:rsid w:val="69F8464E"/>
    <w:rsid w:val="6B3158B9"/>
    <w:rsid w:val="6BA02A3F"/>
    <w:rsid w:val="6C105349"/>
    <w:rsid w:val="6C1E5A53"/>
    <w:rsid w:val="6D3D2D28"/>
    <w:rsid w:val="6F5C41AC"/>
    <w:rsid w:val="6FAF6C78"/>
    <w:rsid w:val="716167CC"/>
    <w:rsid w:val="718A7AD1"/>
    <w:rsid w:val="72A44BC2"/>
    <w:rsid w:val="7317C656"/>
    <w:rsid w:val="734ED73F"/>
    <w:rsid w:val="73C82B32"/>
    <w:rsid w:val="73F94DAE"/>
    <w:rsid w:val="74220495"/>
    <w:rsid w:val="747D1B6F"/>
    <w:rsid w:val="749E5641"/>
    <w:rsid w:val="76271066"/>
    <w:rsid w:val="77FD8BE9"/>
    <w:rsid w:val="78000AED"/>
    <w:rsid w:val="78036054"/>
    <w:rsid w:val="79A9BD3F"/>
    <w:rsid w:val="7A61757B"/>
    <w:rsid w:val="7AC5270E"/>
    <w:rsid w:val="7B1249F7"/>
    <w:rsid w:val="7B776F12"/>
    <w:rsid w:val="7BFFFDD0"/>
    <w:rsid w:val="7C11286A"/>
    <w:rsid w:val="7C336E5F"/>
    <w:rsid w:val="7C676D9D"/>
    <w:rsid w:val="7C8D4919"/>
    <w:rsid w:val="7D7A5F86"/>
    <w:rsid w:val="7E4B683A"/>
    <w:rsid w:val="7E5E656D"/>
    <w:rsid w:val="7E8F2BCB"/>
    <w:rsid w:val="7EAA331B"/>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Calibri" w:hAnsi="Calibri"/>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11">
    <w:name w:val="annotation subject"/>
    <w:basedOn w:val="3"/>
    <w:next w:val="3"/>
    <w:link w:val="23"/>
    <w:qFormat/>
    <w:uiPriority w:val="0"/>
    <w:rPr>
      <w:b/>
      <w:bCs/>
    </w:rPr>
  </w:style>
  <w:style w:type="paragraph" w:styleId="12">
    <w:name w:val="Body Text First Indent"/>
    <w:basedOn w:val="4"/>
    <w:qFormat/>
    <w:uiPriority w:val="0"/>
    <w:pPr>
      <w:spacing w:after="0"/>
      <w:ind w:firstLine="200" w:firstLineChars="200"/>
    </w:pPr>
  </w:style>
  <w:style w:type="paragraph" w:styleId="13">
    <w:name w:val="Body Text First Indent 2"/>
    <w:basedOn w:val="5"/>
    <w:qFormat/>
    <w:uiPriority w:val="0"/>
    <w:pPr>
      <w:ind w:firstLine="420" w:firstLineChars="200"/>
    </w:pPr>
  </w:style>
  <w:style w:type="character" w:styleId="16">
    <w:name w:val="Strong"/>
    <w:basedOn w:val="15"/>
    <w:qFormat/>
    <w:uiPriority w:val="0"/>
    <w:rPr>
      <w:b/>
      <w:bCs/>
    </w:rPr>
  </w:style>
  <w:style w:type="character" w:styleId="17">
    <w:name w:val="annotation reference"/>
    <w:basedOn w:val="15"/>
    <w:qFormat/>
    <w:uiPriority w:val="0"/>
    <w:rPr>
      <w:sz w:val="21"/>
      <w:szCs w:val="21"/>
    </w:rPr>
  </w:style>
  <w:style w:type="character" w:customStyle="1" w:styleId="18">
    <w:name w:val="fontstyle01"/>
    <w:qFormat/>
    <w:uiPriority w:val="0"/>
    <w:rPr>
      <w:rFonts w:ascii="仿宋_GB2312" w:hAnsi="仿宋_GB2312" w:eastAsia="仿宋_GB2312" w:cs="仿宋_GB2312"/>
      <w:color w:val="000000"/>
      <w:sz w:val="32"/>
      <w:szCs w:val="32"/>
    </w:rPr>
  </w:style>
  <w:style w:type="paragraph" w:customStyle="1" w:styleId="19">
    <w:name w:val="闻政-正文段落文字"/>
    <w:basedOn w:val="1"/>
    <w:qFormat/>
    <w:uiPriority w:val="3"/>
    <w:pPr>
      <w:spacing w:line="500" w:lineRule="exact"/>
      <w:ind w:firstLine="200"/>
    </w:pPr>
    <w:rPr>
      <w:kern w:val="0"/>
      <w:szCs w:val="28"/>
    </w:rPr>
  </w:style>
  <w:style w:type="character" w:customStyle="1" w:styleId="20">
    <w:name w:val="批注框文本 字符"/>
    <w:basedOn w:val="15"/>
    <w:link w:val="6"/>
    <w:qFormat/>
    <w:uiPriority w:val="0"/>
    <w:rPr>
      <w:rFonts w:ascii="Times New Roman" w:hAnsi="Times New Roman" w:eastAsia="宋体" w:cs="Times New Roman"/>
      <w:kern w:val="2"/>
      <w:sz w:val="18"/>
      <w:szCs w:val="18"/>
    </w:rPr>
  </w:style>
  <w:style w:type="character" w:customStyle="1" w:styleId="21">
    <w:name w:val="页眉 字符"/>
    <w:basedOn w:val="15"/>
    <w:link w:val="8"/>
    <w:qFormat/>
    <w:uiPriority w:val="0"/>
    <w:rPr>
      <w:rFonts w:ascii="Times New Roman" w:hAnsi="Times New Roman" w:eastAsia="宋体" w:cs="Times New Roman"/>
      <w:kern w:val="2"/>
      <w:sz w:val="18"/>
      <w:szCs w:val="18"/>
    </w:rPr>
  </w:style>
  <w:style w:type="character" w:customStyle="1" w:styleId="22">
    <w:name w:val="批注文字 字符"/>
    <w:basedOn w:val="15"/>
    <w:link w:val="3"/>
    <w:qFormat/>
    <w:uiPriority w:val="0"/>
    <w:rPr>
      <w:rFonts w:ascii="Times New Roman" w:hAnsi="Times New Roman" w:eastAsia="宋体" w:cs="Times New Roman"/>
      <w:kern w:val="2"/>
      <w:sz w:val="21"/>
      <w:szCs w:val="24"/>
    </w:rPr>
  </w:style>
  <w:style w:type="character" w:customStyle="1" w:styleId="23">
    <w:name w:val="批注主题 字符"/>
    <w:basedOn w:val="22"/>
    <w:link w:val="11"/>
    <w:qFormat/>
    <w:uiPriority w:val="0"/>
    <w:rPr>
      <w:rFonts w:ascii="Times New Roman" w:hAnsi="Times New Roman" w:eastAsia="宋体" w:cs="Times New Roman"/>
      <w:b/>
      <w:bCs/>
      <w:kern w:val="2"/>
      <w:sz w:val="21"/>
      <w:szCs w:val="24"/>
    </w:rPr>
  </w:style>
  <w:style w:type="paragraph" w:styleId="2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12068</Words>
  <Characters>12546</Characters>
  <Lines>659</Lines>
  <Paragraphs>490</Paragraphs>
  <TotalTime>9</TotalTime>
  <ScaleCrop>false</ScaleCrop>
  <LinksUpToDate>false</LinksUpToDate>
  <CharactersWithSpaces>12557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小糖豆</cp:lastModifiedBy>
  <dcterms:modified xsi:type="dcterms:W3CDTF">2025-11-27T04:17:25Z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91FD617D8A784B99BC971071239E9417_13</vt:lpwstr>
  </property>
  <property fmtid="{D5CDD505-2E9C-101B-9397-08002B2CF9AE}" pid="4" name="KSOTemplateDocerSaveRecord">
    <vt:lpwstr>eyJoZGlkIjoiOGFkNmZiY2VjMDdjZjNhYjcxMzg2NTlkY2FmMDAzYzIiLCJ1c2VySWQiOiIzMTEwOTcwNTkifQ==</vt:lpwstr>
  </property>
</Properties>
</file>