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4E65B">
      <w:pPr>
        <w:spacing w:line="540" w:lineRule="exact"/>
        <w:jc w:val="center"/>
        <w:rPr>
          <w:rFonts w:eastAsia="华文中宋"/>
          <w:b/>
          <w:kern w:val="0"/>
          <w:sz w:val="52"/>
          <w:szCs w:val="52"/>
        </w:rPr>
      </w:pPr>
    </w:p>
    <w:p w14:paraId="0B05FE77">
      <w:pPr>
        <w:spacing w:line="540" w:lineRule="exact"/>
        <w:rPr>
          <w:rFonts w:eastAsia="华文中宋"/>
          <w:b/>
          <w:kern w:val="0"/>
          <w:sz w:val="52"/>
          <w:szCs w:val="52"/>
        </w:rPr>
      </w:pPr>
    </w:p>
    <w:p w14:paraId="7FFFC0B1">
      <w:pPr>
        <w:spacing w:line="540" w:lineRule="exact"/>
        <w:jc w:val="center"/>
        <w:rPr>
          <w:rFonts w:eastAsia="华文中宋"/>
          <w:b/>
          <w:kern w:val="0"/>
          <w:sz w:val="52"/>
          <w:szCs w:val="52"/>
        </w:rPr>
      </w:pPr>
    </w:p>
    <w:p w14:paraId="11903F9D">
      <w:pPr>
        <w:spacing w:line="540" w:lineRule="exact"/>
        <w:jc w:val="center"/>
        <w:rPr>
          <w:rFonts w:eastAsia="华文中宋"/>
          <w:b/>
          <w:kern w:val="0"/>
          <w:sz w:val="52"/>
          <w:szCs w:val="52"/>
        </w:rPr>
      </w:pPr>
    </w:p>
    <w:p w14:paraId="65E52082">
      <w:pPr>
        <w:spacing w:line="540" w:lineRule="exact"/>
        <w:jc w:val="center"/>
        <w:rPr>
          <w:rFonts w:eastAsia="方正小标宋_GBK"/>
          <w:kern w:val="0"/>
          <w:sz w:val="48"/>
          <w:szCs w:val="48"/>
        </w:rPr>
      </w:pPr>
      <w:r>
        <w:rPr>
          <w:rFonts w:eastAsia="方正小标宋_GBK"/>
          <w:kern w:val="0"/>
          <w:sz w:val="48"/>
          <w:szCs w:val="48"/>
        </w:rPr>
        <w:t>历年城维费项目资金项目支出绩效评价</w:t>
      </w:r>
    </w:p>
    <w:p w14:paraId="221CF717">
      <w:pPr>
        <w:spacing w:line="540" w:lineRule="exact"/>
        <w:jc w:val="center"/>
        <w:rPr>
          <w:rFonts w:eastAsia="方正小标宋_GBK"/>
          <w:kern w:val="0"/>
          <w:sz w:val="48"/>
          <w:szCs w:val="48"/>
        </w:rPr>
      </w:pPr>
      <w:r>
        <w:rPr>
          <w:rFonts w:eastAsia="方正小标宋_GBK"/>
          <w:kern w:val="0"/>
          <w:sz w:val="48"/>
          <w:szCs w:val="48"/>
        </w:rPr>
        <w:t>报告</w:t>
      </w:r>
    </w:p>
    <w:p w14:paraId="4C3FFB5B">
      <w:pPr>
        <w:spacing w:line="540" w:lineRule="exact"/>
        <w:jc w:val="center"/>
        <w:rPr>
          <w:rFonts w:eastAsia="华文中宋"/>
          <w:b/>
          <w:kern w:val="0"/>
          <w:sz w:val="52"/>
          <w:szCs w:val="52"/>
        </w:rPr>
      </w:pPr>
    </w:p>
    <w:p w14:paraId="4D9AAF45">
      <w:pPr>
        <w:spacing w:line="540" w:lineRule="exact"/>
        <w:jc w:val="center"/>
        <w:rPr>
          <w:rFonts w:eastAsia="仿宋_GB2312"/>
          <w:kern w:val="0"/>
          <w:sz w:val="36"/>
          <w:szCs w:val="36"/>
        </w:rPr>
      </w:pPr>
      <w:r>
        <w:rPr>
          <w:rFonts w:eastAsia="仿宋_GB2312"/>
          <w:kern w:val="0"/>
          <w:sz w:val="36"/>
          <w:szCs w:val="36"/>
        </w:rPr>
        <w:t>（2024年度）</w:t>
      </w:r>
    </w:p>
    <w:p w14:paraId="4242C268">
      <w:pPr>
        <w:spacing w:line="540" w:lineRule="exact"/>
        <w:jc w:val="center"/>
        <w:rPr>
          <w:rFonts w:eastAsia="仿宋_GB2312"/>
          <w:kern w:val="0"/>
          <w:sz w:val="30"/>
          <w:szCs w:val="30"/>
        </w:rPr>
      </w:pPr>
    </w:p>
    <w:p w14:paraId="1628EF8B">
      <w:pPr>
        <w:spacing w:line="540" w:lineRule="exact"/>
        <w:jc w:val="center"/>
        <w:rPr>
          <w:rFonts w:eastAsia="仿宋_GB2312"/>
          <w:kern w:val="0"/>
          <w:sz w:val="30"/>
          <w:szCs w:val="30"/>
        </w:rPr>
      </w:pPr>
    </w:p>
    <w:p w14:paraId="3B7A6038">
      <w:pPr>
        <w:spacing w:line="540" w:lineRule="exact"/>
        <w:jc w:val="center"/>
        <w:rPr>
          <w:rFonts w:eastAsia="仿宋_GB2312"/>
          <w:kern w:val="0"/>
          <w:sz w:val="30"/>
          <w:szCs w:val="30"/>
        </w:rPr>
      </w:pPr>
    </w:p>
    <w:p w14:paraId="24BC78A9">
      <w:pPr>
        <w:spacing w:line="540" w:lineRule="exact"/>
        <w:rPr>
          <w:rFonts w:hint="eastAsia" w:eastAsia="仿宋_GB2312"/>
          <w:kern w:val="0"/>
          <w:sz w:val="30"/>
          <w:szCs w:val="30"/>
        </w:rPr>
      </w:pPr>
    </w:p>
    <w:p w14:paraId="6D6DA6CF">
      <w:pPr>
        <w:spacing w:line="700" w:lineRule="exact"/>
        <w:ind w:firstLine="1440" w:firstLineChars="400"/>
        <w:jc w:val="left"/>
        <w:rPr>
          <w:rFonts w:eastAsia="仿宋_GB2312"/>
          <w:kern w:val="0"/>
          <w:sz w:val="36"/>
          <w:szCs w:val="36"/>
        </w:rPr>
      </w:pPr>
      <w:r>
        <w:rPr>
          <w:rFonts w:eastAsia="仿宋_GB2312"/>
          <w:kern w:val="0"/>
          <w:sz w:val="36"/>
          <w:szCs w:val="36"/>
        </w:rPr>
        <w:t>项目名称：历年城维费项目资金</w:t>
      </w:r>
    </w:p>
    <w:p w14:paraId="22A554FA">
      <w:pPr>
        <w:spacing w:line="700" w:lineRule="exact"/>
        <w:ind w:firstLine="1440" w:firstLineChars="400"/>
        <w:jc w:val="left"/>
        <w:rPr>
          <w:rFonts w:eastAsia="仿宋_GB2312"/>
          <w:kern w:val="0"/>
          <w:sz w:val="36"/>
          <w:szCs w:val="36"/>
        </w:rPr>
      </w:pPr>
      <w:r>
        <w:rPr>
          <w:rFonts w:eastAsia="仿宋_GB2312"/>
          <w:kern w:val="0"/>
          <w:sz w:val="36"/>
          <w:szCs w:val="36"/>
        </w:rPr>
        <w:t>实施单位（公章）：</w:t>
      </w:r>
      <w:r>
        <w:rPr>
          <w:rFonts w:hint="eastAsia" w:eastAsia="仿宋_GB2312"/>
          <w:kern w:val="0"/>
          <w:sz w:val="36"/>
          <w:szCs w:val="36"/>
        </w:rPr>
        <w:t>乌鲁木齐市沙依巴克区环卫清运队</w:t>
      </w:r>
    </w:p>
    <w:p w14:paraId="3BB9C560">
      <w:pPr>
        <w:spacing w:line="700" w:lineRule="exact"/>
        <w:ind w:firstLine="1440" w:firstLineChars="400"/>
        <w:jc w:val="left"/>
        <w:rPr>
          <w:rFonts w:eastAsia="仿宋_GB2312"/>
          <w:kern w:val="0"/>
          <w:sz w:val="36"/>
          <w:szCs w:val="36"/>
        </w:rPr>
      </w:pPr>
      <w:r>
        <w:rPr>
          <w:rFonts w:eastAsia="仿宋_GB2312"/>
          <w:kern w:val="0"/>
          <w:sz w:val="36"/>
          <w:szCs w:val="36"/>
        </w:rPr>
        <w:t>主管部门（公章）：</w:t>
      </w:r>
      <w:r>
        <w:rPr>
          <w:rFonts w:hint="eastAsia" w:eastAsia="仿宋_GB2312"/>
          <w:kern w:val="0"/>
          <w:sz w:val="36"/>
          <w:szCs w:val="36"/>
        </w:rPr>
        <w:t>乌鲁木齐市沙依巴克区城市管理局（城市管理行政执法局）</w:t>
      </w:r>
    </w:p>
    <w:p w14:paraId="60D5C372">
      <w:pPr>
        <w:spacing w:line="700" w:lineRule="exact"/>
        <w:ind w:firstLine="1440" w:firstLineChars="400"/>
        <w:jc w:val="left"/>
        <w:rPr>
          <w:rFonts w:eastAsia="仿宋_GB2312"/>
          <w:kern w:val="0"/>
          <w:sz w:val="36"/>
          <w:szCs w:val="36"/>
        </w:rPr>
      </w:pPr>
      <w:r>
        <w:rPr>
          <w:rFonts w:eastAsia="仿宋_GB2312"/>
          <w:kern w:val="0"/>
          <w:sz w:val="36"/>
          <w:szCs w:val="36"/>
        </w:rPr>
        <w:t>项目负责人（签章）：</w:t>
      </w:r>
      <w:r>
        <w:rPr>
          <w:rFonts w:hint="eastAsia" w:eastAsia="仿宋_GB2312"/>
          <w:kern w:val="0"/>
          <w:sz w:val="36"/>
          <w:szCs w:val="36"/>
        </w:rPr>
        <w:t>张岩</w:t>
      </w:r>
    </w:p>
    <w:p w14:paraId="03B7E8E0">
      <w:pPr>
        <w:spacing w:line="700" w:lineRule="exact"/>
        <w:ind w:firstLine="1440" w:firstLineChars="400"/>
        <w:jc w:val="left"/>
        <w:rPr>
          <w:rFonts w:eastAsia="仿宋_GB2312"/>
          <w:kern w:val="0"/>
          <w:sz w:val="36"/>
          <w:szCs w:val="36"/>
        </w:rPr>
      </w:pPr>
      <w:r>
        <w:rPr>
          <w:rFonts w:eastAsia="仿宋_GB2312"/>
          <w:kern w:val="0"/>
          <w:sz w:val="36"/>
          <w:szCs w:val="36"/>
        </w:rPr>
        <w:t>填报时间：</w:t>
      </w:r>
      <w:r>
        <w:rPr>
          <w:rFonts w:hint="eastAsia" w:eastAsia="仿宋_GB2312"/>
          <w:kern w:val="0"/>
          <w:sz w:val="36"/>
          <w:szCs w:val="36"/>
        </w:rPr>
        <w:t>2025</w:t>
      </w:r>
      <w:r>
        <w:rPr>
          <w:rFonts w:eastAsia="仿宋_GB2312"/>
          <w:kern w:val="0"/>
          <w:sz w:val="36"/>
          <w:szCs w:val="36"/>
        </w:rPr>
        <w:t>年</w:t>
      </w:r>
      <w:r>
        <w:rPr>
          <w:rFonts w:hint="eastAsia" w:eastAsia="仿宋_GB2312"/>
          <w:kern w:val="0"/>
          <w:sz w:val="36"/>
          <w:szCs w:val="36"/>
        </w:rPr>
        <w:t>4</w:t>
      </w:r>
      <w:r>
        <w:rPr>
          <w:rFonts w:eastAsia="仿宋_GB2312"/>
          <w:kern w:val="0"/>
          <w:sz w:val="36"/>
          <w:szCs w:val="36"/>
        </w:rPr>
        <w:t>月</w:t>
      </w:r>
      <w:r>
        <w:rPr>
          <w:rFonts w:hint="eastAsia" w:eastAsia="仿宋_GB2312"/>
          <w:kern w:val="0"/>
          <w:sz w:val="36"/>
          <w:szCs w:val="36"/>
        </w:rPr>
        <w:t>10</w:t>
      </w:r>
      <w:r>
        <w:rPr>
          <w:rFonts w:eastAsia="仿宋_GB2312"/>
          <w:kern w:val="0"/>
          <w:sz w:val="36"/>
          <w:szCs w:val="36"/>
        </w:rPr>
        <w:t>日</w:t>
      </w:r>
    </w:p>
    <w:p w14:paraId="62F2A08C">
      <w:pPr>
        <w:spacing w:line="560" w:lineRule="exact"/>
        <w:rPr>
          <w:rFonts w:hint="eastAsia" w:eastAsia="黑体"/>
          <w:bCs/>
          <w:sz w:val="32"/>
          <w:szCs w:val="32"/>
        </w:rPr>
        <w:sectPr>
          <w:pgSz w:w="11906" w:h="16838"/>
          <w:pgMar w:top="1440" w:right="1558" w:bottom="1440" w:left="1800" w:header="851" w:footer="992" w:gutter="0"/>
          <w:cols w:space="425" w:num="1"/>
          <w:docGrid w:type="lines" w:linePitch="312" w:charSpace="0"/>
        </w:sectPr>
      </w:pPr>
    </w:p>
    <w:p w14:paraId="1105FD3E">
      <w:pPr>
        <w:spacing w:line="560" w:lineRule="exact"/>
        <w:ind w:firstLine="640" w:firstLineChars="200"/>
        <w:rPr>
          <w:rFonts w:eastAsia="黑体"/>
          <w:bCs/>
          <w:sz w:val="32"/>
          <w:szCs w:val="32"/>
        </w:rPr>
      </w:pPr>
      <w:r>
        <w:rPr>
          <w:rFonts w:eastAsia="黑体"/>
          <w:bCs/>
          <w:sz w:val="32"/>
          <w:szCs w:val="32"/>
        </w:rPr>
        <w:t>一、基本情况</w:t>
      </w:r>
    </w:p>
    <w:p w14:paraId="2DD0F9F5">
      <w:pPr>
        <w:spacing w:line="560" w:lineRule="exact"/>
        <w:ind w:firstLine="643" w:firstLineChars="200"/>
        <w:rPr>
          <w:rFonts w:eastAsia="楷体_GB2312"/>
          <w:b/>
          <w:bCs/>
          <w:sz w:val="32"/>
          <w:szCs w:val="32"/>
        </w:rPr>
      </w:pPr>
      <w:r>
        <w:rPr>
          <w:rFonts w:eastAsia="楷体_GB2312"/>
          <w:b/>
          <w:bCs/>
          <w:sz w:val="32"/>
          <w:szCs w:val="32"/>
        </w:rPr>
        <w:t>（一）项目概况</w:t>
      </w:r>
    </w:p>
    <w:p w14:paraId="4511FBF4">
      <w:pPr>
        <w:spacing w:line="560" w:lineRule="exact"/>
        <w:ind w:firstLine="643" w:firstLineChars="200"/>
        <w:rPr>
          <w:rFonts w:eastAsia="仿宋_GB2312"/>
          <w:b/>
          <w:bCs/>
          <w:sz w:val="32"/>
          <w:szCs w:val="32"/>
        </w:rPr>
      </w:pPr>
      <w:r>
        <w:rPr>
          <w:rFonts w:eastAsia="仿宋_GB2312"/>
          <w:b/>
          <w:bCs/>
          <w:sz w:val="32"/>
          <w:szCs w:val="32"/>
        </w:rPr>
        <w:t>1.项目背景</w:t>
      </w:r>
    </w:p>
    <w:p w14:paraId="5DFB9236">
      <w:pPr>
        <w:spacing w:line="560" w:lineRule="exact"/>
        <w:ind w:firstLine="600" w:firstLineChars="200"/>
        <w:rPr>
          <w:rFonts w:eastAsia="仿宋_GB2312"/>
          <w:sz w:val="30"/>
          <w:szCs w:val="30"/>
        </w:rPr>
      </w:pPr>
      <w:r>
        <w:rPr>
          <w:rFonts w:eastAsia="仿宋_GB2312"/>
          <w:sz w:val="30"/>
          <w:szCs w:val="30"/>
        </w:rPr>
        <w:t>本项目依据</w:t>
      </w:r>
      <w:r>
        <w:rPr>
          <w:rFonts w:hint="eastAsia" w:eastAsia="仿宋_GB2312"/>
          <w:sz w:val="30"/>
          <w:szCs w:val="30"/>
        </w:rPr>
        <w:t>市人民政府在《关于分配市本级2024年度政府拖欠企业账款专项化解资金的请示》（乌财建【2024】47号）和《关于拨付历年城维费项目资金的通知》（乌财建【2024】87号）</w:t>
      </w:r>
      <w:r>
        <w:rPr>
          <w:rFonts w:hint="eastAsia" w:eastAsia="仿宋_GB2312"/>
          <w:sz w:val="32"/>
          <w:szCs w:val="32"/>
        </w:rPr>
        <w:t>文件精神</w:t>
      </w:r>
      <w:r>
        <w:rPr>
          <w:rFonts w:eastAsia="仿宋_GB2312"/>
          <w:sz w:val="30"/>
          <w:szCs w:val="30"/>
        </w:rPr>
        <w:t>。</w:t>
      </w:r>
      <w:r>
        <w:rPr>
          <w:rFonts w:hint="eastAsia" w:eastAsia="仿宋_GB2312"/>
          <w:sz w:val="30"/>
          <w:szCs w:val="30"/>
        </w:rPr>
        <w:t>该项目</w:t>
      </w:r>
      <w:r>
        <w:rPr>
          <w:rFonts w:eastAsia="仿宋_GB2312"/>
          <w:sz w:val="30"/>
          <w:szCs w:val="30"/>
        </w:rPr>
        <w:t>旨在推动城市基础设施建设与维护的高质量发展，提升城市公共服务水平，改善城市人居环境。该政策明确了城市维护资金的使用方向和重点支持领域，为本项目的实施提供了坚实的政策基础。</w:t>
      </w:r>
    </w:p>
    <w:p w14:paraId="172501E7">
      <w:pPr>
        <w:pStyle w:val="10"/>
        <w:spacing w:before="0" w:after="0" w:line="560" w:lineRule="exact"/>
        <w:ind w:firstLine="643" w:firstLineChars="200"/>
        <w:jc w:val="both"/>
        <w:rPr>
          <w:rFonts w:ascii="Times New Roman" w:hAnsi="Times New Roman" w:eastAsia="仿宋_GB2312"/>
          <w:kern w:val="2"/>
        </w:rPr>
      </w:pPr>
      <w:r>
        <w:rPr>
          <w:rFonts w:ascii="Times New Roman" w:hAnsi="Times New Roman" w:eastAsia="仿宋_GB2312"/>
          <w:kern w:val="2"/>
        </w:rPr>
        <w:t>2.项目主要内容：</w:t>
      </w:r>
    </w:p>
    <w:p w14:paraId="01C6BE0F">
      <w:pPr>
        <w:spacing w:line="560" w:lineRule="exact"/>
        <w:ind w:firstLine="600" w:firstLineChars="200"/>
        <w:rPr>
          <w:rFonts w:eastAsia="仿宋_GB2312"/>
          <w:sz w:val="30"/>
          <w:szCs w:val="30"/>
        </w:rPr>
      </w:pPr>
      <w:r>
        <w:rPr>
          <w:rFonts w:eastAsia="仿宋_GB2312"/>
          <w:sz w:val="30"/>
          <w:szCs w:val="30"/>
        </w:rPr>
        <w:t>项目主要内容：具体包括垃圾清运率达到95%以上，合理设置垃圾收集容器，推广垃圾分类投放，规范环卫车辆运输路线和时间，避免垃圾泄漏和异味散发。道路清扫保洁率98%，制定科学的清扫计划，根据不同路段的交通流量和污染程度，合理安排清扫时间和频次。冬季降雪即下即清完成重点区域清雪，保障道路畅通，制定完善的清雪应急预案，明确各部门职责，建立统一指挥机制。通过本项目的实施，将有效提升城市环境卫生质量，为居民创造更加美好的生活环境。</w:t>
      </w:r>
    </w:p>
    <w:p w14:paraId="4075EF56">
      <w:pPr>
        <w:spacing w:line="600" w:lineRule="exact"/>
        <w:ind w:firstLine="640" w:firstLineChars="200"/>
        <w:rPr>
          <w:rFonts w:eastAsia="仿宋_GB2312"/>
          <w:sz w:val="32"/>
          <w:szCs w:val="32"/>
        </w:rPr>
      </w:pPr>
      <w:r>
        <w:rPr>
          <w:rFonts w:eastAsia="仿宋_GB2312"/>
          <w:sz w:val="32"/>
          <w:szCs w:val="32"/>
        </w:rPr>
        <w:t>项目实施情况：</w:t>
      </w:r>
      <w:r>
        <w:rPr>
          <w:rFonts w:hint="eastAsia" w:eastAsia="仿宋_GB2312"/>
          <w:sz w:val="32"/>
          <w:szCs w:val="32"/>
        </w:rPr>
        <w:t>2024年我单位为保障全区部分街道</w:t>
      </w:r>
      <w:r>
        <w:rPr>
          <w:rFonts w:eastAsia="仿宋_GB2312"/>
          <w:sz w:val="30"/>
          <w:szCs w:val="30"/>
        </w:rPr>
        <w:t>，垃圾清运、道路清扫和冬季清雪等任务的</w:t>
      </w:r>
      <w:r>
        <w:rPr>
          <w:rFonts w:hint="eastAsia" w:eastAsia="仿宋_GB2312"/>
          <w:sz w:val="30"/>
          <w:szCs w:val="30"/>
        </w:rPr>
        <w:t>完成</w:t>
      </w:r>
      <w:r>
        <w:rPr>
          <w:rFonts w:eastAsia="仿宋_GB2312"/>
          <w:sz w:val="30"/>
          <w:szCs w:val="30"/>
        </w:rPr>
        <w:t>，提升城市环境卫生水平。</w:t>
      </w:r>
      <w:r>
        <w:rPr>
          <w:rFonts w:eastAsia="仿宋_GB2312"/>
          <w:sz w:val="32"/>
          <w:szCs w:val="32"/>
        </w:rPr>
        <w:t>本项目总投资</w:t>
      </w:r>
      <w:r>
        <w:rPr>
          <w:rFonts w:hint="eastAsia" w:eastAsia="仿宋_GB2312"/>
          <w:sz w:val="32"/>
          <w:szCs w:val="32"/>
        </w:rPr>
        <w:t>145万元</w:t>
      </w:r>
      <w:r>
        <w:rPr>
          <w:rFonts w:eastAsia="仿宋_GB2312"/>
          <w:sz w:val="32"/>
          <w:szCs w:val="32"/>
        </w:rPr>
        <w:t>，其中：</w:t>
      </w:r>
      <w:r>
        <w:rPr>
          <w:rFonts w:hint="eastAsia" w:eastAsia="仿宋_GB2312"/>
          <w:sz w:val="32"/>
          <w:szCs w:val="32"/>
        </w:rPr>
        <w:t>上级专项转移支付</w:t>
      </w:r>
      <w:r>
        <w:rPr>
          <w:rFonts w:eastAsia="仿宋_GB2312"/>
          <w:sz w:val="32"/>
          <w:szCs w:val="32"/>
        </w:rPr>
        <w:t>资金</w:t>
      </w:r>
      <w:r>
        <w:rPr>
          <w:rFonts w:hint="eastAsia" w:eastAsia="仿宋_GB2312"/>
          <w:sz w:val="32"/>
          <w:szCs w:val="32"/>
        </w:rPr>
        <w:t>145万元，主要用于13座垃圾转运站、453辆作业车辆的材料费及运费的支付，</w:t>
      </w:r>
      <w:r>
        <w:rPr>
          <w:rFonts w:eastAsia="仿宋_GB2312"/>
          <w:sz w:val="32"/>
          <w:szCs w:val="32"/>
        </w:rPr>
        <w:t>项目实际支出</w:t>
      </w:r>
      <w:r>
        <w:rPr>
          <w:rFonts w:hint="eastAsia" w:eastAsia="仿宋_GB2312"/>
          <w:sz w:val="32"/>
          <w:szCs w:val="32"/>
        </w:rPr>
        <w:t>145万元</w:t>
      </w:r>
      <w:r>
        <w:rPr>
          <w:rFonts w:eastAsia="仿宋_GB2312"/>
          <w:sz w:val="32"/>
          <w:szCs w:val="32"/>
        </w:rPr>
        <w:t>，支出率为100%。</w:t>
      </w:r>
    </w:p>
    <w:p w14:paraId="076B7E54">
      <w:pPr>
        <w:spacing w:line="560" w:lineRule="exact"/>
        <w:ind w:firstLine="643" w:firstLineChars="200"/>
        <w:rPr>
          <w:rFonts w:eastAsia="仿宋_GB2312"/>
          <w:b/>
          <w:bCs/>
          <w:sz w:val="32"/>
          <w:szCs w:val="32"/>
        </w:rPr>
      </w:pPr>
      <w:r>
        <w:rPr>
          <w:rFonts w:eastAsia="仿宋_GB2312"/>
          <w:b/>
          <w:bCs/>
          <w:sz w:val="32"/>
          <w:szCs w:val="32"/>
        </w:rPr>
        <w:t>3.资金投入和使用情况</w:t>
      </w:r>
    </w:p>
    <w:p w14:paraId="41DA1CF4">
      <w:pPr>
        <w:spacing w:line="600" w:lineRule="exact"/>
        <w:ind w:firstLine="640" w:firstLineChars="200"/>
        <w:outlineLvl w:val="0"/>
        <w:rPr>
          <w:rFonts w:eastAsia="仿宋_GB2312"/>
          <w:sz w:val="32"/>
          <w:szCs w:val="32"/>
        </w:rPr>
      </w:pPr>
      <w:r>
        <w:rPr>
          <w:rFonts w:eastAsia="仿宋_GB2312"/>
          <w:sz w:val="32"/>
          <w:szCs w:val="32"/>
        </w:rPr>
        <w:t>（1）资金投入情况</w:t>
      </w:r>
    </w:p>
    <w:p w14:paraId="67959E92">
      <w:pPr>
        <w:spacing w:line="600" w:lineRule="exact"/>
        <w:ind w:firstLine="640" w:firstLineChars="200"/>
        <w:outlineLvl w:val="0"/>
        <w:rPr>
          <w:rFonts w:eastAsia="仿宋_GB2312"/>
          <w:sz w:val="32"/>
          <w:szCs w:val="32"/>
        </w:rPr>
      </w:pPr>
      <w:r>
        <w:rPr>
          <w:rFonts w:eastAsia="仿宋_GB2312"/>
          <w:sz w:val="32"/>
          <w:szCs w:val="32"/>
        </w:rPr>
        <w:t>该项目年初预算数280.25万元，全年预算数145万元，该项目资金已全部落实到位，资金来源为</w:t>
      </w:r>
      <w:r>
        <w:rPr>
          <w:rFonts w:hint="eastAsia" w:eastAsia="仿宋_GB2312"/>
          <w:sz w:val="32"/>
          <w:szCs w:val="32"/>
        </w:rPr>
        <w:t>财政拨款</w:t>
      </w:r>
      <w:r>
        <w:rPr>
          <w:rFonts w:eastAsia="仿宋_GB2312"/>
          <w:sz w:val="32"/>
          <w:szCs w:val="32"/>
        </w:rPr>
        <w:t>。</w:t>
      </w:r>
    </w:p>
    <w:p w14:paraId="71F13063">
      <w:pPr>
        <w:spacing w:line="600" w:lineRule="exact"/>
        <w:ind w:firstLine="640" w:firstLineChars="200"/>
        <w:outlineLvl w:val="0"/>
        <w:rPr>
          <w:rFonts w:eastAsia="仿宋_GB2312"/>
          <w:sz w:val="32"/>
          <w:szCs w:val="32"/>
        </w:rPr>
      </w:pPr>
      <w:r>
        <w:rPr>
          <w:rFonts w:eastAsia="仿宋_GB2312"/>
          <w:sz w:val="32"/>
          <w:szCs w:val="32"/>
        </w:rPr>
        <w:t>（2）资金使用情况</w:t>
      </w:r>
    </w:p>
    <w:p w14:paraId="4CDA2EA4">
      <w:pPr>
        <w:spacing w:line="600" w:lineRule="exact"/>
        <w:ind w:firstLine="640" w:firstLineChars="200"/>
        <w:outlineLvl w:val="0"/>
        <w:rPr>
          <w:rFonts w:eastAsia="仿宋_GB2312"/>
          <w:sz w:val="32"/>
          <w:szCs w:val="32"/>
        </w:rPr>
      </w:pPr>
      <w:r>
        <w:rPr>
          <w:rFonts w:eastAsia="仿宋_GB2312"/>
          <w:sz w:val="32"/>
          <w:szCs w:val="32"/>
        </w:rPr>
        <w:t>该项目年初预算数280.25万元，全年预算数145万元，全年执行数145万元，预算执行率为</w:t>
      </w:r>
      <w:r>
        <w:rPr>
          <w:rFonts w:hint="eastAsia" w:eastAsia="仿宋_GB2312"/>
          <w:sz w:val="32"/>
          <w:szCs w:val="32"/>
        </w:rPr>
        <w:t>100</w:t>
      </w:r>
      <w:r>
        <w:rPr>
          <w:rFonts w:eastAsia="仿宋_GB2312"/>
          <w:sz w:val="32"/>
          <w:szCs w:val="32"/>
        </w:rPr>
        <w:t>%，主要用于：</w:t>
      </w:r>
      <w:r>
        <w:rPr>
          <w:rFonts w:hint="eastAsia" w:eastAsia="仿宋_GB2312"/>
          <w:sz w:val="32"/>
          <w:szCs w:val="32"/>
        </w:rPr>
        <w:t>采购必需的材料、设备，支付材料费65万，运维费80万。</w:t>
      </w:r>
    </w:p>
    <w:p w14:paraId="693C19F9">
      <w:pPr>
        <w:spacing w:line="560" w:lineRule="exact"/>
        <w:ind w:firstLine="643" w:firstLineChars="200"/>
        <w:rPr>
          <w:rFonts w:eastAsia="楷体_GB2312"/>
          <w:b/>
          <w:bCs/>
          <w:sz w:val="32"/>
          <w:szCs w:val="32"/>
        </w:rPr>
      </w:pPr>
      <w:r>
        <w:rPr>
          <w:rFonts w:eastAsia="楷体_GB2312"/>
          <w:b/>
          <w:bCs/>
          <w:sz w:val="32"/>
          <w:szCs w:val="32"/>
        </w:rPr>
        <w:t>（二）项目绩效目标</w:t>
      </w:r>
    </w:p>
    <w:p w14:paraId="41BD61D7">
      <w:pPr>
        <w:spacing w:line="560" w:lineRule="exact"/>
        <w:ind w:firstLine="640" w:firstLineChars="20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195F3CAA">
      <w:pPr>
        <w:spacing w:line="560" w:lineRule="exact"/>
        <w:ind w:firstLine="640" w:firstLineChars="200"/>
        <w:rPr>
          <w:rFonts w:eastAsia="仿宋_GB2312"/>
          <w:sz w:val="32"/>
          <w:szCs w:val="32"/>
        </w:rPr>
      </w:pPr>
      <w:r>
        <w:rPr>
          <w:rFonts w:eastAsia="仿宋_GB2312"/>
          <w:sz w:val="32"/>
          <w:szCs w:val="32"/>
        </w:rPr>
        <w:t>维护辖区内部分城市道路的机械化清扫、保洁、洒水降尘作业及冬季冰雪清运作业；生活垃圾、厨余垃圾、清运工作；环卫特种设施的维修维护工作；承担突发性、临时性应急抢险任务。</w:t>
      </w:r>
    </w:p>
    <w:p w14:paraId="75A70B23">
      <w:pPr>
        <w:spacing w:line="560" w:lineRule="exact"/>
        <w:ind w:firstLine="640" w:firstLineChars="200"/>
        <w:rPr>
          <w:rFonts w:eastAsia="仿宋_GB2312"/>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24634590">
      <w:pPr>
        <w:spacing w:line="560" w:lineRule="exact"/>
        <w:ind w:firstLine="640" w:firstLineChars="200"/>
        <w:rPr>
          <w:rFonts w:eastAsia="仿宋_GB2312"/>
          <w:sz w:val="32"/>
          <w:szCs w:val="32"/>
        </w:rPr>
      </w:pPr>
      <w:r>
        <w:rPr>
          <w:rFonts w:eastAsia="仿宋_GB2312"/>
          <w:sz w:val="32"/>
          <w:szCs w:val="32"/>
        </w:rPr>
        <w:t>确保每日垃圾及时清运，无溢出、无堆积，同时优化清运流程，提高清运效率。将对清运设备</w:t>
      </w:r>
      <w:r>
        <w:rPr>
          <w:rFonts w:hint="eastAsia" w:eastAsia="仿宋_GB2312"/>
          <w:sz w:val="32"/>
          <w:szCs w:val="32"/>
        </w:rPr>
        <w:t>（13座转运站、453辆作业车辆）</w:t>
      </w:r>
      <w:r>
        <w:rPr>
          <w:rFonts w:eastAsia="仿宋_GB2312"/>
          <w:sz w:val="32"/>
          <w:szCs w:val="32"/>
        </w:rPr>
        <w:t>进行定期检查和维护，确保运行正常。道路清扫方面，将加大清扫力度，确保道路干净整洁，特别是重点区域和人流密集区。将定期组织深度清扫，清除顽固污渍和垃圾。清雪方面，将确保雪后道路及时畅通，储备充足清雪物资，加强人员培训，提高应急清雪能力</w:t>
      </w:r>
      <w:r>
        <w:rPr>
          <w:rFonts w:hint="eastAsia" w:eastAsia="仿宋_GB2312"/>
          <w:sz w:val="32"/>
          <w:szCs w:val="32"/>
        </w:rPr>
        <w:t>。</w:t>
      </w:r>
    </w:p>
    <w:p w14:paraId="0F7064EE">
      <w:pPr>
        <w:spacing w:line="560" w:lineRule="exact"/>
        <w:ind w:firstLine="640" w:firstLineChars="200"/>
        <w:rPr>
          <w:rFonts w:eastAsia="黑体"/>
          <w:sz w:val="32"/>
          <w:szCs w:val="32"/>
        </w:rPr>
      </w:pPr>
      <w:r>
        <w:rPr>
          <w:rFonts w:eastAsia="黑体"/>
          <w:sz w:val="32"/>
          <w:szCs w:val="32"/>
        </w:rPr>
        <w:t>二、绩效评价工作开展情况</w:t>
      </w:r>
    </w:p>
    <w:p w14:paraId="65DCBA1A">
      <w:pPr>
        <w:spacing w:line="560" w:lineRule="exact"/>
        <w:ind w:firstLine="643" w:firstLineChars="200"/>
        <w:rPr>
          <w:rFonts w:eastAsia="楷体_GB2312"/>
          <w:b/>
          <w:bCs/>
          <w:sz w:val="32"/>
          <w:szCs w:val="32"/>
        </w:rPr>
      </w:pPr>
      <w:r>
        <w:rPr>
          <w:rFonts w:eastAsia="楷体_GB2312"/>
          <w:b/>
          <w:bCs/>
          <w:sz w:val="32"/>
          <w:szCs w:val="32"/>
        </w:rPr>
        <w:t>（一）绩效评价目的、对象和范围</w:t>
      </w:r>
    </w:p>
    <w:p w14:paraId="5FDC67C3">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1.绩效评价完整性</w:t>
      </w:r>
    </w:p>
    <w:p w14:paraId="25858865">
      <w:pPr>
        <w:spacing w:line="560" w:lineRule="exact"/>
        <w:ind w:firstLine="640" w:firstLineChars="20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0ECE5B64">
      <w:pPr>
        <w:spacing w:line="560" w:lineRule="exact"/>
        <w:ind w:firstLine="640" w:firstLineChars="200"/>
        <w:rPr>
          <w:rFonts w:eastAsia="仿宋_GB2312"/>
          <w:sz w:val="32"/>
          <w:szCs w:val="32"/>
        </w:rPr>
      </w:pPr>
      <w:r>
        <w:rPr>
          <w:rFonts w:eastAsia="仿宋_GB2312"/>
          <w:sz w:val="32"/>
          <w:szCs w:val="32"/>
        </w:rPr>
        <w:t>在评价指标体系的构建上，充分考虑了项目的性质、目标以及预期成果，选取了具有代表性和可衡量性的关键指标，涵盖了社会效益维度，力求全方位反映项目的绩效状况。同时，对于每个指标的评价标准和数据来源均进行了明确说明，确保评价结果的客观性和可追溯性。</w:t>
      </w:r>
    </w:p>
    <w:p w14:paraId="1D94D6DC">
      <w:pPr>
        <w:spacing w:line="560" w:lineRule="exact"/>
        <w:ind w:firstLine="640" w:firstLineChars="20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72036CFE">
      <w:pPr>
        <w:spacing w:line="560" w:lineRule="exact"/>
        <w:ind w:firstLine="640" w:firstLineChars="20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08793986">
      <w:pPr>
        <w:spacing w:line="560" w:lineRule="exact"/>
        <w:ind w:firstLine="640" w:firstLineChars="20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2DA076DD">
      <w:pPr>
        <w:spacing w:line="560" w:lineRule="exact"/>
        <w:ind w:firstLine="640" w:firstLineChars="200"/>
        <w:rPr>
          <w:rFonts w:eastAsia="仿宋_GB2312"/>
          <w:sz w:val="32"/>
          <w:szCs w:val="32"/>
        </w:rPr>
      </w:pPr>
      <w:r>
        <w:rPr>
          <w:rFonts w:eastAsia="仿宋_GB2312"/>
          <w:sz w:val="32"/>
          <w:szCs w:val="32"/>
        </w:rPr>
        <w:t>2.绩效评价的目的</w:t>
      </w:r>
    </w:p>
    <w:p w14:paraId="7FFCC410">
      <w:pPr>
        <w:spacing w:line="560" w:lineRule="exact"/>
        <w:ind w:firstLine="640" w:firstLineChars="200"/>
        <w:rPr>
          <w:rFonts w:eastAsia="仿宋_GB2312"/>
          <w:sz w:val="32"/>
          <w:szCs w:val="32"/>
        </w:rPr>
      </w:pPr>
      <w:r>
        <w:rPr>
          <w:rFonts w:eastAsia="仿宋_GB2312"/>
          <w:sz w:val="32"/>
          <w:szCs w:val="32"/>
        </w:rPr>
        <w:t>（1）评估项目实施效果</w:t>
      </w:r>
    </w:p>
    <w:p w14:paraId="1EFA9A77">
      <w:pPr>
        <w:spacing w:line="560" w:lineRule="exact"/>
        <w:ind w:firstLine="640" w:firstLineChars="20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通过对项目预算执行情况及各项绩效目标达成程度的系统性分析，全面、客观地评估项目在预定周期内的实施效果，包括社会效益等多维度指标，为项目后续的改进与优化提供科学依据。</w:t>
      </w:r>
    </w:p>
    <w:p w14:paraId="0F049C6D">
      <w:pPr>
        <w:spacing w:line="560" w:lineRule="exact"/>
        <w:ind w:firstLine="640" w:firstLineChars="200"/>
        <w:rPr>
          <w:rFonts w:eastAsia="仿宋_GB2312"/>
          <w:sz w:val="32"/>
          <w:szCs w:val="32"/>
        </w:rPr>
      </w:pPr>
      <w:r>
        <w:rPr>
          <w:rFonts w:eastAsia="仿宋_GB2312"/>
          <w:sz w:val="32"/>
          <w:szCs w:val="32"/>
        </w:rPr>
        <w:t>（2）提升资源利用效率</w:t>
      </w:r>
    </w:p>
    <w:p w14:paraId="3EF1C93B">
      <w:pPr>
        <w:spacing w:line="560" w:lineRule="exact"/>
        <w:ind w:firstLine="640" w:firstLineChars="20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CC1A8C9">
      <w:pPr>
        <w:spacing w:line="560" w:lineRule="exact"/>
        <w:ind w:firstLine="640" w:firstLineChars="200"/>
        <w:rPr>
          <w:rFonts w:eastAsia="仿宋_GB2312"/>
          <w:sz w:val="32"/>
          <w:szCs w:val="32"/>
        </w:rPr>
      </w:pPr>
      <w:r>
        <w:rPr>
          <w:rFonts w:eastAsia="仿宋_GB2312"/>
          <w:sz w:val="32"/>
          <w:szCs w:val="32"/>
        </w:rPr>
        <w:t>（3）强化项目管理责任</w:t>
      </w:r>
    </w:p>
    <w:p w14:paraId="0C750462">
      <w:pPr>
        <w:spacing w:line="560" w:lineRule="exact"/>
        <w:ind w:firstLine="640" w:firstLineChars="20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035E385">
      <w:pPr>
        <w:spacing w:line="560" w:lineRule="exact"/>
        <w:ind w:firstLine="640" w:firstLineChars="200"/>
        <w:rPr>
          <w:rFonts w:eastAsia="仿宋_GB2312"/>
          <w:sz w:val="32"/>
          <w:szCs w:val="32"/>
        </w:rPr>
      </w:pPr>
      <w:r>
        <w:rPr>
          <w:rFonts w:eastAsia="仿宋_GB2312"/>
          <w:sz w:val="32"/>
          <w:szCs w:val="32"/>
        </w:rPr>
        <w:t>（4）为决策提供支持</w:t>
      </w:r>
    </w:p>
    <w:p w14:paraId="2E661679">
      <w:pPr>
        <w:spacing w:line="560" w:lineRule="exact"/>
        <w:ind w:firstLine="640" w:firstLineChars="20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1D78D96E">
      <w:pPr>
        <w:spacing w:line="560" w:lineRule="exact"/>
        <w:ind w:firstLine="640" w:firstLineChars="200"/>
        <w:rPr>
          <w:rFonts w:eastAsia="仿宋_GB2312"/>
          <w:sz w:val="32"/>
          <w:szCs w:val="32"/>
        </w:rPr>
      </w:pPr>
      <w:r>
        <w:rPr>
          <w:rFonts w:eastAsia="仿宋_GB2312"/>
          <w:sz w:val="32"/>
          <w:szCs w:val="32"/>
        </w:rPr>
        <w:t>（5）促进项目持续改进</w:t>
      </w:r>
    </w:p>
    <w:p w14:paraId="403A1F09">
      <w:pPr>
        <w:spacing w:line="560" w:lineRule="exact"/>
        <w:ind w:firstLine="640" w:firstLineChars="20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10C58074">
      <w:pPr>
        <w:spacing w:line="560" w:lineRule="exact"/>
        <w:ind w:firstLine="640" w:firstLineChars="20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3DD9000">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w:t>
      </w:r>
      <w:r>
        <w:rPr>
          <w:rFonts w:ascii="Times New Roman" w:hAnsi="Times New Roman" w:eastAsia="仿宋_GB2312"/>
        </w:rPr>
        <w:t>.</w:t>
      </w:r>
      <w:r>
        <w:rPr>
          <w:rFonts w:ascii="Times New Roman" w:hAnsi="Times New Roman" w:eastAsia="仿宋_GB2312"/>
          <w:b w:val="0"/>
          <w:bCs w:val="0"/>
        </w:rPr>
        <w:t>绩效评价的对象</w:t>
      </w:r>
    </w:p>
    <w:p w14:paraId="65EA09C5">
      <w:pPr>
        <w:pStyle w:val="10"/>
        <w:widowControl w:val="0"/>
        <w:spacing w:before="0" w:after="0" w:line="560" w:lineRule="exact"/>
        <w:ind w:firstLine="640" w:firstLineChars="200"/>
        <w:jc w:val="both"/>
        <w:outlineLvl w:val="9"/>
        <w:rPr>
          <w:rFonts w:ascii="Times New Roman" w:hAnsi="Times New Roman" w:eastAsia="仿宋_GB2312"/>
          <w:b w:val="0"/>
          <w:bCs w:val="0"/>
          <w:kern w:val="2"/>
        </w:rPr>
      </w:pPr>
      <w:r>
        <w:rPr>
          <w:rFonts w:ascii="Times New Roman" w:hAnsi="Times New Roman" w:eastAsia="仿宋_GB2312"/>
          <w:b w:val="0"/>
          <w:bCs w:val="0"/>
          <w:kern w:val="2"/>
        </w:rPr>
        <w:t>本项目预算绩效评价报告的评价对象是历年城维费项目资金及其预算执行情况。该项目由乌鲁木齐市沙依巴克区环卫清运队负责实施，旨在确保城市各项功能高效、稳定、安全地运行，全面提升城市品质和管理水平。项目预算涵盖从</w:t>
      </w:r>
      <w:r>
        <w:rPr>
          <w:rFonts w:hint="eastAsia" w:ascii="Times New Roman" w:hAnsi="Times New Roman" w:eastAsia="仿宋_GB2312"/>
          <w:b w:val="0"/>
          <w:bCs w:val="0"/>
          <w:kern w:val="2"/>
        </w:rPr>
        <w:t>2024年1月1日</w:t>
      </w:r>
      <w:r>
        <w:rPr>
          <w:rFonts w:ascii="Times New Roman" w:hAnsi="Times New Roman" w:eastAsia="仿宋_GB2312"/>
          <w:b w:val="0"/>
          <w:bCs w:val="0"/>
          <w:kern w:val="2"/>
        </w:rPr>
        <w:t>至2024年1</w:t>
      </w:r>
      <w:r>
        <w:rPr>
          <w:rFonts w:hint="eastAsia" w:ascii="Times New Roman" w:hAnsi="Times New Roman" w:eastAsia="仿宋_GB2312"/>
          <w:b w:val="0"/>
          <w:bCs w:val="0"/>
          <w:kern w:val="2"/>
        </w:rPr>
        <w:t>2</w:t>
      </w:r>
      <w:r>
        <w:rPr>
          <w:rFonts w:ascii="Times New Roman" w:hAnsi="Times New Roman" w:eastAsia="仿宋_GB2312"/>
          <w:b w:val="0"/>
          <w:bCs w:val="0"/>
          <w:kern w:val="2"/>
        </w:rPr>
        <w:t>月</w:t>
      </w:r>
      <w:r>
        <w:rPr>
          <w:rFonts w:hint="eastAsia" w:ascii="Times New Roman" w:hAnsi="Times New Roman" w:eastAsia="仿宋_GB2312"/>
          <w:b w:val="0"/>
          <w:bCs w:val="0"/>
          <w:kern w:val="2"/>
        </w:rPr>
        <w:t>3</w:t>
      </w:r>
      <w:r>
        <w:rPr>
          <w:rFonts w:ascii="Times New Roman" w:hAnsi="Times New Roman" w:eastAsia="仿宋_GB2312"/>
          <w:b w:val="0"/>
          <w:bCs w:val="0"/>
          <w:kern w:val="2"/>
        </w:rPr>
        <w:t>1日的全部资金投入与支出，涉及资金总额为145万元。</w:t>
      </w:r>
    </w:p>
    <w:p w14:paraId="5E85A621">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4.绩效评价的范围</w:t>
      </w:r>
    </w:p>
    <w:p w14:paraId="4843187A">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本项目预算绩效评价报告的评价范围广泛而全面，涵盖了从项目立项至评价时点期间的所有关键预算活动和财务流程。具体而言，评价范围包括但不限于以下几个方面：</w:t>
      </w:r>
    </w:p>
    <w:p w14:paraId="510EEE04">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项目预算编制与执行：全面审视项目预算的编制依据、合理性、科学性以及实际执行情况，包括预算调整的原因和效果。</w:t>
      </w:r>
    </w:p>
    <w:p w14:paraId="44CDE64C">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资金管理：深入分析项目资金的分配、使用和监管情况，确保资金使用的合规性、高效性和透明度。</w:t>
      </w:r>
    </w:p>
    <w:p w14:paraId="2A08B918">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项目实施进度与产出：评估项目是否按照既定计划顺利推进，各项任务是否按时完成，以及项目产出的数量、质量和时效性是否符合预期。</w:t>
      </w:r>
    </w:p>
    <w:p w14:paraId="2BB18C23">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社会影响：考察项目对</w:t>
      </w:r>
      <w:r>
        <w:rPr>
          <w:rFonts w:hint="eastAsia" w:ascii="Times New Roman" w:hAnsi="Times New Roman" w:eastAsia="仿宋_GB2312"/>
          <w:b w:val="0"/>
          <w:bCs w:val="0"/>
        </w:rPr>
        <w:t>城市运行维护</w:t>
      </w:r>
      <w:r>
        <w:rPr>
          <w:rFonts w:ascii="Times New Roman" w:hAnsi="Times New Roman" w:eastAsia="仿宋_GB2312"/>
          <w:b w:val="0"/>
          <w:bCs w:val="0"/>
        </w:rPr>
        <w:t>等方面的综合影响。</w:t>
      </w:r>
    </w:p>
    <w:p w14:paraId="5559D9F4">
      <w:pPr>
        <w:spacing w:line="560" w:lineRule="exact"/>
        <w:ind w:firstLine="643" w:firstLineChars="200"/>
      </w:pPr>
      <w:r>
        <w:rPr>
          <w:rFonts w:eastAsia="楷体_GB2312"/>
          <w:b/>
          <w:bCs/>
          <w:sz w:val="32"/>
          <w:szCs w:val="32"/>
        </w:rPr>
        <w:t>（二）绩效评价原则、评价指标体系（详情见表1）、评价方法、评价标准。</w:t>
      </w:r>
    </w:p>
    <w:p w14:paraId="730B4B2A">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w:t>
      </w:r>
      <w:r>
        <w:rPr>
          <w:rFonts w:ascii="Times New Roman" w:hAnsi="Times New Roman" w:eastAsia="仿宋_GB2312"/>
        </w:rPr>
        <w:t>.</w:t>
      </w:r>
      <w:r>
        <w:rPr>
          <w:rFonts w:ascii="Times New Roman" w:hAnsi="Times New Roman" w:eastAsia="仿宋_GB2312"/>
          <w:b w:val="0"/>
          <w:bCs w:val="0"/>
        </w:rPr>
        <w:t>绩效评价原则</w:t>
      </w:r>
    </w:p>
    <w:p w14:paraId="134F8F2F">
      <w:pPr>
        <w:spacing w:line="560" w:lineRule="exact"/>
        <w:ind w:firstLine="640" w:firstLineChars="200"/>
        <w:rPr>
          <w:rFonts w:eastAsia="仿宋_GB2312"/>
          <w:sz w:val="32"/>
          <w:szCs w:val="32"/>
        </w:rPr>
      </w:pPr>
      <w:r>
        <w:rPr>
          <w:rFonts w:eastAsia="仿宋_GB2312"/>
          <w:sz w:val="32"/>
          <w:szCs w:val="32"/>
        </w:rPr>
        <w:t>本次项目绩效评价遵循以下基本原则：</w:t>
      </w:r>
    </w:p>
    <w:p w14:paraId="6E34BA8A">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（1）科学公正。绩效评价应当运用科学合理的方法，按照规范的程序，对项目绩效进行客观、公正的反映。</w:t>
      </w:r>
    </w:p>
    <w:p w14:paraId="77E5305F">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（2）统筹兼顾。单位自评、部门评价和财政评价应职责明确，各有侧重，相互衔接。单位自评应由项目单位自主实施，即“谁支出、谁自评”。部门评价和财政评价应在单位自评的基础上开展。</w:t>
      </w:r>
    </w:p>
    <w:p w14:paraId="2E7DB09D">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（3）激励约束。绩效评价结果应与预算安排、政策调整、改进管理实质性挂钩，体现奖优罚劣和激励相容导向，有效要安排、低效要压减、无效要问责。</w:t>
      </w:r>
    </w:p>
    <w:p w14:paraId="26ED3381">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（4）公开透明。绩效评价结果应依法依规公开，并自觉接受社会监督。</w:t>
      </w:r>
    </w:p>
    <w:p w14:paraId="74DDA5BD">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w:t>
      </w:r>
      <w:r>
        <w:rPr>
          <w:rFonts w:ascii="Times New Roman" w:hAnsi="Times New Roman" w:eastAsia="仿宋_GB2312"/>
        </w:rPr>
        <w:t>.</w:t>
      </w:r>
      <w:r>
        <w:rPr>
          <w:rFonts w:ascii="Times New Roman" w:hAnsi="Times New Roman" w:eastAsia="仿宋_GB2312"/>
          <w:b w:val="0"/>
          <w:bCs w:val="0"/>
        </w:rPr>
        <w:t>评价指标体系</w:t>
      </w:r>
    </w:p>
    <w:p w14:paraId="762C479B">
      <w:pPr>
        <w:spacing w:line="560" w:lineRule="exact"/>
        <w:ind w:firstLine="708" w:firstLineChars="200"/>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1BC40091">
      <w:pPr>
        <w:spacing w:line="560" w:lineRule="exact"/>
        <w:ind w:firstLine="708" w:firstLineChars="200"/>
        <w:rPr>
          <w:rFonts w:eastAsia="仿宋_GB2312"/>
          <w:spacing w:val="17"/>
          <w:sz w:val="32"/>
          <w:szCs w:val="32"/>
        </w:rPr>
      </w:pPr>
      <w:r>
        <w:rPr>
          <w:rFonts w:eastAsia="仿宋_GB2312"/>
          <w:spacing w:val="17"/>
          <w:sz w:val="32"/>
          <w:szCs w:val="32"/>
        </w:rPr>
        <w:t>（1）确定评价指标</w:t>
      </w:r>
    </w:p>
    <w:p w14:paraId="49568CDF">
      <w:pPr>
        <w:spacing w:line="560" w:lineRule="exact"/>
        <w:ind w:firstLine="708" w:firstLineChars="200"/>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18672AD2">
      <w:pPr>
        <w:spacing w:line="560" w:lineRule="exact"/>
        <w:ind w:firstLine="708" w:firstLineChars="200"/>
        <w:rPr>
          <w:rFonts w:eastAsia="仿宋_GB2312"/>
          <w:spacing w:val="17"/>
          <w:sz w:val="32"/>
          <w:szCs w:val="32"/>
        </w:rPr>
      </w:pPr>
      <w:r>
        <w:rPr>
          <w:rFonts w:eastAsia="仿宋_GB2312"/>
          <w:spacing w:val="17"/>
          <w:sz w:val="32"/>
          <w:szCs w:val="32"/>
        </w:rPr>
        <w:t>（2）确定权重</w:t>
      </w:r>
    </w:p>
    <w:p w14:paraId="48E26BAB">
      <w:pPr>
        <w:spacing w:line="560" w:lineRule="exact"/>
        <w:ind w:firstLine="708" w:firstLineChars="200"/>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确定各个指标相对于项目总体绩效的权重分值。在绩效评价指标体系中，项目决策权重为20分，项目过程权重为20分，项目产出权重为40分，项目效益权重为20分。</w:t>
      </w:r>
    </w:p>
    <w:p w14:paraId="31494D7F">
      <w:pPr>
        <w:spacing w:line="560" w:lineRule="exact"/>
        <w:ind w:firstLine="708" w:firstLineChars="200"/>
        <w:rPr>
          <w:rFonts w:eastAsia="仿宋_GB2312"/>
          <w:spacing w:val="17"/>
          <w:sz w:val="32"/>
          <w:szCs w:val="32"/>
        </w:rPr>
      </w:pPr>
      <w:r>
        <w:rPr>
          <w:rFonts w:eastAsia="仿宋_GB2312"/>
          <w:spacing w:val="17"/>
          <w:sz w:val="32"/>
          <w:szCs w:val="32"/>
        </w:rPr>
        <w:t>（3）确定指标标准值</w:t>
      </w:r>
    </w:p>
    <w:p w14:paraId="642EDAD3">
      <w:pPr>
        <w:spacing w:line="560" w:lineRule="exact"/>
        <w:ind w:firstLine="708" w:firstLineChars="200"/>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748DBABF">
      <w:pPr>
        <w:pStyle w:val="10"/>
        <w:spacing w:before="0" w:after="0" w:line="560" w:lineRule="exact"/>
        <w:ind w:firstLine="708" w:firstLineChars="200"/>
        <w:jc w:val="both"/>
        <w:rPr>
          <w:rFonts w:ascii="Times New Roman" w:hAnsi="Times New Roman" w:eastAsia="仿宋_GB2312"/>
          <w:b w:val="0"/>
          <w:bCs w:val="0"/>
          <w:spacing w:val="17"/>
          <w:kern w:val="2"/>
        </w:rPr>
      </w:pPr>
      <w:r>
        <w:rPr>
          <w:rFonts w:ascii="Times New Roman" w:hAnsi="Times New Roman" w:eastAsia="仿宋_GB2312"/>
          <w:b w:val="0"/>
          <w:bCs w:val="0"/>
          <w:spacing w:val="17"/>
          <w:kern w:val="2"/>
        </w:rPr>
        <w:t>绩效评价总分值100分，根据综合评分结果，90（含）-100分为优、80（含）-90分为良、60（含）-80分为中、60分以下为差。</w:t>
      </w:r>
    </w:p>
    <w:p w14:paraId="7C423961">
      <w:pPr>
        <w:pStyle w:val="10"/>
        <w:widowControl w:val="0"/>
        <w:spacing w:before="0" w:after="0" w:line="560" w:lineRule="exact"/>
        <w:ind w:firstLine="708" w:firstLineChars="200"/>
        <w:jc w:val="both"/>
        <w:outlineLvl w:val="9"/>
        <w:rPr>
          <w:rFonts w:ascii="Times New Roman" w:hAnsi="Times New Roman" w:eastAsia="仿宋_GB2312"/>
          <w:b w:val="0"/>
          <w:bCs w:val="0"/>
          <w:spacing w:val="17"/>
        </w:rPr>
      </w:pPr>
      <w:r>
        <w:rPr>
          <w:rFonts w:ascii="Times New Roman" w:hAnsi="Times New Roman" w:eastAsia="仿宋_GB2312"/>
          <w:b w:val="0"/>
          <w:bCs w:val="0"/>
          <w:spacing w:val="17"/>
        </w:rPr>
        <w:t>具体评价指标体系详情见附件1</w:t>
      </w:r>
    </w:p>
    <w:p w14:paraId="13A03228">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3.绩效评价方法</w:t>
      </w:r>
    </w:p>
    <w:p w14:paraId="03B0DC03">
      <w:pPr>
        <w:spacing w:line="560" w:lineRule="exact"/>
        <w:ind w:firstLine="708" w:firstLineChars="200"/>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32F50A66">
      <w:pPr>
        <w:spacing w:line="560" w:lineRule="exact"/>
        <w:ind w:firstLine="708" w:firstLineChars="200"/>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7D9CC471">
      <w:pPr>
        <w:spacing w:line="560" w:lineRule="exact"/>
        <w:ind w:firstLine="708" w:firstLineChars="200"/>
        <w:rPr>
          <w:rFonts w:eastAsia="仿宋_GB2312"/>
          <w:spacing w:val="17"/>
          <w:sz w:val="32"/>
          <w:szCs w:val="32"/>
        </w:rPr>
      </w:pPr>
      <w:r>
        <w:rPr>
          <w:rFonts w:eastAsia="仿宋_GB2312"/>
          <w:spacing w:val="17"/>
          <w:sz w:val="32"/>
          <w:szCs w:val="32"/>
        </w:rPr>
        <w:t>（一）成本效益分析法。是指将投入与产出、效益进行关联性分析的方法</w:t>
      </w:r>
      <w:r>
        <w:rPr>
          <w:rFonts w:hint="eastAsia" w:eastAsia="仿宋_GB2312"/>
          <w:spacing w:val="17"/>
          <w:sz w:val="32"/>
          <w:szCs w:val="32"/>
        </w:rPr>
        <w:t>。改方法能够量化比较项目的成本与效益，帮助单位明确项目是否经济可行，从而优化资源配置，确保项目在预算约束下实现社会福利最大化。</w:t>
      </w:r>
    </w:p>
    <w:p w14:paraId="022917A5">
      <w:pPr>
        <w:spacing w:line="560" w:lineRule="exact"/>
        <w:ind w:firstLine="708" w:firstLineChars="200"/>
        <w:rPr>
          <w:rFonts w:eastAsia="仿宋_GB2312"/>
          <w:spacing w:val="17"/>
          <w:sz w:val="32"/>
          <w:szCs w:val="32"/>
        </w:rPr>
      </w:pPr>
      <w:r>
        <w:rPr>
          <w:rFonts w:eastAsia="仿宋_GB2312"/>
          <w:spacing w:val="17"/>
          <w:sz w:val="32"/>
          <w:szCs w:val="32"/>
        </w:rPr>
        <w:t>（二）比较法。是指将实施情况与绩效目标、历史情况、不同部门和地区同类支出情况进行比较的方法。通过对比项目的成本、效益、实施难度等方面，可以直观地看出各方案的优劣，提供科学依据，有助于选择最优方案，提高城市维护建设的效率和效果。</w:t>
      </w:r>
    </w:p>
    <w:p w14:paraId="7D7CBA54">
      <w:pPr>
        <w:spacing w:line="560" w:lineRule="exact"/>
        <w:ind w:firstLine="708" w:firstLineChars="200"/>
        <w:rPr>
          <w:rFonts w:eastAsia="仿宋_GB2312"/>
          <w:spacing w:val="17"/>
          <w:sz w:val="32"/>
          <w:szCs w:val="32"/>
        </w:rPr>
      </w:pPr>
      <w:r>
        <w:rPr>
          <w:rFonts w:eastAsia="仿宋_GB2312"/>
          <w:spacing w:val="17"/>
          <w:sz w:val="32"/>
          <w:szCs w:val="32"/>
        </w:rPr>
        <w:t>（三）因素分析法。是指综合分析影响绩效目标实现、实施效果的内外部因素的方法。能系统分析影响项目的多种因素，如成本、效益、技术可行性、环境影响等，帮助</w:t>
      </w:r>
      <w:r>
        <w:rPr>
          <w:rFonts w:hint="eastAsia" w:eastAsia="仿宋_GB2312"/>
          <w:spacing w:val="17"/>
          <w:sz w:val="32"/>
          <w:szCs w:val="32"/>
        </w:rPr>
        <w:t>单位</w:t>
      </w:r>
      <w:r>
        <w:rPr>
          <w:rFonts w:eastAsia="仿宋_GB2312"/>
          <w:spacing w:val="17"/>
          <w:sz w:val="32"/>
          <w:szCs w:val="32"/>
        </w:rPr>
        <w:t>全面了解项目状况，提供全面、准确的信息支持。</w:t>
      </w:r>
    </w:p>
    <w:p w14:paraId="35051ADC">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w:t>
      </w:r>
      <w:r>
        <w:rPr>
          <w:rFonts w:ascii="Times New Roman" w:hAnsi="Times New Roman" w:eastAsia="仿宋_GB2312"/>
        </w:rPr>
        <w:t>.</w:t>
      </w:r>
      <w:r>
        <w:rPr>
          <w:rFonts w:ascii="Times New Roman" w:hAnsi="Times New Roman" w:eastAsia="仿宋_GB2312"/>
          <w:b w:val="0"/>
          <w:bCs w:val="0"/>
        </w:rPr>
        <w:t>评价标准</w:t>
      </w:r>
    </w:p>
    <w:p w14:paraId="1FE43B85">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绩效评价标准通常包括计划标准、行业标准、历史标准等，用于对绩效指标完成情况进行比较、分析、评价。本次评价主要采用了</w:t>
      </w:r>
      <w:r>
        <w:rPr>
          <w:rFonts w:hint="eastAsia" w:ascii="Times New Roman" w:hAnsi="Times New Roman" w:eastAsia="仿宋_GB2312"/>
          <w:b w:val="0"/>
          <w:bCs w:val="0"/>
        </w:rPr>
        <w:t>计划标准</w:t>
      </w:r>
      <w:r>
        <w:rPr>
          <w:rFonts w:ascii="Times New Roman" w:hAnsi="Times New Roman" w:eastAsia="仿宋_GB2312"/>
          <w:b w:val="0"/>
          <w:bCs w:val="0"/>
        </w:rPr>
        <w:t>。</w:t>
      </w:r>
    </w:p>
    <w:p w14:paraId="11CC2FBE">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计划标准。指以预先制定的目标、计划、预算、定额等作为评价标准。</w:t>
      </w:r>
    </w:p>
    <w:p w14:paraId="61503801">
      <w:pPr>
        <w:pStyle w:val="10"/>
        <w:numPr>
          <w:ilvl w:val="0"/>
          <w:numId w:val="1"/>
        </w:numPr>
        <w:spacing w:before="0" w:after="0" w:line="560" w:lineRule="exact"/>
        <w:ind w:firstLine="711" w:firstLineChars="200"/>
        <w:jc w:val="both"/>
        <w:rPr>
          <w:rFonts w:ascii="Times New Roman" w:hAnsi="Times New Roman" w:eastAsia="楷体"/>
          <w:spacing w:val="17"/>
        </w:rPr>
      </w:pPr>
      <w:r>
        <w:rPr>
          <w:rFonts w:ascii="Times New Roman" w:hAnsi="Times New Roman" w:eastAsia="楷体"/>
          <w:spacing w:val="17"/>
        </w:rPr>
        <w:t>绩效评价工作过程</w:t>
      </w:r>
    </w:p>
    <w:p w14:paraId="5D81701A">
      <w:pPr>
        <w:spacing w:line="560" w:lineRule="exact"/>
        <w:ind w:firstLine="640" w:firstLineChars="200"/>
        <w:rPr>
          <w:rFonts w:eastAsia="仿宋_GB2312"/>
          <w:kern w:val="28"/>
          <w:sz w:val="32"/>
          <w:szCs w:val="32"/>
        </w:rPr>
      </w:pPr>
      <w:r>
        <w:rPr>
          <w:rFonts w:eastAsia="仿宋_GB2312"/>
          <w:kern w:val="28"/>
          <w:sz w:val="32"/>
          <w:szCs w:val="32"/>
        </w:rPr>
        <w:t>（1）前期准备与规划</w:t>
      </w:r>
    </w:p>
    <w:p w14:paraId="49B68B4F">
      <w:pPr>
        <w:spacing w:line="560" w:lineRule="exact"/>
        <w:ind w:firstLine="640" w:firstLineChars="200"/>
        <w:rPr>
          <w:rFonts w:eastAsia="仿宋_GB2312"/>
          <w:kern w:val="28"/>
          <w:sz w:val="32"/>
          <w:szCs w:val="32"/>
        </w:rPr>
      </w:pPr>
      <w:r>
        <w:rPr>
          <w:rFonts w:eastAsia="仿宋_GB2312"/>
          <w:kern w:val="28"/>
          <w:sz w:val="32"/>
          <w:szCs w:val="32"/>
        </w:rPr>
        <w:t>在项目绩效评价工作启动之初，成立了专门的评价工作小组，小组成员由</w:t>
      </w:r>
      <w:r>
        <w:rPr>
          <w:rFonts w:hint="eastAsia" w:eastAsia="仿宋_GB2312"/>
          <w:kern w:val="28"/>
          <w:sz w:val="32"/>
          <w:szCs w:val="32"/>
        </w:rPr>
        <w:t>办公室人员、</w:t>
      </w:r>
      <w:r>
        <w:rPr>
          <w:rFonts w:eastAsia="仿宋_GB2312"/>
          <w:kern w:val="28"/>
          <w:sz w:val="32"/>
          <w:szCs w:val="32"/>
        </w:rPr>
        <w:t>财务</w:t>
      </w:r>
      <w:r>
        <w:rPr>
          <w:rFonts w:hint="eastAsia" w:eastAsia="仿宋_GB2312"/>
          <w:kern w:val="28"/>
          <w:sz w:val="32"/>
          <w:szCs w:val="32"/>
        </w:rPr>
        <w:t>人员</w:t>
      </w:r>
      <w:r>
        <w:rPr>
          <w:rFonts w:eastAsia="仿宋_GB2312"/>
          <w:kern w:val="28"/>
          <w:sz w:val="32"/>
          <w:szCs w:val="32"/>
        </w:rPr>
        <w:t>、</w:t>
      </w:r>
      <w:r>
        <w:rPr>
          <w:rFonts w:hint="eastAsia" w:eastAsia="仿宋_GB2312"/>
          <w:kern w:val="28"/>
          <w:sz w:val="32"/>
          <w:szCs w:val="32"/>
        </w:rPr>
        <w:t>材料室</w:t>
      </w:r>
      <w:r>
        <w:rPr>
          <w:rFonts w:eastAsia="仿宋_GB2312"/>
          <w:kern w:val="28"/>
          <w:sz w:val="32"/>
          <w:szCs w:val="32"/>
        </w:rPr>
        <w:t>人员及相关</w:t>
      </w:r>
      <w:r>
        <w:rPr>
          <w:rFonts w:hint="eastAsia" w:eastAsia="仿宋_GB2312"/>
          <w:kern w:val="28"/>
          <w:sz w:val="32"/>
          <w:szCs w:val="32"/>
        </w:rPr>
        <w:t>科室人员</w:t>
      </w:r>
      <w:r>
        <w:rPr>
          <w:rFonts w:eastAsia="仿宋_GB2312"/>
          <w:kern w:val="28"/>
          <w:sz w:val="32"/>
          <w:szCs w:val="32"/>
        </w:rPr>
        <w:t>组成，确保从多角度、全方位对项目绩效进行评价。同时，明确了评价工作的目标、范围、重点及时间安排，制定了详细的工作计划，为评价工作的顺利开展奠定了坚实基础。</w:t>
      </w:r>
    </w:p>
    <w:p w14:paraId="7B0B24D2">
      <w:pPr>
        <w:spacing w:line="560" w:lineRule="exact"/>
        <w:ind w:firstLine="640" w:firstLineChars="200"/>
        <w:rPr>
          <w:rFonts w:eastAsia="仿宋_GB2312"/>
          <w:kern w:val="28"/>
          <w:sz w:val="32"/>
          <w:szCs w:val="32"/>
        </w:rPr>
      </w:pPr>
      <w:r>
        <w:rPr>
          <w:rFonts w:eastAsia="仿宋_GB2312"/>
          <w:kern w:val="28"/>
          <w:sz w:val="32"/>
          <w:szCs w:val="32"/>
        </w:rPr>
        <w:t>（2）指标体系构建</w:t>
      </w:r>
    </w:p>
    <w:p w14:paraId="7590854C">
      <w:pPr>
        <w:spacing w:line="560" w:lineRule="exact"/>
        <w:ind w:firstLine="640" w:firstLineChars="200"/>
        <w:rPr>
          <w:rFonts w:eastAsia="仿宋_GB2312"/>
          <w:kern w:val="28"/>
          <w:sz w:val="32"/>
          <w:szCs w:val="32"/>
        </w:rPr>
      </w:pPr>
      <w:r>
        <w:rPr>
          <w:rFonts w:eastAsia="仿宋_GB2312"/>
          <w:kern w:val="28"/>
          <w:sz w:val="32"/>
          <w:szCs w:val="32"/>
        </w:rPr>
        <w:t>依据项目的性质、目标以及预期成果，构建了科学合理的绩效评价指标体系。该指标体系涵盖了项目决策、项目过程、项目产出、项目效益四个维度，选取了具有代表性和可衡量性的关键指标，并为每个指标设定了明确的评价标准与权重，确保评价结果能够全面、准确地反映项目的绩效状况。</w:t>
      </w:r>
    </w:p>
    <w:p w14:paraId="44569BF0">
      <w:pPr>
        <w:spacing w:line="560" w:lineRule="exact"/>
        <w:ind w:firstLine="640" w:firstLineChars="200"/>
        <w:rPr>
          <w:rFonts w:eastAsia="仿宋_GB2312"/>
          <w:kern w:val="28"/>
          <w:sz w:val="32"/>
          <w:szCs w:val="32"/>
        </w:rPr>
      </w:pPr>
      <w:r>
        <w:rPr>
          <w:rFonts w:eastAsia="仿宋_GB2312"/>
          <w:kern w:val="28"/>
          <w:sz w:val="32"/>
          <w:szCs w:val="32"/>
        </w:rPr>
        <w:t>（3）数据收集与整理</w:t>
      </w:r>
    </w:p>
    <w:p w14:paraId="49A90C3F">
      <w:pPr>
        <w:spacing w:line="560" w:lineRule="exact"/>
        <w:ind w:firstLine="640" w:firstLineChars="200"/>
        <w:rPr>
          <w:rFonts w:eastAsia="仿宋_GB2312"/>
          <w:kern w:val="28"/>
          <w:sz w:val="32"/>
          <w:szCs w:val="32"/>
        </w:rPr>
      </w:pPr>
      <w:r>
        <w:rPr>
          <w:rFonts w:eastAsia="仿宋_GB2312"/>
          <w:kern w:val="28"/>
          <w:sz w:val="32"/>
          <w:szCs w:val="32"/>
        </w:rPr>
        <w:t>广泛收集与项目相关的各类数据，包括财务报表、项目文档、业务数据、</w:t>
      </w:r>
      <w:r>
        <w:rPr>
          <w:rFonts w:hint="eastAsia" w:eastAsia="仿宋_GB2312"/>
          <w:kern w:val="28"/>
          <w:sz w:val="32"/>
          <w:szCs w:val="32"/>
        </w:rPr>
        <w:t>居民</w:t>
      </w:r>
      <w:r>
        <w:rPr>
          <w:rFonts w:eastAsia="仿宋_GB2312"/>
          <w:kern w:val="28"/>
          <w:sz w:val="32"/>
          <w:szCs w:val="32"/>
        </w:rPr>
        <w:t>反馈等。在数据收集过程中，注重数据的质量与完整性，对缺失或异常的数据进行了合理的处理和补充。随后，对收集到的数据进行了系统的整理与分类，为后续的数据分析提供了有力支持。</w:t>
      </w:r>
    </w:p>
    <w:p w14:paraId="7547A05B">
      <w:pPr>
        <w:spacing w:line="560" w:lineRule="exact"/>
        <w:ind w:firstLine="640" w:firstLineChars="200"/>
        <w:rPr>
          <w:rFonts w:eastAsia="仿宋_GB2312"/>
          <w:kern w:val="28"/>
          <w:sz w:val="32"/>
          <w:szCs w:val="32"/>
        </w:rPr>
      </w:pPr>
      <w:r>
        <w:rPr>
          <w:rFonts w:eastAsia="仿宋_GB2312"/>
          <w:kern w:val="28"/>
          <w:sz w:val="32"/>
          <w:szCs w:val="32"/>
        </w:rPr>
        <w:t>（4）数据分析与评估</w:t>
      </w:r>
    </w:p>
    <w:p w14:paraId="57DFAA3C">
      <w:pPr>
        <w:spacing w:line="560" w:lineRule="exact"/>
        <w:ind w:firstLine="640" w:firstLineChars="200"/>
        <w:rPr>
          <w:rFonts w:eastAsia="仿宋_GB2312"/>
          <w:kern w:val="28"/>
          <w:sz w:val="32"/>
          <w:szCs w:val="32"/>
        </w:rPr>
      </w:pPr>
      <w:r>
        <w:rPr>
          <w:rFonts w:eastAsia="仿宋_GB2312"/>
          <w:kern w:val="28"/>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3A929E48">
      <w:pPr>
        <w:spacing w:line="560" w:lineRule="exact"/>
        <w:ind w:firstLine="640" w:firstLineChars="200"/>
        <w:rPr>
          <w:rFonts w:eastAsia="仿宋_GB2312"/>
          <w:kern w:val="28"/>
          <w:sz w:val="32"/>
          <w:szCs w:val="32"/>
        </w:rPr>
      </w:pPr>
      <w:r>
        <w:rPr>
          <w:rFonts w:eastAsia="仿宋_GB2312"/>
          <w:kern w:val="28"/>
          <w:sz w:val="32"/>
          <w:szCs w:val="32"/>
        </w:rPr>
        <w:t>（5）报告撰写与反馈</w:t>
      </w:r>
    </w:p>
    <w:p w14:paraId="25CF0BDF">
      <w:pPr>
        <w:spacing w:line="560" w:lineRule="exact"/>
        <w:ind w:firstLine="640" w:firstLineChars="200"/>
        <w:rPr>
          <w:rFonts w:eastAsia="仿宋_GB2312"/>
          <w:kern w:val="28"/>
          <w:sz w:val="32"/>
          <w:szCs w:val="32"/>
        </w:rPr>
      </w:pPr>
      <w:r>
        <w:rPr>
          <w:rFonts w:eastAsia="仿宋_GB2312"/>
          <w:kern w:val="28"/>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13072A14">
      <w:pPr>
        <w:spacing w:line="560" w:lineRule="exact"/>
        <w:ind w:firstLine="640" w:firstLineChars="200"/>
        <w:rPr>
          <w:rFonts w:eastAsia="仿宋_GB2312"/>
          <w:kern w:val="28"/>
          <w:sz w:val="32"/>
          <w:szCs w:val="32"/>
        </w:rPr>
      </w:pPr>
      <w:r>
        <w:rPr>
          <w:rFonts w:eastAsia="仿宋_GB2312"/>
          <w:kern w:val="28"/>
          <w:sz w:val="32"/>
          <w:szCs w:val="32"/>
        </w:rPr>
        <w:t>（6）后续跟踪与改进</w:t>
      </w:r>
    </w:p>
    <w:p w14:paraId="14E6005C">
      <w:pPr>
        <w:spacing w:line="560" w:lineRule="exact"/>
        <w:ind w:firstLine="640" w:firstLineChars="200"/>
        <w:rPr>
          <w:rFonts w:eastAsia="仿宋_GB2312"/>
          <w:kern w:val="28"/>
          <w:sz w:val="32"/>
          <w:szCs w:val="32"/>
        </w:rPr>
      </w:pPr>
      <w:r>
        <w:rPr>
          <w:rFonts w:eastAsia="仿宋_GB2312"/>
          <w:kern w:val="28"/>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56A87AA6">
      <w:pPr>
        <w:numPr>
          <w:ilvl w:val="0"/>
          <w:numId w:val="2"/>
        </w:numPr>
        <w:spacing w:line="560" w:lineRule="exact"/>
        <w:ind w:firstLine="640" w:firstLineChars="200"/>
        <w:rPr>
          <w:rFonts w:eastAsia="黑体"/>
          <w:sz w:val="32"/>
          <w:szCs w:val="32"/>
        </w:rPr>
      </w:pPr>
      <w:r>
        <w:rPr>
          <w:rFonts w:eastAsia="黑体"/>
          <w:sz w:val="32"/>
          <w:szCs w:val="32"/>
        </w:rPr>
        <w:t>综合评价情况及评价结论（附相关评分表）</w:t>
      </w:r>
    </w:p>
    <w:p w14:paraId="1876191C">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（一）评价情况</w:t>
      </w:r>
    </w:p>
    <w:p w14:paraId="05AE02BE">
      <w:pPr>
        <w:pStyle w:val="9"/>
        <w:widowControl/>
        <w:spacing w:beforeAutospacing="0" w:afterAutospacing="0" w:line="560" w:lineRule="exact"/>
        <w:ind w:firstLine="640" w:firstLineChars="200"/>
        <w:rPr>
          <w:rFonts w:eastAsia="仿宋_GB2312"/>
          <w:kern w:val="28"/>
          <w:sz w:val="32"/>
          <w:szCs w:val="32"/>
        </w:rPr>
      </w:pPr>
      <w:r>
        <w:rPr>
          <w:rFonts w:eastAsia="仿宋_GB2312"/>
          <w:kern w:val="28"/>
          <w:sz w:val="32"/>
          <w:szCs w:val="32"/>
        </w:rPr>
        <w:t>本项目的综合评价基于对项目各方面绩效的深入分析与评估。从项目目标的达成情况来看，历年城维费项目资金在城市运行维护合格率、城市运行维护及时率等方面表现出色，达到了预期的标准与要求。同时，项目也在</w:t>
      </w:r>
      <w:r>
        <w:rPr>
          <w:rFonts w:hint="eastAsia" w:eastAsia="仿宋_GB2312"/>
          <w:kern w:val="28"/>
          <w:sz w:val="32"/>
          <w:szCs w:val="32"/>
        </w:rPr>
        <w:t>城市环境卫生中</w:t>
      </w:r>
      <w:r>
        <w:rPr>
          <w:rFonts w:eastAsia="仿宋_GB2312"/>
          <w:kern w:val="28"/>
          <w:sz w:val="32"/>
          <w:szCs w:val="32"/>
        </w:rPr>
        <w:t>取得了显著的成效，如城市维护运行率等。</w:t>
      </w:r>
    </w:p>
    <w:p w14:paraId="7FABF601">
      <w:pPr>
        <w:pStyle w:val="9"/>
        <w:widowControl/>
        <w:spacing w:beforeAutospacing="0" w:afterAutospacing="0" w:line="560" w:lineRule="exact"/>
        <w:ind w:firstLine="640" w:firstLineChars="200"/>
        <w:rPr>
          <w:rFonts w:eastAsia="仿宋_GB2312"/>
          <w:kern w:val="28"/>
          <w:sz w:val="32"/>
          <w:szCs w:val="32"/>
        </w:rPr>
      </w:pPr>
      <w:r>
        <w:rPr>
          <w:rFonts w:eastAsia="仿宋_GB2312"/>
          <w:kern w:val="28"/>
          <w:sz w:val="32"/>
          <w:szCs w:val="32"/>
        </w:rPr>
        <w:t>在项目管理方面，乌鲁木齐市沙依巴克区环卫清运队通过有效的规划、组织与协调，项目得以顺利实施，并在预算与时间上保持了良好的控制。</w:t>
      </w:r>
    </w:p>
    <w:p w14:paraId="03099368">
      <w:pPr>
        <w:pStyle w:val="9"/>
        <w:widowControl/>
        <w:spacing w:beforeAutospacing="0" w:afterAutospacing="0" w:line="560" w:lineRule="exact"/>
        <w:ind w:firstLine="640" w:firstLineChars="200"/>
        <w:rPr>
          <w:rFonts w:eastAsia="仿宋_GB2312"/>
          <w:kern w:val="28"/>
          <w:sz w:val="32"/>
          <w:szCs w:val="32"/>
        </w:rPr>
      </w:pPr>
      <w:r>
        <w:rPr>
          <w:rFonts w:eastAsia="仿宋_GB2312"/>
          <w:kern w:val="28"/>
          <w:sz w:val="32"/>
          <w:szCs w:val="32"/>
        </w:rPr>
        <w:t>从项目效益的角度来看，本项目不仅实现了预期的社会效益方面产生了积极的影响。具体而言，</w:t>
      </w:r>
      <w:r>
        <w:rPr>
          <w:rFonts w:hint="eastAsia" w:eastAsia="仿宋_GB2312"/>
          <w:kern w:val="28"/>
          <w:sz w:val="32"/>
          <w:szCs w:val="32"/>
        </w:rPr>
        <w:t>城市各项功能高效、稳定、安全地运行</w:t>
      </w:r>
      <w:r>
        <w:rPr>
          <w:rFonts w:eastAsia="仿宋_GB2312"/>
          <w:kern w:val="28"/>
          <w:sz w:val="32"/>
          <w:szCs w:val="32"/>
        </w:rPr>
        <w:t>等方面的提升，为项目的利益相关者带来了实实在在的利益。</w:t>
      </w:r>
    </w:p>
    <w:p w14:paraId="2168A6D1">
      <w:pPr>
        <w:pStyle w:val="9"/>
        <w:widowControl/>
        <w:spacing w:beforeAutospacing="0" w:afterAutospacing="0" w:line="560" w:lineRule="exact"/>
        <w:ind w:firstLine="640" w:firstLineChars="200"/>
        <w:rPr>
          <w:rFonts w:eastAsia="仿宋_GB2312"/>
          <w:kern w:val="28"/>
          <w:sz w:val="32"/>
          <w:szCs w:val="32"/>
        </w:rPr>
      </w:pPr>
      <w:r>
        <w:rPr>
          <w:rFonts w:eastAsia="仿宋_GB2312"/>
          <w:kern w:val="28"/>
          <w:sz w:val="32"/>
          <w:szCs w:val="32"/>
        </w:rPr>
        <w:t>综上所述，历年城维费项目资金在绩效评价中表现出色，达到了项目的预期目标，并在多个方面取得了显著的成效。</w:t>
      </w:r>
    </w:p>
    <w:p w14:paraId="46D475F2">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（二）评价结论</w:t>
      </w:r>
    </w:p>
    <w:p w14:paraId="5FBDA379">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 xml:space="preserve">运用绩效评价组制定的评价指标体系以及财政部《项目支出绩效评价管理办法》（财预〔2020〕10号）文件的评分标准，通过数据采集、问卷调查及访谈等方式，对本项目进行客观评价，最终评分结果：总得分为 </w:t>
      </w:r>
      <w:r>
        <w:rPr>
          <w:rFonts w:hint="eastAsia" w:ascii="Times New Roman" w:hAnsi="Times New Roman" w:eastAsia="仿宋_GB2312"/>
          <w:b w:val="0"/>
          <w:bCs w:val="0"/>
        </w:rPr>
        <w:t>100</w:t>
      </w:r>
      <w:r>
        <w:rPr>
          <w:rFonts w:ascii="Times New Roman" w:hAnsi="Times New Roman" w:eastAsia="仿宋_GB2312"/>
          <w:b w:val="0"/>
          <w:bCs w:val="0"/>
        </w:rPr>
        <w:t xml:space="preserve">分，属于“优”。其中，项目决策类指标权重为20分，得分为 </w:t>
      </w:r>
      <w:r>
        <w:rPr>
          <w:rFonts w:hint="eastAsia" w:ascii="Times New Roman" w:hAnsi="Times New Roman" w:eastAsia="仿宋_GB2312"/>
          <w:b w:val="0"/>
          <w:bCs w:val="0"/>
        </w:rPr>
        <w:t>20</w:t>
      </w:r>
      <w:r>
        <w:rPr>
          <w:rFonts w:ascii="Times New Roman" w:hAnsi="Times New Roman" w:eastAsia="仿宋_GB2312"/>
          <w:b w:val="0"/>
          <w:bCs w:val="0"/>
        </w:rPr>
        <w:t xml:space="preserve">分，得分率为 </w:t>
      </w:r>
      <w:r>
        <w:rPr>
          <w:rFonts w:hint="eastAsia" w:ascii="Times New Roman" w:hAnsi="Times New Roman" w:eastAsia="仿宋_GB2312"/>
          <w:b w:val="0"/>
          <w:bCs w:val="0"/>
        </w:rPr>
        <w:t>100</w:t>
      </w:r>
      <w:r>
        <w:rPr>
          <w:rFonts w:ascii="Times New Roman" w:hAnsi="Times New Roman" w:eastAsia="仿宋_GB2312"/>
          <w:b w:val="0"/>
          <w:bCs w:val="0"/>
        </w:rPr>
        <w:t>%。项目过程类指标权重为20分，得分为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 xml:space="preserve">分，得分率为 </w:t>
      </w:r>
      <w:r>
        <w:rPr>
          <w:rFonts w:hint="eastAsia" w:ascii="Times New Roman" w:hAnsi="Times New Roman" w:eastAsia="仿宋_GB2312"/>
          <w:b w:val="0"/>
          <w:bCs w:val="0"/>
        </w:rPr>
        <w:t>100</w:t>
      </w:r>
      <w:r>
        <w:rPr>
          <w:rFonts w:ascii="Times New Roman" w:hAnsi="Times New Roman" w:eastAsia="仿宋_GB2312"/>
          <w:b w:val="0"/>
          <w:bCs w:val="0"/>
        </w:rPr>
        <w:t>%。项目产出类指标权重为40分，得分为</w:t>
      </w:r>
      <w:r>
        <w:rPr>
          <w:rFonts w:hint="eastAsia" w:ascii="Times New Roman" w:hAnsi="Times New Roman" w:eastAsia="仿宋_GB2312"/>
          <w:b w:val="0"/>
          <w:bCs w:val="0"/>
        </w:rPr>
        <w:t>40</w:t>
      </w:r>
      <w:r>
        <w:rPr>
          <w:rFonts w:ascii="Times New Roman" w:hAnsi="Times New Roman" w:eastAsia="仿宋_GB2312"/>
          <w:b w:val="0"/>
          <w:bCs w:val="0"/>
        </w:rPr>
        <w:t xml:space="preserve">分，得分率为 </w:t>
      </w:r>
      <w:r>
        <w:rPr>
          <w:rFonts w:hint="eastAsia" w:ascii="Times New Roman" w:hAnsi="Times New Roman" w:eastAsia="仿宋_GB2312"/>
          <w:b w:val="0"/>
          <w:bCs w:val="0"/>
        </w:rPr>
        <w:t>100</w:t>
      </w:r>
      <w:r>
        <w:rPr>
          <w:rFonts w:ascii="Times New Roman" w:hAnsi="Times New Roman" w:eastAsia="仿宋_GB2312"/>
          <w:b w:val="0"/>
          <w:bCs w:val="0"/>
        </w:rPr>
        <w:t>%。项目效益类指标权重为20分，得分为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%。具体打分情况详见：附件1综合评分表。</w:t>
      </w:r>
    </w:p>
    <w:p w14:paraId="09353BA4">
      <w:pPr>
        <w:pStyle w:val="10"/>
        <w:spacing w:before="0" w:after="0"/>
        <w:rPr>
          <w:rFonts w:ascii="Times New Roman" w:hAnsi="Times New Roman" w:eastAsia="仿宋_GB2312"/>
          <w:sz w:val="21"/>
          <w:szCs w:val="21"/>
        </w:rPr>
      </w:pPr>
      <w:r>
        <w:rPr>
          <w:rFonts w:ascii="Times New Roman" w:hAnsi="Times New Roman" w:eastAsia="仿宋_GB2312"/>
          <w:sz w:val="21"/>
          <w:szCs w:val="21"/>
        </w:rPr>
        <w:t>表1综合评分表</w:t>
      </w:r>
    </w:p>
    <w:tbl>
      <w:tblPr>
        <w:tblStyle w:val="14"/>
        <w:tblW w:w="8760" w:type="dxa"/>
        <w:jc w:val="center"/>
        <w:tblLayout w:type="fixed"/>
        <w:tblCellMar>
          <w:top w:w="0" w:type="dxa"/>
          <w:left w:w="108" w:type="dxa"/>
          <w:bottom w:w="0" w:type="dxa"/>
          <w:right w:w="108" w:type="dxa"/>
        </w:tblCellMar>
      </w:tblPr>
      <w:tblGrid>
        <w:gridCol w:w="2787"/>
        <w:gridCol w:w="1927"/>
        <w:gridCol w:w="2023"/>
        <w:gridCol w:w="2023"/>
      </w:tblGrid>
      <w:tr w14:paraId="26B4A2D3">
        <w:tblPrEx>
          <w:tblCellMar>
            <w:top w:w="0" w:type="dxa"/>
            <w:left w:w="108" w:type="dxa"/>
            <w:bottom w:w="0" w:type="dxa"/>
            <w:right w:w="108" w:type="dxa"/>
          </w:tblCellMar>
        </w:tblPrEx>
        <w:trPr>
          <w:trHeight w:val="90" w:hRule="atLeast"/>
          <w:tblHeader/>
          <w:jc w:val="center"/>
        </w:trPr>
        <w:tc>
          <w:tcPr>
            <w:tcW w:w="278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5A3DBE85">
            <w:pPr>
              <w:jc w:val="center"/>
              <w:rPr>
                <w:rFonts w:eastAsia="仿宋_GB2312"/>
                <w:b/>
                <w:bCs/>
                <w:szCs w:val="21"/>
              </w:rPr>
            </w:pPr>
            <w:r>
              <w:rPr>
                <w:rFonts w:eastAsia="仿宋_GB2312"/>
                <w:b/>
                <w:bCs/>
                <w:szCs w:val="21"/>
              </w:rPr>
              <w:t>一级指标</w:t>
            </w:r>
          </w:p>
        </w:tc>
        <w:tc>
          <w:tcPr>
            <w:tcW w:w="1927"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0DC2DA26">
            <w:pPr>
              <w:jc w:val="center"/>
              <w:rPr>
                <w:rFonts w:eastAsia="仿宋_GB2312"/>
                <w:b/>
                <w:bCs/>
                <w:szCs w:val="21"/>
              </w:rPr>
            </w:pPr>
            <w:r>
              <w:rPr>
                <w:rFonts w:eastAsia="仿宋_GB2312"/>
                <w:b/>
                <w:bCs/>
                <w:szCs w:val="21"/>
              </w:rPr>
              <w:t>权重分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07379184">
            <w:pPr>
              <w:jc w:val="center"/>
              <w:rPr>
                <w:rFonts w:eastAsia="仿宋_GB2312"/>
                <w:b/>
                <w:bCs/>
                <w:szCs w:val="21"/>
              </w:rPr>
            </w:pPr>
            <w:r>
              <w:rPr>
                <w:rFonts w:eastAsia="仿宋_GB2312"/>
                <w:b/>
                <w:bCs/>
                <w:szCs w:val="21"/>
              </w:rPr>
              <w:t>得分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79D620C8">
            <w:pPr>
              <w:jc w:val="center"/>
              <w:rPr>
                <w:rFonts w:eastAsia="仿宋_GB2312"/>
                <w:b/>
                <w:bCs/>
                <w:szCs w:val="21"/>
              </w:rPr>
            </w:pPr>
            <w:r>
              <w:rPr>
                <w:rFonts w:hint="eastAsia" w:eastAsia="仿宋_GB2312"/>
                <w:b/>
                <w:bCs/>
                <w:szCs w:val="21"/>
              </w:rPr>
              <w:t>得分率</w:t>
            </w:r>
          </w:p>
        </w:tc>
      </w:tr>
      <w:tr w14:paraId="0E049F05">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7AD75064">
            <w:pPr>
              <w:jc w:val="center"/>
              <w:rPr>
                <w:rFonts w:eastAsia="仿宋_GB2312"/>
                <w:szCs w:val="21"/>
              </w:rPr>
            </w:pPr>
            <w:r>
              <w:rPr>
                <w:rFonts w:eastAsia="仿宋_GB2312"/>
                <w:szCs w:val="21"/>
              </w:rPr>
              <w:t>项目决策</w:t>
            </w:r>
          </w:p>
        </w:tc>
        <w:tc>
          <w:tcPr>
            <w:tcW w:w="1927" w:type="dxa"/>
            <w:tcBorders>
              <w:top w:val="nil"/>
              <w:left w:val="nil"/>
              <w:bottom w:val="single" w:color="auto" w:sz="4" w:space="0"/>
              <w:right w:val="single" w:color="auto" w:sz="4" w:space="0"/>
            </w:tcBorders>
            <w:vAlign w:val="center"/>
          </w:tcPr>
          <w:p w14:paraId="31340111">
            <w:pPr>
              <w:jc w:val="center"/>
              <w:rPr>
                <w:rFonts w:eastAsia="仿宋_GB2312"/>
                <w:szCs w:val="21"/>
              </w:rPr>
            </w:pPr>
            <w:r>
              <w:rPr>
                <w:rFonts w:eastAsia="仿宋_GB2312"/>
                <w:szCs w:val="21"/>
              </w:rPr>
              <w:t>20</w:t>
            </w:r>
          </w:p>
        </w:tc>
        <w:tc>
          <w:tcPr>
            <w:tcW w:w="2023" w:type="dxa"/>
            <w:tcBorders>
              <w:top w:val="nil"/>
              <w:left w:val="nil"/>
              <w:bottom w:val="single" w:color="auto" w:sz="4" w:space="0"/>
              <w:right w:val="single" w:color="auto" w:sz="4" w:space="0"/>
            </w:tcBorders>
            <w:vAlign w:val="center"/>
          </w:tcPr>
          <w:p w14:paraId="3319C304">
            <w:pPr>
              <w:jc w:val="center"/>
              <w:rPr>
                <w:rFonts w:eastAsia="仿宋_GB2312"/>
                <w:szCs w:val="21"/>
              </w:rPr>
            </w:pPr>
            <w:r>
              <w:rPr>
                <w:rFonts w:hint="eastAsia" w:eastAsia="仿宋_GB2312"/>
                <w:szCs w:val="21"/>
              </w:rPr>
              <w:t>20</w:t>
            </w:r>
          </w:p>
        </w:tc>
        <w:tc>
          <w:tcPr>
            <w:tcW w:w="2023" w:type="dxa"/>
            <w:tcBorders>
              <w:top w:val="nil"/>
              <w:left w:val="nil"/>
              <w:bottom w:val="single" w:color="auto" w:sz="4" w:space="0"/>
              <w:right w:val="single" w:color="auto" w:sz="4" w:space="0"/>
            </w:tcBorders>
            <w:vAlign w:val="center"/>
          </w:tcPr>
          <w:p w14:paraId="7E5B421F">
            <w:pPr>
              <w:jc w:val="center"/>
              <w:rPr>
                <w:rFonts w:eastAsia="仿宋_GB2312"/>
                <w:szCs w:val="21"/>
              </w:rPr>
            </w:pPr>
            <w:r>
              <w:rPr>
                <w:rFonts w:hint="eastAsia" w:eastAsia="仿宋_GB2312"/>
                <w:szCs w:val="21"/>
              </w:rPr>
              <w:t>100%</w:t>
            </w:r>
          </w:p>
        </w:tc>
      </w:tr>
      <w:tr w14:paraId="2ADF1FFA">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62552AC0">
            <w:pPr>
              <w:jc w:val="center"/>
              <w:rPr>
                <w:rFonts w:eastAsia="仿宋_GB2312"/>
                <w:szCs w:val="21"/>
              </w:rPr>
            </w:pPr>
            <w:r>
              <w:rPr>
                <w:rFonts w:eastAsia="仿宋_GB2312"/>
                <w:szCs w:val="21"/>
              </w:rPr>
              <w:t>项目过程</w:t>
            </w:r>
          </w:p>
        </w:tc>
        <w:tc>
          <w:tcPr>
            <w:tcW w:w="1927" w:type="dxa"/>
            <w:tcBorders>
              <w:top w:val="nil"/>
              <w:left w:val="nil"/>
              <w:bottom w:val="single" w:color="auto" w:sz="4" w:space="0"/>
              <w:right w:val="single" w:color="auto" w:sz="4" w:space="0"/>
            </w:tcBorders>
            <w:vAlign w:val="center"/>
          </w:tcPr>
          <w:p w14:paraId="785600D5">
            <w:pPr>
              <w:jc w:val="center"/>
              <w:rPr>
                <w:rFonts w:eastAsia="仿宋_GB2312"/>
                <w:szCs w:val="21"/>
              </w:rPr>
            </w:pPr>
            <w:r>
              <w:rPr>
                <w:rFonts w:eastAsia="仿宋_GB2312"/>
                <w:szCs w:val="21"/>
              </w:rPr>
              <w:t>20</w:t>
            </w:r>
          </w:p>
        </w:tc>
        <w:tc>
          <w:tcPr>
            <w:tcW w:w="2023" w:type="dxa"/>
            <w:tcBorders>
              <w:top w:val="nil"/>
              <w:left w:val="nil"/>
              <w:bottom w:val="single" w:color="auto" w:sz="4" w:space="0"/>
              <w:right w:val="single" w:color="auto" w:sz="4" w:space="0"/>
            </w:tcBorders>
            <w:vAlign w:val="center"/>
          </w:tcPr>
          <w:p w14:paraId="166AD99A">
            <w:pPr>
              <w:jc w:val="center"/>
              <w:rPr>
                <w:rFonts w:eastAsia="仿宋_GB2312"/>
                <w:szCs w:val="21"/>
              </w:rPr>
            </w:pPr>
            <w:r>
              <w:rPr>
                <w:rFonts w:hint="eastAsia" w:eastAsia="仿宋_GB2312"/>
                <w:szCs w:val="21"/>
              </w:rPr>
              <w:t>20</w:t>
            </w:r>
          </w:p>
        </w:tc>
        <w:tc>
          <w:tcPr>
            <w:tcW w:w="2023" w:type="dxa"/>
            <w:tcBorders>
              <w:top w:val="nil"/>
              <w:left w:val="nil"/>
              <w:bottom w:val="single" w:color="auto" w:sz="4" w:space="0"/>
              <w:right w:val="single" w:color="auto" w:sz="4" w:space="0"/>
            </w:tcBorders>
            <w:vAlign w:val="center"/>
          </w:tcPr>
          <w:p w14:paraId="1C2AA3EB">
            <w:pPr>
              <w:jc w:val="center"/>
              <w:rPr>
                <w:rFonts w:eastAsia="仿宋_GB2312"/>
                <w:szCs w:val="21"/>
              </w:rPr>
            </w:pPr>
            <w:r>
              <w:rPr>
                <w:rFonts w:hint="eastAsia" w:eastAsia="仿宋_GB2312"/>
                <w:szCs w:val="21"/>
              </w:rPr>
              <w:t>100%</w:t>
            </w:r>
          </w:p>
        </w:tc>
      </w:tr>
      <w:tr w14:paraId="734DFE1B">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4CDA76BD">
            <w:pPr>
              <w:jc w:val="center"/>
              <w:rPr>
                <w:rFonts w:eastAsia="仿宋_GB2312"/>
                <w:szCs w:val="21"/>
              </w:rPr>
            </w:pPr>
            <w:r>
              <w:rPr>
                <w:rFonts w:eastAsia="仿宋_GB2312"/>
                <w:szCs w:val="21"/>
              </w:rPr>
              <w:t>项目产出</w:t>
            </w:r>
          </w:p>
        </w:tc>
        <w:tc>
          <w:tcPr>
            <w:tcW w:w="1927" w:type="dxa"/>
            <w:tcBorders>
              <w:top w:val="nil"/>
              <w:left w:val="nil"/>
              <w:bottom w:val="single" w:color="auto" w:sz="4" w:space="0"/>
              <w:right w:val="single" w:color="auto" w:sz="4" w:space="0"/>
            </w:tcBorders>
            <w:vAlign w:val="center"/>
          </w:tcPr>
          <w:p w14:paraId="7409FDFC">
            <w:pPr>
              <w:jc w:val="center"/>
              <w:rPr>
                <w:rFonts w:eastAsia="仿宋_GB2312"/>
                <w:szCs w:val="21"/>
              </w:rPr>
            </w:pPr>
            <w:r>
              <w:rPr>
                <w:rFonts w:eastAsia="仿宋_GB2312"/>
                <w:szCs w:val="21"/>
              </w:rPr>
              <w:t>40</w:t>
            </w:r>
          </w:p>
        </w:tc>
        <w:tc>
          <w:tcPr>
            <w:tcW w:w="2023" w:type="dxa"/>
            <w:tcBorders>
              <w:top w:val="nil"/>
              <w:left w:val="nil"/>
              <w:bottom w:val="single" w:color="auto" w:sz="4" w:space="0"/>
              <w:right w:val="single" w:color="auto" w:sz="4" w:space="0"/>
            </w:tcBorders>
            <w:vAlign w:val="center"/>
          </w:tcPr>
          <w:p w14:paraId="3E6197C5">
            <w:pPr>
              <w:jc w:val="center"/>
              <w:rPr>
                <w:rFonts w:eastAsia="仿宋_GB2312"/>
                <w:szCs w:val="21"/>
              </w:rPr>
            </w:pPr>
            <w:r>
              <w:rPr>
                <w:rFonts w:hint="eastAsia" w:eastAsia="仿宋_GB2312"/>
                <w:szCs w:val="21"/>
              </w:rPr>
              <w:t>40</w:t>
            </w:r>
          </w:p>
        </w:tc>
        <w:tc>
          <w:tcPr>
            <w:tcW w:w="2023" w:type="dxa"/>
            <w:tcBorders>
              <w:top w:val="nil"/>
              <w:left w:val="nil"/>
              <w:bottom w:val="single" w:color="auto" w:sz="4" w:space="0"/>
              <w:right w:val="single" w:color="auto" w:sz="4" w:space="0"/>
            </w:tcBorders>
            <w:vAlign w:val="center"/>
          </w:tcPr>
          <w:p w14:paraId="410837B5">
            <w:pPr>
              <w:jc w:val="center"/>
              <w:rPr>
                <w:rFonts w:eastAsia="仿宋_GB2312"/>
                <w:szCs w:val="21"/>
              </w:rPr>
            </w:pPr>
            <w:r>
              <w:rPr>
                <w:rFonts w:hint="eastAsia" w:eastAsia="仿宋_GB2312"/>
                <w:szCs w:val="21"/>
              </w:rPr>
              <w:t>100%</w:t>
            </w:r>
          </w:p>
        </w:tc>
      </w:tr>
      <w:tr w14:paraId="217E870C">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121A4C78">
            <w:pPr>
              <w:jc w:val="center"/>
              <w:rPr>
                <w:rFonts w:eastAsia="仿宋_GB2312"/>
                <w:szCs w:val="21"/>
              </w:rPr>
            </w:pPr>
            <w:r>
              <w:rPr>
                <w:rFonts w:eastAsia="仿宋_GB2312"/>
                <w:szCs w:val="21"/>
              </w:rPr>
              <w:t>项目效益</w:t>
            </w:r>
          </w:p>
        </w:tc>
        <w:tc>
          <w:tcPr>
            <w:tcW w:w="1927" w:type="dxa"/>
            <w:tcBorders>
              <w:top w:val="nil"/>
              <w:left w:val="nil"/>
              <w:bottom w:val="single" w:color="auto" w:sz="4" w:space="0"/>
              <w:right w:val="single" w:color="auto" w:sz="4" w:space="0"/>
            </w:tcBorders>
            <w:vAlign w:val="center"/>
          </w:tcPr>
          <w:p w14:paraId="15F45869">
            <w:pPr>
              <w:jc w:val="center"/>
              <w:rPr>
                <w:rFonts w:eastAsia="仿宋_GB2312"/>
                <w:szCs w:val="21"/>
              </w:rPr>
            </w:pPr>
            <w:r>
              <w:rPr>
                <w:rFonts w:eastAsia="仿宋_GB2312"/>
                <w:szCs w:val="21"/>
              </w:rPr>
              <w:t>20</w:t>
            </w:r>
          </w:p>
        </w:tc>
        <w:tc>
          <w:tcPr>
            <w:tcW w:w="2023" w:type="dxa"/>
            <w:tcBorders>
              <w:top w:val="nil"/>
              <w:left w:val="nil"/>
              <w:bottom w:val="single" w:color="auto" w:sz="4" w:space="0"/>
              <w:right w:val="single" w:color="auto" w:sz="4" w:space="0"/>
            </w:tcBorders>
            <w:vAlign w:val="center"/>
          </w:tcPr>
          <w:p w14:paraId="59F06C31">
            <w:pPr>
              <w:jc w:val="center"/>
              <w:rPr>
                <w:rFonts w:eastAsia="仿宋_GB2312"/>
                <w:szCs w:val="21"/>
              </w:rPr>
            </w:pPr>
            <w:r>
              <w:rPr>
                <w:rFonts w:hint="eastAsia" w:eastAsia="仿宋_GB2312"/>
                <w:szCs w:val="21"/>
              </w:rPr>
              <w:t>20</w:t>
            </w:r>
          </w:p>
        </w:tc>
        <w:tc>
          <w:tcPr>
            <w:tcW w:w="2023" w:type="dxa"/>
            <w:tcBorders>
              <w:top w:val="nil"/>
              <w:left w:val="nil"/>
              <w:bottom w:val="single" w:color="auto" w:sz="4" w:space="0"/>
              <w:right w:val="single" w:color="auto" w:sz="4" w:space="0"/>
            </w:tcBorders>
            <w:vAlign w:val="center"/>
          </w:tcPr>
          <w:p w14:paraId="7773688B">
            <w:pPr>
              <w:jc w:val="center"/>
              <w:rPr>
                <w:rFonts w:eastAsia="仿宋_GB2312"/>
                <w:szCs w:val="21"/>
              </w:rPr>
            </w:pPr>
            <w:r>
              <w:rPr>
                <w:rFonts w:hint="eastAsia" w:eastAsia="仿宋_GB2312"/>
                <w:szCs w:val="21"/>
              </w:rPr>
              <w:t>100%</w:t>
            </w:r>
          </w:p>
        </w:tc>
      </w:tr>
      <w:tr w14:paraId="2120A180">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0E0F963A">
            <w:pPr>
              <w:jc w:val="center"/>
              <w:rPr>
                <w:rFonts w:eastAsia="仿宋_GB2312"/>
                <w:b/>
                <w:bCs/>
                <w:szCs w:val="21"/>
              </w:rPr>
            </w:pPr>
            <w:r>
              <w:rPr>
                <w:rFonts w:eastAsia="仿宋_GB2312"/>
                <w:b/>
                <w:bCs/>
                <w:szCs w:val="21"/>
              </w:rPr>
              <w:t>合计</w:t>
            </w:r>
          </w:p>
        </w:tc>
        <w:tc>
          <w:tcPr>
            <w:tcW w:w="1927" w:type="dxa"/>
            <w:tcBorders>
              <w:top w:val="nil"/>
              <w:left w:val="nil"/>
              <w:bottom w:val="single" w:color="auto" w:sz="4" w:space="0"/>
              <w:right w:val="single" w:color="auto" w:sz="4" w:space="0"/>
            </w:tcBorders>
            <w:vAlign w:val="center"/>
          </w:tcPr>
          <w:p w14:paraId="0702F1C3">
            <w:pPr>
              <w:jc w:val="center"/>
              <w:rPr>
                <w:rFonts w:eastAsia="仿宋_GB2312"/>
                <w:b/>
                <w:bCs/>
                <w:szCs w:val="21"/>
              </w:rPr>
            </w:pPr>
            <w:r>
              <w:rPr>
                <w:rFonts w:eastAsia="仿宋_GB2312"/>
                <w:b/>
                <w:bCs/>
                <w:szCs w:val="21"/>
              </w:rPr>
              <w:t>100</w:t>
            </w:r>
          </w:p>
        </w:tc>
        <w:tc>
          <w:tcPr>
            <w:tcW w:w="2023" w:type="dxa"/>
            <w:tcBorders>
              <w:top w:val="nil"/>
              <w:left w:val="nil"/>
              <w:bottom w:val="single" w:color="auto" w:sz="4" w:space="0"/>
              <w:right w:val="single" w:color="auto" w:sz="4" w:space="0"/>
            </w:tcBorders>
            <w:vAlign w:val="center"/>
          </w:tcPr>
          <w:p w14:paraId="17016C48">
            <w:pPr>
              <w:jc w:val="center"/>
              <w:rPr>
                <w:rFonts w:eastAsia="仿宋_GB2312"/>
                <w:b/>
                <w:bCs/>
                <w:szCs w:val="21"/>
              </w:rPr>
            </w:pPr>
            <w:r>
              <w:rPr>
                <w:rFonts w:hint="eastAsia" w:eastAsia="仿宋_GB2312"/>
                <w:b/>
                <w:bCs/>
                <w:szCs w:val="21"/>
              </w:rPr>
              <w:t>100</w:t>
            </w:r>
          </w:p>
        </w:tc>
        <w:tc>
          <w:tcPr>
            <w:tcW w:w="2023" w:type="dxa"/>
            <w:tcBorders>
              <w:top w:val="nil"/>
              <w:left w:val="nil"/>
              <w:bottom w:val="single" w:color="auto" w:sz="4" w:space="0"/>
              <w:right w:val="single" w:color="auto" w:sz="4" w:space="0"/>
            </w:tcBorders>
            <w:vAlign w:val="center"/>
          </w:tcPr>
          <w:p w14:paraId="2CA3C09A">
            <w:pPr>
              <w:jc w:val="center"/>
              <w:rPr>
                <w:rFonts w:eastAsia="仿宋_GB2312"/>
                <w:b/>
                <w:bCs/>
                <w:szCs w:val="21"/>
              </w:rPr>
            </w:pPr>
            <w:r>
              <w:rPr>
                <w:rFonts w:hint="eastAsia" w:eastAsia="仿宋_GB2312"/>
                <w:b/>
                <w:bCs/>
                <w:szCs w:val="21"/>
              </w:rPr>
              <w:t>100%</w:t>
            </w:r>
          </w:p>
        </w:tc>
      </w:tr>
    </w:tbl>
    <w:p w14:paraId="7BE05EE6">
      <w:pPr>
        <w:spacing w:line="560" w:lineRule="exact"/>
        <w:ind w:firstLine="640" w:firstLineChars="200"/>
        <w:rPr>
          <w:rFonts w:eastAsia="黑体"/>
          <w:sz w:val="32"/>
          <w:szCs w:val="32"/>
        </w:rPr>
      </w:pPr>
      <w:r>
        <w:rPr>
          <w:rFonts w:eastAsia="黑体"/>
          <w:sz w:val="32"/>
          <w:szCs w:val="32"/>
        </w:rPr>
        <w:t>四、绩效评价指标分析</w:t>
      </w:r>
    </w:p>
    <w:p w14:paraId="69A58E9F">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（一）项目决策情况</w:t>
      </w:r>
    </w:p>
    <w:p w14:paraId="0F5D475A">
      <w:pPr>
        <w:spacing w:line="600" w:lineRule="exact"/>
        <w:ind w:firstLine="640" w:firstLineChars="200"/>
        <w:outlineLvl w:val="0"/>
        <w:rPr>
          <w:rFonts w:eastAsia="仿宋_GB2312"/>
          <w:sz w:val="32"/>
          <w:szCs w:val="32"/>
        </w:rPr>
      </w:pPr>
      <w:r>
        <w:rPr>
          <w:rFonts w:eastAsia="仿宋_GB2312"/>
          <w:sz w:val="32"/>
          <w:szCs w:val="32"/>
        </w:rPr>
        <w:t>项目决策类指标包括项目立项、绩效目标和资金投入三方面的内容，由6个三级指标构成，权重分值为20分，实际得分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0886F628">
      <w:pPr>
        <w:pStyle w:val="19"/>
        <w:spacing w:line="560" w:lineRule="exact"/>
        <w:ind w:firstLine="640"/>
        <w:rPr>
          <w:rFonts w:eastAsia="仿宋_GB2312"/>
          <w:b/>
          <w:bCs/>
          <w:sz w:val="32"/>
          <w:szCs w:val="32"/>
        </w:rPr>
      </w:pPr>
      <w:r>
        <w:rPr>
          <w:rFonts w:eastAsia="仿宋_GB2312"/>
          <w:b/>
          <w:bCs/>
          <w:sz w:val="32"/>
          <w:szCs w:val="32"/>
        </w:rPr>
        <w:t>1.项目立项</w:t>
      </w:r>
    </w:p>
    <w:p w14:paraId="3C9E0152">
      <w:pPr>
        <w:spacing w:line="600" w:lineRule="exact"/>
        <w:ind w:firstLine="640" w:firstLineChars="200"/>
        <w:outlineLvl w:val="0"/>
        <w:rPr>
          <w:rFonts w:eastAsia="仿宋_GB2312"/>
          <w:sz w:val="32"/>
          <w:szCs w:val="32"/>
        </w:rPr>
      </w:pPr>
      <w:r>
        <w:rPr>
          <w:rFonts w:eastAsia="仿宋_GB2312"/>
          <w:sz w:val="32"/>
          <w:szCs w:val="32"/>
        </w:rPr>
        <w:t>（1）立项依据充分性</w:t>
      </w:r>
    </w:p>
    <w:p w14:paraId="14A587C0">
      <w:pPr>
        <w:spacing w:line="600" w:lineRule="exact"/>
        <w:ind w:firstLine="640" w:firstLineChars="200"/>
        <w:outlineLvl w:val="0"/>
        <w:rPr>
          <w:rFonts w:eastAsia="仿宋_GB2312"/>
          <w:sz w:val="32"/>
          <w:szCs w:val="32"/>
        </w:rPr>
      </w:pPr>
      <w:r>
        <w:rPr>
          <w:rFonts w:eastAsia="仿宋_GB2312"/>
          <w:sz w:val="32"/>
          <w:szCs w:val="32"/>
        </w:rPr>
        <w:t>该项目立项</w:t>
      </w:r>
      <w:r>
        <w:rPr>
          <w:rFonts w:hint="eastAsia" w:eastAsia="仿宋_GB2312"/>
          <w:sz w:val="32"/>
          <w:szCs w:val="32"/>
        </w:rPr>
        <w:t>是根据</w:t>
      </w:r>
      <w:r>
        <w:rPr>
          <w:rFonts w:hint="eastAsia" w:eastAsia="仿宋_GB2312"/>
          <w:sz w:val="30"/>
          <w:szCs w:val="30"/>
        </w:rPr>
        <w:t>《关于分配市本级2024年度政府拖欠企业账款专项化解资金的请示》（乌财建【2024】47号）和《关于拨付历年城维费项目资金的通知》（乌财建【2024】87号）</w:t>
      </w:r>
      <w:r>
        <w:rPr>
          <w:rFonts w:eastAsia="仿宋_GB2312"/>
          <w:sz w:val="32"/>
          <w:szCs w:val="32"/>
        </w:rPr>
        <w:t>发展政策，符合行业规划要求，围绕本年度工作重点和工作计划制定经费预算，属于公共财政支持范围。本项目与部门内部其他相关项目不重复。部门发展规划及职能文件等归档完整。</w:t>
      </w:r>
    </w:p>
    <w:p w14:paraId="2D5585E0">
      <w:pPr>
        <w:spacing w:line="600" w:lineRule="exact"/>
        <w:ind w:firstLine="640" w:firstLineChars="200"/>
        <w:outlineLvl w:val="0"/>
        <w:rPr>
          <w:rFonts w:eastAsia="仿宋_GB2312"/>
          <w:sz w:val="32"/>
          <w:szCs w:val="32"/>
        </w:rPr>
      </w:pPr>
      <w:r>
        <w:rPr>
          <w:rFonts w:eastAsia="仿宋_GB2312"/>
          <w:sz w:val="32"/>
          <w:szCs w:val="32"/>
        </w:rPr>
        <w:t>（2）立项程序规范性</w:t>
      </w:r>
    </w:p>
    <w:p w14:paraId="44FDB3E6">
      <w:pPr>
        <w:spacing w:line="600" w:lineRule="exact"/>
        <w:ind w:firstLine="640" w:firstLineChars="20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可行性研究、风险评估、绩效评估，保障了程序的规范性。</w:t>
      </w:r>
    </w:p>
    <w:p w14:paraId="53EB4A02">
      <w:pPr>
        <w:pStyle w:val="19"/>
        <w:spacing w:line="560" w:lineRule="exact"/>
        <w:ind w:firstLine="640"/>
        <w:rPr>
          <w:rFonts w:eastAsia="仿宋_GB2312"/>
          <w:b/>
          <w:bCs/>
          <w:sz w:val="32"/>
          <w:szCs w:val="32"/>
        </w:rPr>
      </w:pPr>
      <w:r>
        <w:rPr>
          <w:rFonts w:eastAsia="仿宋_GB2312"/>
          <w:b/>
          <w:bCs/>
          <w:sz w:val="32"/>
          <w:szCs w:val="32"/>
        </w:rPr>
        <w:t>2.绩效目标</w:t>
      </w:r>
    </w:p>
    <w:p w14:paraId="04830533">
      <w:pPr>
        <w:spacing w:line="600" w:lineRule="exact"/>
        <w:ind w:firstLine="640" w:firstLineChars="200"/>
        <w:outlineLvl w:val="0"/>
        <w:rPr>
          <w:rFonts w:eastAsia="仿宋_GB2312"/>
          <w:sz w:val="32"/>
          <w:szCs w:val="32"/>
        </w:rPr>
      </w:pPr>
      <w:r>
        <w:rPr>
          <w:rFonts w:eastAsia="仿宋_GB2312"/>
          <w:sz w:val="32"/>
          <w:szCs w:val="32"/>
        </w:rPr>
        <w:t>（1）绩效目标合理性</w:t>
      </w:r>
    </w:p>
    <w:p w14:paraId="316B1A2B">
      <w:pPr>
        <w:spacing w:line="600" w:lineRule="exact"/>
        <w:ind w:firstLine="640" w:firstLineChars="20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74D7B6A4">
      <w:pPr>
        <w:spacing w:line="600" w:lineRule="exact"/>
        <w:ind w:firstLine="640" w:firstLineChars="200"/>
        <w:outlineLvl w:val="0"/>
        <w:rPr>
          <w:rFonts w:eastAsia="仿宋_GB2312"/>
          <w:sz w:val="32"/>
          <w:szCs w:val="32"/>
        </w:rPr>
      </w:pPr>
      <w:r>
        <w:rPr>
          <w:rFonts w:eastAsia="仿宋_GB2312"/>
          <w:sz w:val="32"/>
          <w:szCs w:val="32"/>
        </w:rPr>
        <w:t>（2）绩效指标明确性</w:t>
      </w:r>
    </w:p>
    <w:p w14:paraId="12869550">
      <w:pPr>
        <w:spacing w:line="600" w:lineRule="exact"/>
        <w:ind w:firstLine="640" w:firstLineChars="200"/>
        <w:outlineLvl w:val="0"/>
        <w:rPr>
          <w:rFonts w:eastAsia="仿宋_GB2312"/>
          <w:sz w:val="32"/>
          <w:szCs w:val="32"/>
        </w:rPr>
      </w:pPr>
      <w:r>
        <w:rPr>
          <w:rFonts w:eastAsia="仿宋_GB2312"/>
          <w:sz w:val="32"/>
          <w:szCs w:val="32"/>
        </w:rPr>
        <w:t>项目设置了明确的预期产出效益和效果，将绩效目标细化分解为具体的绩效指标，数量指标：</w:t>
      </w:r>
    </w:p>
    <w:p w14:paraId="501AC88C">
      <w:pPr>
        <w:spacing w:line="600" w:lineRule="exact"/>
        <w:ind w:firstLine="640" w:firstLineChars="200"/>
        <w:outlineLvl w:val="0"/>
      </w:pPr>
      <w:r>
        <w:rPr>
          <w:rFonts w:eastAsia="仿宋_GB2312"/>
          <w:sz w:val="32"/>
          <w:szCs w:val="32"/>
        </w:rPr>
        <w:t>指标1：转运站数量，指标值：13座，</w:t>
      </w:r>
    </w:p>
    <w:p w14:paraId="2E8C7C53">
      <w:pPr>
        <w:spacing w:line="600" w:lineRule="exact"/>
        <w:ind w:firstLine="640" w:firstLineChars="200"/>
        <w:outlineLvl w:val="0"/>
      </w:pPr>
      <w:r>
        <w:rPr>
          <w:rFonts w:eastAsia="仿宋_GB2312"/>
          <w:sz w:val="32"/>
          <w:szCs w:val="32"/>
        </w:rPr>
        <w:t>指标</w:t>
      </w:r>
      <w:r>
        <w:rPr>
          <w:rFonts w:hint="eastAsia" w:eastAsia="仿宋_GB2312"/>
          <w:sz w:val="32"/>
          <w:szCs w:val="32"/>
        </w:rPr>
        <w:t>2</w:t>
      </w:r>
      <w:r>
        <w:rPr>
          <w:rFonts w:eastAsia="仿宋_GB2312"/>
          <w:sz w:val="32"/>
          <w:szCs w:val="32"/>
        </w:rPr>
        <w:t>：</w:t>
      </w:r>
      <w:r>
        <w:rPr>
          <w:rFonts w:hint="eastAsia" w:eastAsia="仿宋_GB2312"/>
          <w:sz w:val="32"/>
          <w:szCs w:val="32"/>
        </w:rPr>
        <w:t>车辆数</w:t>
      </w:r>
      <w:r>
        <w:rPr>
          <w:rFonts w:eastAsia="仿宋_GB2312"/>
          <w:sz w:val="32"/>
          <w:szCs w:val="32"/>
        </w:rPr>
        <w:t>，指标值：</w:t>
      </w:r>
      <w:r>
        <w:rPr>
          <w:rFonts w:hint="eastAsia" w:eastAsia="仿宋_GB2312"/>
          <w:sz w:val="32"/>
          <w:szCs w:val="32"/>
        </w:rPr>
        <w:t>453辆</w:t>
      </w:r>
      <w:r>
        <w:rPr>
          <w:rFonts w:eastAsia="仿宋_GB2312"/>
          <w:sz w:val="32"/>
          <w:szCs w:val="32"/>
        </w:rPr>
        <w:t>，</w:t>
      </w:r>
    </w:p>
    <w:p w14:paraId="5E8A5158">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7B5F8AF6">
      <w:pPr>
        <w:spacing w:line="600" w:lineRule="exact"/>
        <w:ind w:firstLine="640" w:firstLineChars="200"/>
        <w:outlineLvl w:val="0"/>
      </w:pPr>
      <w:r>
        <w:rPr>
          <w:rFonts w:eastAsia="仿宋_GB2312"/>
          <w:sz w:val="32"/>
          <w:szCs w:val="32"/>
        </w:rPr>
        <w:t>指标1：城市运行维护合格率，指标值：100%，</w:t>
      </w:r>
    </w:p>
    <w:p w14:paraId="1B62F216">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3DEDED11">
      <w:pPr>
        <w:spacing w:line="600" w:lineRule="exact"/>
        <w:ind w:firstLine="640" w:firstLineChars="200"/>
        <w:outlineLvl w:val="0"/>
      </w:pPr>
      <w:r>
        <w:rPr>
          <w:rFonts w:eastAsia="仿宋_GB2312"/>
          <w:sz w:val="32"/>
          <w:szCs w:val="32"/>
        </w:rPr>
        <w:t>指标1：</w:t>
      </w:r>
      <w:r>
        <w:rPr>
          <w:rFonts w:hint="eastAsia" w:eastAsia="仿宋_GB2312"/>
          <w:sz w:val="32"/>
          <w:szCs w:val="32"/>
        </w:rPr>
        <w:t>城市运行维护及时率</w:t>
      </w:r>
      <w:r>
        <w:rPr>
          <w:rFonts w:eastAsia="仿宋_GB2312"/>
          <w:sz w:val="32"/>
          <w:szCs w:val="32"/>
        </w:rPr>
        <w:t>，指标值：</w:t>
      </w:r>
      <w:r>
        <w:rPr>
          <w:rFonts w:hint="eastAsia" w:eastAsia="仿宋_GB2312"/>
          <w:sz w:val="32"/>
          <w:szCs w:val="32"/>
        </w:rPr>
        <w:t>95%</w:t>
      </w:r>
      <w:r>
        <w:rPr>
          <w:rFonts w:eastAsia="仿宋_GB2312"/>
          <w:sz w:val="32"/>
          <w:szCs w:val="32"/>
        </w:rPr>
        <w:t>，</w:t>
      </w:r>
    </w:p>
    <w:p w14:paraId="6BAC6C0E">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50BA4ED8">
      <w:pPr>
        <w:spacing w:line="600" w:lineRule="exact"/>
        <w:ind w:firstLine="640" w:firstLineChars="200"/>
        <w:outlineLvl w:val="0"/>
      </w:pPr>
      <w:r>
        <w:rPr>
          <w:rFonts w:eastAsia="仿宋_GB2312"/>
          <w:sz w:val="32"/>
          <w:szCs w:val="32"/>
        </w:rPr>
        <w:t>指标1：城市维护运行材料费，指标值：65万元，</w:t>
      </w:r>
    </w:p>
    <w:p w14:paraId="166F94C1">
      <w:pPr>
        <w:spacing w:line="600" w:lineRule="exact"/>
        <w:ind w:firstLine="640" w:firstLineChars="200"/>
        <w:outlineLvl w:val="0"/>
        <w:rPr>
          <w:rFonts w:eastAsia="仿宋_GB2312"/>
          <w:sz w:val="32"/>
          <w:szCs w:val="32"/>
        </w:rPr>
      </w:pPr>
      <w:r>
        <w:rPr>
          <w:rFonts w:eastAsia="仿宋_GB2312"/>
          <w:sz w:val="32"/>
          <w:szCs w:val="32"/>
        </w:rPr>
        <w:t>指标</w:t>
      </w:r>
      <w:r>
        <w:rPr>
          <w:rFonts w:hint="eastAsia" w:eastAsia="仿宋_GB2312"/>
          <w:sz w:val="32"/>
          <w:szCs w:val="32"/>
        </w:rPr>
        <w:t>2</w:t>
      </w:r>
      <w:r>
        <w:rPr>
          <w:rFonts w:eastAsia="仿宋_GB2312"/>
          <w:sz w:val="32"/>
          <w:szCs w:val="32"/>
        </w:rPr>
        <w:t>：</w:t>
      </w:r>
      <w:r>
        <w:rPr>
          <w:rFonts w:hint="eastAsia" w:eastAsia="仿宋_GB2312"/>
          <w:sz w:val="32"/>
          <w:szCs w:val="32"/>
        </w:rPr>
        <w:t>城市维护运行维修费</w:t>
      </w:r>
      <w:r>
        <w:rPr>
          <w:rFonts w:eastAsia="仿宋_GB2312"/>
          <w:sz w:val="32"/>
          <w:szCs w:val="32"/>
        </w:rPr>
        <w:t>，指标值：</w:t>
      </w:r>
      <w:r>
        <w:rPr>
          <w:rFonts w:hint="eastAsia" w:eastAsia="仿宋_GB2312"/>
          <w:sz w:val="32"/>
          <w:szCs w:val="32"/>
        </w:rPr>
        <w:t>80</w:t>
      </w:r>
      <w:r>
        <w:rPr>
          <w:rFonts w:eastAsia="仿宋_GB2312"/>
          <w:sz w:val="32"/>
          <w:szCs w:val="32"/>
        </w:rPr>
        <w:t>万元，</w:t>
      </w:r>
    </w:p>
    <w:p w14:paraId="51AA7340">
      <w:pPr>
        <w:spacing w:line="600" w:lineRule="exact"/>
        <w:ind w:firstLine="640" w:firstLineChars="200"/>
        <w:outlineLvl w:val="0"/>
        <w:rPr>
          <w:rFonts w:eastAsia="仿宋_GB2312"/>
          <w:sz w:val="32"/>
          <w:szCs w:val="32"/>
        </w:rPr>
      </w:pPr>
      <w:r>
        <w:rPr>
          <w:rFonts w:hint="eastAsia" w:ascii="仿宋_GB2312" w:hAnsi="仿宋_GB2312" w:eastAsia="仿宋_GB2312" w:cs="仿宋_GB2312"/>
          <w:sz w:val="32"/>
          <w:szCs w:val="32"/>
        </w:rPr>
        <w:t>⑤</w:t>
      </w:r>
      <w:r>
        <w:rPr>
          <w:rFonts w:hint="eastAsia" w:eastAsia="仿宋_GB2312"/>
          <w:sz w:val="32"/>
          <w:szCs w:val="32"/>
        </w:rPr>
        <w:t>效益指标：</w:t>
      </w:r>
    </w:p>
    <w:p w14:paraId="13142E80">
      <w:pPr>
        <w:spacing w:line="600" w:lineRule="exact"/>
        <w:ind w:firstLine="640" w:firstLineChars="200"/>
        <w:outlineLvl w:val="0"/>
        <w:rPr>
          <w:rFonts w:eastAsia="仿宋_GB2312"/>
          <w:sz w:val="32"/>
          <w:szCs w:val="32"/>
        </w:rPr>
      </w:pPr>
      <w:r>
        <w:rPr>
          <w:rFonts w:hint="eastAsia" w:eastAsia="仿宋_GB2312"/>
          <w:sz w:val="32"/>
          <w:szCs w:val="32"/>
        </w:rPr>
        <w:t>指标1：城市维护运行率，指标值有效运行</w:t>
      </w:r>
    </w:p>
    <w:p w14:paraId="0848AC96">
      <w:pPr>
        <w:spacing w:line="600" w:lineRule="exact"/>
        <w:ind w:firstLine="640" w:firstLineChars="200"/>
        <w:outlineLvl w:val="0"/>
        <w:rPr>
          <w:rFonts w:eastAsia="仿宋_GB2312"/>
          <w:sz w:val="32"/>
          <w:szCs w:val="32"/>
        </w:rPr>
      </w:pPr>
      <w:r>
        <w:rPr>
          <w:rFonts w:hint="eastAsia" w:ascii="仿宋_GB2312" w:hAnsi="仿宋_GB2312" w:eastAsia="仿宋_GB2312" w:cs="仿宋_GB2312"/>
          <w:sz w:val="32"/>
          <w:szCs w:val="32"/>
        </w:rPr>
        <w:t>⑥</w:t>
      </w:r>
      <w:r>
        <w:rPr>
          <w:rFonts w:hint="eastAsia" w:eastAsia="仿宋_GB2312"/>
          <w:sz w:val="32"/>
          <w:szCs w:val="32"/>
        </w:rPr>
        <w:t>满意度指标：</w:t>
      </w:r>
    </w:p>
    <w:p w14:paraId="67119FED">
      <w:pPr>
        <w:spacing w:line="600" w:lineRule="exact"/>
        <w:ind w:firstLine="640" w:firstLineChars="200"/>
        <w:outlineLvl w:val="0"/>
        <w:rPr>
          <w:rFonts w:eastAsia="仿宋_GB2312"/>
          <w:sz w:val="32"/>
          <w:szCs w:val="32"/>
        </w:rPr>
      </w:pPr>
      <w:r>
        <w:rPr>
          <w:rFonts w:hint="eastAsia" w:eastAsia="仿宋_GB2312"/>
          <w:sz w:val="32"/>
          <w:szCs w:val="32"/>
        </w:rPr>
        <w:t>指标1；居民满意度，指标值≥95%</w:t>
      </w:r>
    </w:p>
    <w:p w14:paraId="2A313219">
      <w:pPr>
        <w:spacing w:line="600" w:lineRule="exact"/>
        <w:ind w:firstLine="640" w:firstLineChars="200"/>
        <w:outlineLvl w:val="0"/>
        <w:rPr>
          <w:rFonts w:eastAsia="仿宋_GB2312"/>
          <w:sz w:val="32"/>
          <w:szCs w:val="32"/>
        </w:rPr>
      </w:pPr>
      <w:r>
        <w:rPr>
          <w:rFonts w:eastAsia="仿宋_GB2312"/>
          <w:sz w:val="32"/>
          <w:szCs w:val="32"/>
        </w:rPr>
        <w:t>绩效目标与项目目标任务数相对应，绩效目标设定的绩效指标清晰、细化、可衡量。</w:t>
      </w:r>
    </w:p>
    <w:p w14:paraId="3C5BAB3F">
      <w:pPr>
        <w:pStyle w:val="19"/>
        <w:spacing w:line="560" w:lineRule="exact"/>
        <w:ind w:firstLine="640"/>
        <w:rPr>
          <w:rFonts w:eastAsia="仿宋_GB2312"/>
          <w:b/>
          <w:bCs/>
          <w:sz w:val="32"/>
          <w:szCs w:val="32"/>
        </w:rPr>
      </w:pPr>
      <w:r>
        <w:rPr>
          <w:rFonts w:eastAsia="仿宋_GB2312"/>
          <w:b/>
          <w:bCs/>
          <w:sz w:val="32"/>
          <w:szCs w:val="32"/>
        </w:rPr>
        <w:t>3.资金投入</w:t>
      </w:r>
    </w:p>
    <w:p w14:paraId="23C55246">
      <w:pPr>
        <w:spacing w:line="600" w:lineRule="exact"/>
        <w:ind w:firstLine="640" w:firstLineChars="200"/>
        <w:outlineLvl w:val="0"/>
        <w:rPr>
          <w:rFonts w:eastAsia="仿宋_GB2312"/>
          <w:sz w:val="32"/>
          <w:szCs w:val="32"/>
        </w:rPr>
      </w:pPr>
      <w:r>
        <w:rPr>
          <w:rFonts w:eastAsia="仿宋_GB2312"/>
          <w:sz w:val="32"/>
          <w:szCs w:val="32"/>
        </w:rPr>
        <w:t>（1）预算编制科学性</w:t>
      </w:r>
    </w:p>
    <w:p w14:paraId="63F21EB8">
      <w:pPr>
        <w:spacing w:line="600" w:lineRule="exact"/>
        <w:ind w:firstLine="640" w:firstLineChars="200"/>
        <w:outlineLvl w:val="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5A916A22">
      <w:pPr>
        <w:spacing w:line="600" w:lineRule="exact"/>
        <w:ind w:firstLine="640" w:firstLineChars="20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17A18CC5">
      <w:pPr>
        <w:spacing w:line="600" w:lineRule="exact"/>
        <w:ind w:firstLine="640" w:firstLineChars="200"/>
        <w:outlineLvl w:val="0"/>
        <w:rPr>
          <w:rFonts w:eastAsia="仿宋_GB2312"/>
          <w:sz w:val="32"/>
          <w:szCs w:val="32"/>
        </w:rPr>
      </w:pPr>
      <w:r>
        <w:rPr>
          <w:rFonts w:eastAsia="仿宋_GB2312"/>
          <w:sz w:val="32"/>
          <w:szCs w:val="32"/>
        </w:rPr>
        <w:t>（2）资金分配合理性</w:t>
      </w:r>
    </w:p>
    <w:p w14:paraId="2BA2230E">
      <w:pPr>
        <w:spacing w:line="600" w:lineRule="exact"/>
        <w:ind w:firstLine="640" w:firstLineChars="200"/>
        <w:outlineLvl w:val="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0627A07D">
      <w:pPr>
        <w:spacing w:line="600" w:lineRule="exact"/>
        <w:ind w:firstLine="640" w:firstLineChars="200"/>
        <w:outlineLvl w:val="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39448B11">
      <w:pPr>
        <w:spacing w:line="600" w:lineRule="exact"/>
        <w:ind w:firstLine="640" w:firstLineChars="200"/>
        <w:outlineLvl w:val="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1597D2BC">
      <w:pPr>
        <w:pStyle w:val="10"/>
        <w:numPr>
          <w:ilvl w:val="0"/>
          <w:numId w:val="3"/>
        </w:numPr>
        <w:spacing w:before="0" w:after="0" w:line="560" w:lineRule="exact"/>
        <w:ind w:firstLine="643"/>
        <w:jc w:val="both"/>
        <w:rPr>
          <w:rFonts w:ascii="Times New Roman" w:hAnsi="Times New Roman" w:eastAsia="楷体"/>
        </w:rPr>
      </w:pPr>
      <w:r>
        <w:rPr>
          <w:rFonts w:ascii="Times New Roman" w:hAnsi="Times New Roman" w:eastAsia="楷体"/>
        </w:rPr>
        <w:t>项目过程情况</w:t>
      </w:r>
    </w:p>
    <w:p w14:paraId="7C7C3BAD">
      <w:pPr>
        <w:spacing w:line="600" w:lineRule="exact"/>
        <w:ind w:firstLine="640" w:firstLineChars="200"/>
        <w:outlineLvl w:val="0"/>
        <w:rPr>
          <w:rFonts w:eastAsia="仿宋_GB2312"/>
          <w:sz w:val="32"/>
          <w:szCs w:val="32"/>
        </w:rPr>
      </w:pPr>
      <w:r>
        <w:rPr>
          <w:rFonts w:eastAsia="仿宋_GB2312"/>
          <w:sz w:val="32"/>
          <w:szCs w:val="32"/>
        </w:rPr>
        <w:t>项目过程类指标包括资金管理和组织实施两方面的内容，由</w:t>
      </w:r>
      <w:r>
        <w:rPr>
          <w:rFonts w:hint="eastAsia" w:eastAsia="仿宋_GB2312"/>
          <w:sz w:val="32"/>
          <w:szCs w:val="32"/>
        </w:rPr>
        <w:t>5</w:t>
      </w:r>
      <w:r>
        <w:rPr>
          <w:rFonts w:eastAsia="仿宋_GB2312"/>
          <w:sz w:val="32"/>
          <w:szCs w:val="32"/>
        </w:rPr>
        <w:t>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450A63B1">
      <w:pPr>
        <w:pStyle w:val="19"/>
        <w:spacing w:line="560" w:lineRule="exact"/>
        <w:ind w:firstLine="640"/>
        <w:rPr>
          <w:rFonts w:eastAsia="仿宋_GB2312"/>
          <w:b/>
          <w:bCs/>
          <w:sz w:val="32"/>
          <w:szCs w:val="32"/>
        </w:rPr>
      </w:pPr>
      <w:r>
        <w:rPr>
          <w:rFonts w:eastAsia="仿宋_GB2312"/>
          <w:b/>
          <w:bCs/>
          <w:sz w:val="32"/>
          <w:szCs w:val="32"/>
        </w:rPr>
        <w:t>1.资金管理</w:t>
      </w:r>
    </w:p>
    <w:p w14:paraId="3A9F6347">
      <w:pPr>
        <w:spacing w:line="600" w:lineRule="exact"/>
        <w:ind w:firstLine="640" w:firstLineChars="200"/>
        <w:outlineLvl w:val="0"/>
        <w:rPr>
          <w:rFonts w:eastAsia="仿宋_GB2312"/>
          <w:sz w:val="32"/>
          <w:szCs w:val="32"/>
        </w:rPr>
      </w:pPr>
      <w:r>
        <w:rPr>
          <w:rFonts w:eastAsia="仿宋_GB2312"/>
          <w:sz w:val="32"/>
          <w:szCs w:val="32"/>
        </w:rPr>
        <w:t>（1）资金到位率</w:t>
      </w:r>
    </w:p>
    <w:p w14:paraId="0FB07CCD">
      <w:pPr>
        <w:spacing w:line="600" w:lineRule="exact"/>
        <w:ind w:firstLine="640" w:firstLineChars="200"/>
        <w:outlineLvl w:val="0"/>
        <w:rPr>
          <w:rFonts w:eastAsia="仿宋_GB2312"/>
          <w:sz w:val="32"/>
          <w:szCs w:val="32"/>
        </w:rPr>
      </w:pPr>
      <w:r>
        <w:rPr>
          <w:rFonts w:eastAsia="仿宋_GB2312"/>
          <w:sz w:val="32"/>
          <w:szCs w:val="32"/>
        </w:rPr>
        <w:t>本项目总投资</w:t>
      </w:r>
      <w:r>
        <w:rPr>
          <w:rFonts w:hint="eastAsia" w:eastAsia="仿宋_GB2312"/>
          <w:sz w:val="32"/>
          <w:szCs w:val="32"/>
        </w:rPr>
        <w:t>145</w:t>
      </w:r>
      <w:r>
        <w:rPr>
          <w:rFonts w:eastAsia="仿宋_GB2312"/>
          <w:sz w:val="32"/>
          <w:szCs w:val="32"/>
        </w:rPr>
        <w:t>万元，财政资金</w:t>
      </w:r>
      <w:r>
        <w:rPr>
          <w:rFonts w:hint="eastAsia" w:eastAsia="仿宋_GB2312"/>
          <w:sz w:val="32"/>
          <w:szCs w:val="32"/>
        </w:rPr>
        <w:t>于2024年4月17日</w:t>
      </w:r>
      <w:r>
        <w:rPr>
          <w:rFonts w:eastAsia="仿宋_GB2312"/>
          <w:sz w:val="32"/>
          <w:szCs w:val="32"/>
        </w:rPr>
        <w:t>及时足额到位，到位率</w:t>
      </w:r>
      <w:r>
        <w:rPr>
          <w:rFonts w:hint="eastAsia" w:eastAsia="仿宋_GB2312"/>
          <w:sz w:val="32"/>
          <w:szCs w:val="32"/>
        </w:rPr>
        <w:t>100</w:t>
      </w:r>
      <w:r>
        <w:rPr>
          <w:rFonts w:eastAsia="仿宋_GB2312"/>
          <w:sz w:val="32"/>
          <w:szCs w:val="32"/>
        </w:rPr>
        <w:t>%，预算资金按计划进度执行。</w:t>
      </w:r>
    </w:p>
    <w:p w14:paraId="00B08E6E">
      <w:pPr>
        <w:spacing w:line="600" w:lineRule="exact"/>
        <w:ind w:firstLine="640" w:firstLineChars="200"/>
        <w:outlineLvl w:val="0"/>
        <w:rPr>
          <w:rFonts w:eastAsia="仿宋_GB2312"/>
          <w:sz w:val="32"/>
          <w:szCs w:val="32"/>
        </w:rPr>
      </w:pPr>
      <w:r>
        <w:rPr>
          <w:rFonts w:eastAsia="仿宋_GB2312"/>
          <w:sz w:val="32"/>
          <w:szCs w:val="32"/>
        </w:rPr>
        <w:t>（2）预算执行率</w:t>
      </w:r>
    </w:p>
    <w:p w14:paraId="1054D028">
      <w:pPr>
        <w:spacing w:line="600" w:lineRule="exact"/>
        <w:ind w:firstLine="640" w:firstLineChars="200"/>
        <w:outlineLvl w:val="0"/>
        <w:rPr>
          <w:rFonts w:eastAsia="仿宋_GB2312"/>
          <w:sz w:val="32"/>
          <w:szCs w:val="32"/>
        </w:rPr>
      </w:pPr>
      <w:r>
        <w:rPr>
          <w:rFonts w:eastAsia="仿宋_GB2312"/>
          <w:sz w:val="32"/>
          <w:szCs w:val="32"/>
        </w:rPr>
        <w:t>预算编制较为详细，项目资金支出总体能够按照预算执行，预算资金支出</w:t>
      </w:r>
      <w:r>
        <w:rPr>
          <w:rFonts w:hint="eastAsia" w:eastAsia="仿宋_GB2312"/>
          <w:sz w:val="32"/>
          <w:szCs w:val="32"/>
        </w:rPr>
        <w:t>145</w:t>
      </w:r>
      <w:r>
        <w:rPr>
          <w:rFonts w:eastAsia="仿宋_GB2312"/>
          <w:sz w:val="32"/>
          <w:szCs w:val="32"/>
        </w:rPr>
        <w:t>万元，</w:t>
      </w:r>
      <w:r>
        <w:rPr>
          <w:rFonts w:hint="eastAsia" w:eastAsia="仿宋_GB2312"/>
          <w:sz w:val="32"/>
          <w:szCs w:val="32"/>
        </w:rPr>
        <w:t>主要用于支付材料费65万元，运行维修经费80万元，</w:t>
      </w:r>
      <w:r>
        <w:rPr>
          <w:rFonts w:eastAsia="仿宋_GB2312"/>
          <w:sz w:val="32"/>
          <w:szCs w:val="32"/>
        </w:rPr>
        <w:t>预算执行率为</w:t>
      </w:r>
      <w:r>
        <w:rPr>
          <w:rFonts w:hint="eastAsia" w:eastAsia="仿宋_GB2312"/>
          <w:sz w:val="32"/>
          <w:szCs w:val="32"/>
        </w:rPr>
        <w:t>100</w:t>
      </w:r>
      <w:r>
        <w:rPr>
          <w:rFonts w:eastAsia="仿宋_GB2312"/>
          <w:sz w:val="32"/>
          <w:szCs w:val="32"/>
        </w:rPr>
        <w:t>%。</w:t>
      </w:r>
    </w:p>
    <w:p w14:paraId="20C238DF">
      <w:pPr>
        <w:spacing w:line="600" w:lineRule="exact"/>
        <w:ind w:firstLine="640" w:firstLineChars="200"/>
        <w:outlineLvl w:val="0"/>
        <w:rPr>
          <w:rFonts w:eastAsia="仿宋_GB2312"/>
          <w:sz w:val="32"/>
          <w:szCs w:val="32"/>
        </w:rPr>
      </w:pPr>
      <w:r>
        <w:rPr>
          <w:rFonts w:eastAsia="仿宋_GB2312"/>
          <w:sz w:val="32"/>
          <w:szCs w:val="32"/>
        </w:rPr>
        <w:t>（3）资金使用合规性</w:t>
      </w:r>
    </w:p>
    <w:p w14:paraId="560C73AD">
      <w:pPr>
        <w:spacing w:line="600" w:lineRule="exact"/>
        <w:ind w:firstLine="640" w:firstLineChars="200"/>
        <w:outlineLvl w:val="0"/>
        <w:rPr>
          <w:rFonts w:eastAsia="仿宋_GB2312"/>
          <w:sz w:val="32"/>
          <w:szCs w:val="32"/>
        </w:rPr>
      </w:pPr>
      <w:r>
        <w:rPr>
          <w:rFonts w:eastAsia="仿宋_GB2312"/>
          <w:sz w:val="32"/>
          <w:szCs w:val="32"/>
        </w:rPr>
        <w:t>本项目的资金使用严格遵循了国家相关法律法规与《行政单位财务规则》（中华人民共和国财政部令第113号）确保了资金的合规性与安全性。在资金使用过程中，我们建立了完善的财务管理体系，对资金的流动进行了全程监控与记录。</w:t>
      </w:r>
    </w:p>
    <w:p w14:paraId="36BE9FEF">
      <w:pPr>
        <w:spacing w:line="600" w:lineRule="exact"/>
        <w:ind w:firstLine="640" w:firstLineChars="200"/>
        <w:outlineLvl w:val="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4A0A5B28">
      <w:pPr>
        <w:spacing w:line="600" w:lineRule="exact"/>
        <w:ind w:firstLine="640" w:firstLineChars="200"/>
        <w:outlineLvl w:val="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0A57E460">
      <w:pPr>
        <w:pStyle w:val="19"/>
        <w:spacing w:line="560" w:lineRule="exact"/>
        <w:ind w:firstLine="640"/>
        <w:rPr>
          <w:rFonts w:eastAsia="仿宋_GB2312"/>
          <w:b/>
          <w:bCs/>
          <w:sz w:val="32"/>
          <w:szCs w:val="32"/>
        </w:rPr>
      </w:pPr>
      <w:r>
        <w:rPr>
          <w:rFonts w:eastAsia="仿宋_GB2312"/>
          <w:b/>
          <w:bCs/>
          <w:sz w:val="32"/>
          <w:szCs w:val="32"/>
        </w:rPr>
        <w:t>2.组织实施</w:t>
      </w:r>
    </w:p>
    <w:p w14:paraId="68E0FE5B">
      <w:pPr>
        <w:spacing w:line="600" w:lineRule="exact"/>
        <w:ind w:firstLine="640" w:firstLineChars="200"/>
        <w:outlineLvl w:val="0"/>
        <w:rPr>
          <w:rFonts w:eastAsia="仿宋_GB2312"/>
          <w:sz w:val="32"/>
          <w:szCs w:val="32"/>
        </w:rPr>
      </w:pPr>
      <w:r>
        <w:rPr>
          <w:rFonts w:eastAsia="仿宋_GB2312"/>
          <w:sz w:val="32"/>
          <w:szCs w:val="32"/>
        </w:rPr>
        <w:t>（1）管理制度健全性</w:t>
      </w:r>
    </w:p>
    <w:p w14:paraId="1A8ACDD7">
      <w:pPr>
        <w:spacing w:line="600" w:lineRule="exact"/>
        <w:ind w:firstLine="640" w:firstLineChars="200"/>
        <w:outlineLvl w:val="0"/>
        <w:rPr>
          <w:rFonts w:eastAsia="仿宋_GB2312"/>
          <w:sz w:val="32"/>
          <w:szCs w:val="32"/>
        </w:rPr>
      </w:pPr>
      <w:r>
        <w:rPr>
          <w:rFonts w:eastAsia="仿宋_GB2312"/>
          <w:sz w:val="32"/>
          <w:szCs w:val="32"/>
        </w:rPr>
        <w:t>本项目拥有一套完善、健全的管理制度体系，</w:t>
      </w:r>
      <w:r>
        <w:rPr>
          <w:rFonts w:hint="eastAsia" w:ascii="仿宋_GB2312" w:eastAsia="仿宋_GB2312"/>
          <w:sz w:val="32"/>
          <w:szCs w:val="32"/>
        </w:rPr>
        <w:t>制定了《沙区环卫清运队预算绩效管理工作实施办法》，《沙区环卫清运队财务管理制度》《沙区环卫清运队固定资产管理制度》</w:t>
      </w:r>
      <w:r>
        <w:rPr>
          <w:rFonts w:eastAsia="仿宋_GB2312"/>
          <w:sz w:val="32"/>
          <w:szCs w:val="32"/>
        </w:rPr>
        <w:t>明确资金使用范围、审批流程、监督与评估机制，确保资金专款专用，提高资金使用效益，保障城市基础设施的正常运行和市民生活质量。为项目的成功实施提供了坚实的制度保障。项目管理制度的制定紧密结合了项目的特点与实际情况，涵盖了项目的策划、组织、实施、监控与收尾等各个环节。</w:t>
      </w:r>
    </w:p>
    <w:p w14:paraId="5A077058">
      <w:pPr>
        <w:spacing w:line="600" w:lineRule="exact"/>
        <w:ind w:firstLine="640" w:firstLineChars="200"/>
        <w:outlineLvl w:val="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6A6DC57F">
      <w:pPr>
        <w:spacing w:line="600" w:lineRule="exact"/>
        <w:ind w:firstLine="640" w:firstLineChars="200"/>
        <w:outlineLvl w:val="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103E77B3">
      <w:pPr>
        <w:spacing w:line="600" w:lineRule="exact"/>
        <w:ind w:firstLine="640" w:firstLineChars="20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4782CA58">
      <w:pPr>
        <w:spacing w:line="600" w:lineRule="exact"/>
        <w:ind w:firstLine="640" w:firstLineChars="200"/>
        <w:outlineLvl w:val="0"/>
        <w:rPr>
          <w:rFonts w:eastAsia="仿宋_GB2312"/>
          <w:sz w:val="32"/>
          <w:szCs w:val="32"/>
        </w:rPr>
      </w:pPr>
      <w:r>
        <w:rPr>
          <w:rFonts w:eastAsia="仿宋_GB2312"/>
          <w:sz w:val="32"/>
          <w:szCs w:val="32"/>
        </w:rPr>
        <w:t>（2）制度执行有效性</w:t>
      </w:r>
    </w:p>
    <w:p w14:paraId="7F997445">
      <w:pPr>
        <w:spacing w:line="560" w:lineRule="exact"/>
        <w:ind w:firstLine="640" w:firstLineChars="20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3D0E8742">
      <w:pPr>
        <w:spacing w:line="560" w:lineRule="exact"/>
        <w:ind w:firstLine="640" w:firstLineChars="20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7167C31E">
      <w:pPr>
        <w:spacing w:line="560" w:lineRule="exact"/>
        <w:ind w:firstLine="640" w:firstLineChars="20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34B5556D">
      <w:pPr>
        <w:pStyle w:val="12"/>
        <w:numPr>
          <w:ilvl w:val="0"/>
          <w:numId w:val="3"/>
        </w:numPr>
        <w:spacing w:line="560" w:lineRule="exact"/>
        <w:ind w:firstLine="643" w:firstLineChars="0"/>
        <w:rPr>
          <w:rFonts w:eastAsia="楷体_GB2312"/>
          <w:b/>
          <w:bCs/>
          <w:sz w:val="32"/>
          <w:szCs w:val="32"/>
        </w:rPr>
      </w:pPr>
      <w:r>
        <w:rPr>
          <w:rFonts w:eastAsia="楷体_GB2312"/>
          <w:b/>
          <w:bCs/>
          <w:sz w:val="32"/>
          <w:szCs w:val="32"/>
        </w:rPr>
        <w:t>项目产出情况</w:t>
      </w:r>
    </w:p>
    <w:p w14:paraId="2B9B166F">
      <w:pPr>
        <w:spacing w:line="600" w:lineRule="exact"/>
        <w:ind w:firstLine="640" w:firstLineChars="200"/>
        <w:outlineLvl w:val="0"/>
        <w:rPr>
          <w:rFonts w:eastAsia="仿宋_GB2312"/>
          <w:sz w:val="32"/>
          <w:szCs w:val="32"/>
        </w:rPr>
      </w:pPr>
      <w:r>
        <w:rPr>
          <w:rFonts w:eastAsia="仿宋_GB2312"/>
          <w:sz w:val="32"/>
          <w:szCs w:val="32"/>
        </w:rPr>
        <w:t>项目产出类指标包括产出数量、产出质量、产出时效、产出成本四方面的内容，由</w:t>
      </w:r>
      <w:r>
        <w:rPr>
          <w:rFonts w:hint="eastAsia" w:eastAsia="仿宋_GB2312"/>
          <w:sz w:val="32"/>
          <w:szCs w:val="32"/>
        </w:rPr>
        <w:t>6</w:t>
      </w:r>
      <w:r>
        <w:rPr>
          <w:rFonts w:eastAsia="仿宋_GB2312"/>
          <w:sz w:val="32"/>
          <w:szCs w:val="32"/>
        </w:rPr>
        <w:t>个三级指标构成，权重分为40分，实际得分</w:t>
      </w:r>
      <w:r>
        <w:rPr>
          <w:rFonts w:hint="eastAsia" w:eastAsia="仿宋_GB2312"/>
          <w:sz w:val="32"/>
          <w:szCs w:val="32"/>
        </w:rPr>
        <w:t>40</w:t>
      </w:r>
      <w:r>
        <w:rPr>
          <w:rFonts w:eastAsia="仿宋_GB2312"/>
          <w:sz w:val="32"/>
          <w:szCs w:val="32"/>
        </w:rPr>
        <w:t>分，得分率为</w:t>
      </w:r>
      <w:r>
        <w:rPr>
          <w:rFonts w:hint="eastAsia" w:eastAsia="仿宋_GB2312"/>
          <w:sz w:val="32"/>
          <w:szCs w:val="32"/>
        </w:rPr>
        <w:t>100</w:t>
      </w:r>
      <w:r>
        <w:rPr>
          <w:rFonts w:eastAsia="仿宋_GB2312"/>
          <w:sz w:val="32"/>
          <w:szCs w:val="32"/>
        </w:rPr>
        <w:t>%。具体产出指标完成情况如下：</w:t>
      </w:r>
    </w:p>
    <w:p w14:paraId="77B86003">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77483C10">
      <w:pPr>
        <w:spacing w:line="600" w:lineRule="exact"/>
        <w:ind w:firstLine="640" w:firstLineChars="200"/>
        <w:outlineLvl w:val="0"/>
      </w:pPr>
      <w:r>
        <w:rPr>
          <w:rFonts w:eastAsia="仿宋_GB2312"/>
          <w:sz w:val="32"/>
          <w:szCs w:val="32"/>
        </w:rPr>
        <w:t>指标1：转运站数量，指标值：13座，</w:t>
      </w:r>
      <w:r>
        <w:rPr>
          <w:rFonts w:hint="eastAsia" w:eastAsia="仿宋_GB2312"/>
          <w:sz w:val="32"/>
          <w:szCs w:val="32"/>
        </w:rPr>
        <w:t>（宝山路转运站、青峰路转运站、红庙子转运站、长胜东转运站、水泥厂转运站等）</w:t>
      </w:r>
      <w:r>
        <w:rPr>
          <w:rFonts w:eastAsia="仿宋_GB2312"/>
          <w:sz w:val="32"/>
          <w:szCs w:val="32"/>
        </w:rPr>
        <w:t>实际完成值</w:t>
      </w:r>
      <w:r>
        <w:rPr>
          <w:rFonts w:hint="eastAsia" w:eastAsia="仿宋_GB2312"/>
          <w:sz w:val="32"/>
          <w:szCs w:val="32"/>
        </w:rPr>
        <w:t>：</w:t>
      </w:r>
      <w:r>
        <w:rPr>
          <w:rFonts w:eastAsia="仿宋_GB2312"/>
          <w:sz w:val="32"/>
          <w:szCs w:val="32"/>
        </w:rPr>
        <w:t>13座，指标完成率</w:t>
      </w:r>
      <w:r>
        <w:rPr>
          <w:rFonts w:hint="eastAsia" w:eastAsia="仿宋_GB2312"/>
          <w:sz w:val="32"/>
          <w:szCs w:val="32"/>
        </w:rPr>
        <w:t>100</w:t>
      </w:r>
      <w:r>
        <w:rPr>
          <w:rFonts w:eastAsia="仿宋_GB2312"/>
          <w:sz w:val="32"/>
          <w:szCs w:val="32"/>
        </w:rPr>
        <w:t>%。</w:t>
      </w:r>
    </w:p>
    <w:p w14:paraId="29351E16">
      <w:pPr>
        <w:spacing w:line="600" w:lineRule="exact"/>
        <w:ind w:firstLine="640" w:firstLineChars="200"/>
        <w:outlineLvl w:val="0"/>
        <w:rPr>
          <w:rFonts w:eastAsia="仿宋_GB2312"/>
          <w:sz w:val="32"/>
          <w:szCs w:val="32"/>
        </w:rPr>
      </w:pPr>
      <w:r>
        <w:rPr>
          <w:rFonts w:eastAsia="仿宋_GB2312"/>
          <w:sz w:val="32"/>
          <w:szCs w:val="32"/>
        </w:rPr>
        <w:t>指标</w:t>
      </w:r>
      <w:r>
        <w:rPr>
          <w:rFonts w:hint="eastAsia" w:eastAsia="仿宋_GB2312"/>
          <w:sz w:val="32"/>
          <w:szCs w:val="32"/>
        </w:rPr>
        <w:t>2</w:t>
      </w:r>
      <w:r>
        <w:rPr>
          <w:rFonts w:eastAsia="仿宋_GB2312"/>
          <w:sz w:val="32"/>
          <w:szCs w:val="32"/>
        </w:rPr>
        <w:t>：</w:t>
      </w:r>
      <w:r>
        <w:rPr>
          <w:rFonts w:hint="eastAsia" w:eastAsia="仿宋_GB2312"/>
          <w:sz w:val="32"/>
          <w:szCs w:val="32"/>
        </w:rPr>
        <w:t>车辆数</w:t>
      </w:r>
      <w:r>
        <w:rPr>
          <w:rFonts w:eastAsia="仿宋_GB2312"/>
          <w:sz w:val="32"/>
          <w:szCs w:val="32"/>
        </w:rPr>
        <w:t>，指标值：</w:t>
      </w:r>
      <w:r>
        <w:rPr>
          <w:rFonts w:hint="eastAsia" w:eastAsia="仿宋_GB2312"/>
          <w:sz w:val="32"/>
          <w:szCs w:val="32"/>
        </w:rPr>
        <w:t>453辆</w:t>
      </w:r>
      <w:r>
        <w:rPr>
          <w:rFonts w:eastAsia="仿宋_GB2312"/>
          <w:sz w:val="32"/>
          <w:szCs w:val="32"/>
        </w:rPr>
        <w:t>，实际完成值</w:t>
      </w:r>
      <w:r>
        <w:rPr>
          <w:rFonts w:hint="eastAsia" w:eastAsia="仿宋_GB2312"/>
          <w:sz w:val="32"/>
          <w:szCs w:val="32"/>
        </w:rPr>
        <w:t>：453辆</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车辆主要为清雪车辆、道路清扫车辆、垃圾转运车辆等其他作业车辆。</w:t>
      </w:r>
    </w:p>
    <w:p w14:paraId="75CFF799">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465A9EF8">
      <w:pPr>
        <w:spacing w:line="600" w:lineRule="exact"/>
        <w:ind w:firstLine="640" w:firstLineChars="200"/>
        <w:outlineLvl w:val="0"/>
      </w:pPr>
      <w:r>
        <w:rPr>
          <w:rFonts w:eastAsia="仿宋_GB2312"/>
          <w:sz w:val="32"/>
          <w:szCs w:val="32"/>
        </w:rPr>
        <w:t>指标1：城市运行维护合格率，指标值：100%，实际完成值</w:t>
      </w:r>
      <w:r>
        <w:rPr>
          <w:rFonts w:hint="eastAsia" w:eastAsia="仿宋_GB2312"/>
          <w:sz w:val="32"/>
          <w:szCs w:val="32"/>
        </w:rPr>
        <w:t>：</w:t>
      </w:r>
      <w:r>
        <w:rPr>
          <w:rFonts w:eastAsia="仿宋_GB2312"/>
          <w:sz w:val="32"/>
          <w:szCs w:val="32"/>
        </w:rPr>
        <w:t>100%，指标完成率</w:t>
      </w:r>
      <w:r>
        <w:rPr>
          <w:rFonts w:hint="eastAsia" w:eastAsia="仿宋_GB2312"/>
          <w:sz w:val="32"/>
          <w:szCs w:val="32"/>
        </w:rPr>
        <w:t>100</w:t>
      </w:r>
      <w:r>
        <w:rPr>
          <w:rFonts w:eastAsia="仿宋_GB2312"/>
          <w:sz w:val="32"/>
          <w:szCs w:val="32"/>
        </w:rPr>
        <w:t>%。</w:t>
      </w:r>
      <w:r>
        <w:rPr>
          <w:rFonts w:hint="eastAsia" w:eastAsia="仿宋_GB2312"/>
          <w:sz w:val="32"/>
          <w:szCs w:val="32"/>
        </w:rPr>
        <w:t>2024年我单位各项工作已保质保量按时完成。</w:t>
      </w:r>
    </w:p>
    <w:p w14:paraId="1D9169A3">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6E8E4803">
      <w:pPr>
        <w:spacing w:line="600" w:lineRule="exact"/>
        <w:ind w:firstLine="640" w:firstLineChars="200"/>
        <w:outlineLvl w:val="0"/>
      </w:pPr>
      <w:r>
        <w:rPr>
          <w:rFonts w:eastAsia="仿宋_GB2312"/>
          <w:sz w:val="32"/>
          <w:szCs w:val="32"/>
        </w:rPr>
        <w:t>指标1：</w:t>
      </w:r>
      <w:r>
        <w:rPr>
          <w:rFonts w:hint="eastAsia" w:eastAsia="仿宋_GB2312"/>
          <w:sz w:val="32"/>
          <w:szCs w:val="32"/>
        </w:rPr>
        <w:t>城市运行维护及时率</w:t>
      </w:r>
      <w:r>
        <w:rPr>
          <w:rFonts w:eastAsia="仿宋_GB2312"/>
          <w:sz w:val="32"/>
          <w:szCs w:val="32"/>
        </w:rPr>
        <w:t>，指标值：</w:t>
      </w:r>
      <w:r>
        <w:rPr>
          <w:rFonts w:hint="eastAsia" w:eastAsia="仿宋_GB2312"/>
          <w:sz w:val="32"/>
          <w:szCs w:val="32"/>
        </w:rPr>
        <w:t>95%</w:t>
      </w:r>
      <w:r>
        <w:rPr>
          <w:rFonts w:eastAsia="仿宋_GB2312"/>
          <w:sz w:val="32"/>
          <w:szCs w:val="32"/>
        </w:rPr>
        <w:t>，实际完成值</w:t>
      </w:r>
      <w:r>
        <w:rPr>
          <w:rFonts w:hint="eastAsia" w:eastAsia="仿宋_GB2312"/>
          <w:sz w:val="32"/>
          <w:szCs w:val="32"/>
        </w:rPr>
        <w:t>：95%</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2024年我单位各项工作已按时完成。</w:t>
      </w:r>
    </w:p>
    <w:p w14:paraId="636D84F6">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7B92C487">
      <w:pPr>
        <w:spacing w:line="600" w:lineRule="exact"/>
        <w:ind w:firstLine="640" w:firstLineChars="200"/>
        <w:outlineLvl w:val="0"/>
      </w:pPr>
      <w:r>
        <w:rPr>
          <w:rFonts w:eastAsia="仿宋_GB2312"/>
          <w:sz w:val="32"/>
          <w:szCs w:val="32"/>
        </w:rPr>
        <w:t>指标1：城市维护运行材料费，指标值：65万元，实际完成值</w:t>
      </w:r>
      <w:r>
        <w:rPr>
          <w:rFonts w:hint="eastAsia" w:eastAsia="仿宋_GB2312"/>
          <w:sz w:val="32"/>
          <w:szCs w:val="32"/>
        </w:rPr>
        <w:t>：</w:t>
      </w:r>
      <w:r>
        <w:rPr>
          <w:rFonts w:eastAsia="仿宋_GB2312"/>
          <w:sz w:val="32"/>
          <w:szCs w:val="32"/>
        </w:rPr>
        <w:t>65万元，指标完成率</w:t>
      </w:r>
      <w:r>
        <w:rPr>
          <w:rFonts w:hint="eastAsia" w:eastAsia="仿宋_GB2312"/>
          <w:sz w:val="32"/>
          <w:szCs w:val="32"/>
        </w:rPr>
        <w:t>100</w:t>
      </w:r>
      <w:r>
        <w:rPr>
          <w:rFonts w:eastAsia="仿宋_GB2312"/>
          <w:sz w:val="32"/>
          <w:szCs w:val="32"/>
        </w:rPr>
        <w:t>%。</w:t>
      </w:r>
      <w:r>
        <w:rPr>
          <w:rFonts w:hint="eastAsia" w:eastAsia="仿宋_GB2312"/>
          <w:sz w:val="32"/>
          <w:szCs w:val="32"/>
        </w:rPr>
        <w:t>根据合同约定，及时向区区财政局申请相关款项，并于2024年7月、9月将资金支付给10家供货商。</w:t>
      </w:r>
    </w:p>
    <w:p w14:paraId="488A7637">
      <w:pPr>
        <w:spacing w:line="600" w:lineRule="exact"/>
        <w:ind w:firstLine="640" w:firstLineChars="200"/>
        <w:outlineLvl w:val="0"/>
      </w:pPr>
      <w:r>
        <w:rPr>
          <w:rFonts w:eastAsia="仿宋_GB2312"/>
          <w:sz w:val="32"/>
          <w:szCs w:val="32"/>
        </w:rPr>
        <w:t>指标</w:t>
      </w:r>
      <w:r>
        <w:rPr>
          <w:rFonts w:hint="eastAsia" w:eastAsia="仿宋_GB2312"/>
          <w:sz w:val="32"/>
          <w:szCs w:val="32"/>
        </w:rPr>
        <w:t>2</w:t>
      </w:r>
      <w:r>
        <w:rPr>
          <w:rFonts w:eastAsia="仿宋_GB2312"/>
          <w:sz w:val="32"/>
          <w:szCs w:val="32"/>
        </w:rPr>
        <w:t>：</w:t>
      </w:r>
      <w:r>
        <w:rPr>
          <w:rFonts w:hint="eastAsia" w:eastAsia="仿宋_GB2312"/>
          <w:sz w:val="32"/>
          <w:szCs w:val="32"/>
        </w:rPr>
        <w:t>城市维护运行维修费</w:t>
      </w:r>
      <w:r>
        <w:rPr>
          <w:rFonts w:eastAsia="仿宋_GB2312"/>
          <w:sz w:val="32"/>
          <w:szCs w:val="32"/>
        </w:rPr>
        <w:t>，指标值：</w:t>
      </w:r>
      <w:r>
        <w:rPr>
          <w:rFonts w:hint="eastAsia" w:eastAsia="仿宋_GB2312"/>
          <w:sz w:val="32"/>
          <w:szCs w:val="32"/>
        </w:rPr>
        <w:t>80</w:t>
      </w:r>
      <w:r>
        <w:rPr>
          <w:rFonts w:eastAsia="仿宋_GB2312"/>
          <w:sz w:val="32"/>
          <w:szCs w:val="32"/>
        </w:rPr>
        <w:t>万元，实际完成值</w:t>
      </w:r>
      <w:r>
        <w:rPr>
          <w:rFonts w:hint="eastAsia" w:eastAsia="仿宋_GB2312"/>
          <w:sz w:val="32"/>
          <w:szCs w:val="32"/>
        </w:rPr>
        <w:t>：80</w:t>
      </w:r>
      <w:r>
        <w:rPr>
          <w:rFonts w:eastAsia="仿宋_GB2312"/>
          <w:sz w:val="32"/>
          <w:szCs w:val="32"/>
        </w:rPr>
        <w:t>万元，指标完成率</w:t>
      </w:r>
      <w:r>
        <w:rPr>
          <w:rFonts w:hint="eastAsia" w:eastAsia="仿宋_GB2312"/>
          <w:sz w:val="32"/>
          <w:szCs w:val="32"/>
        </w:rPr>
        <w:t>100</w:t>
      </w:r>
      <w:r>
        <w:rPr>
          <w:rFonts w:eastAsia="仿宋_GB2312"/>
          <w:sz w:val="32"/>
          <w:szCs w:val="32"/>
        </w:rPr>
        <w:t>%。</w:t>
      </w:r>
      <w:r>
        <w:rPr>
          <w:rFonts w:hint="eastAsia" w:eastAsia="仿宋_GB2312"/>
          <w:sz w:val="32"/>
          <w:szCs w:val="32"/>
        </w:rPr>
        <w:t>根据合同约定，及时向区区财政局申请相关款项，并于2024年7月、9月将资金支付给10家供货商。</w:t>
      </w:r>
    </w:p>
    <w:p w14:paraId="02E5E989">
      <w:pPr>
        <w:pStyle w:val="12"/>
        <w:numPr>
          <w:ilvl w:val="0"/>
          <w:numId w:val="3"/>
        </w:numPr>
        <w:spacing w:line="560" w:lineRule="exact"/>
        <w:ind w:firstLine="643" w:firstLineChars="0"/>
        <w:rPr>
          <w:rFonts w:eastAsia="楷体_GB2312"/>
          <w:b/>
          <w:bCs/>
          <w:sz w:val="32"/>
          <w:szCs w:val="32"/>
        </w:rPr>
      </w:pPr>
      <w:r>
        <w:rPr>
          <w:rFonts w:eastAsia="楷体_GB2312"/>
          <w:b/>
          <w:bCs/>
          <w:sz w:val="32"/>
          <w:szCs w:val="32"/>
        </w:rPr>
        <w:t>项目效益情况</w:t>
      </w:r>
    </w:p>
    <w:p w14:paraId="493CE02C">
      <w:pPr>
        <w:spacing w:line="600" w:lineRule="exact"/>
        <w:ind w:firstLine="640" w:firstLineChars="200"/>
        <w:outlineLvl w:val="0"/>
        <w:rPr>
          <w:rFonts w:eastAsia="仿宋_GB2312"/>
          <w:sz w:val="32"/>
          <w:szCs w:val="32"/>
        </w:rPr>
      </w:pPr>
      <w:r>
        <w:rPr>
          <w:rFonts w:eastAsia="仿宋_GB2312"/>
          <w:sz w:val="32"/>
          <w:szCs w:val="32"/>
        </w:rPr>
        <w:t>项目效益类指标包括项目实施效益和满意度两方面的内容，由</w:t>
      </w:r>
      <w:r>
        <w:rPr>
          <w:rFonts w:hint="eastAsia" w:eastAsia="仿宋_GB2312"/>
          <w:sz w:val="32"/>
          <w:szCs w:val="32"/>
        </w:rPr>
        <w:t>2</w:t>
      </w:r>
      <w:r>
        <w:rPr>
          <w:rFonts w:eastAsia="仿宋_GB2312"/>
          <w:sz w:val="32"/>
          <w:szCs w:val="32"/>
        </w:rPr>
        <w:t>个三级指标构成，权重分为20分，实际得分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%。具体效益指标及满意度指标完成情况如下：</w:t>
      </w:r>
    </w:p>
    <w:p w14:paraId="3F70C2B1">
      <w:pPr>
        <w:numPr>
          <w:ilvl w:val="0"/>
          <w:numId w:val="4"/>
        </w:numPr>
        <w:spacing w:line="600" w:lineRule="exact"/>
        <w:ind w:firstLine="640" w:firstLineChars="200"/>
        <w:outlineLvl w:val="0"/>
        <w:rPr>
          <w:rFonts w:eastAsia="仿宋_GB2312"/>
          <w:sz w:val="32"/>
          <w:szCs w:val="32"/>
        </w:rPr>
      </w:pPr>
      <w:r>
        <w:rPr>
          <w:rFonts w:eastAsia="仿宋_GB2312"/>
          <w:sz w:val="32"/>
          <w:szCs w:val="32"/>
        </w:rPr>
        <w:t>实施效益</w:t>
      </w:r>
    </w:p>
    <w:p w14:paraId="63E9CE73">
      <w:pPr>
        <w:spacing w:line="600" w:lineRule="exact"/>
        <w:ind w:firstLine="640" w:firstLineChars="200"/>
        <w:outlineLvl w:val="0"/>
        <w:rPr>
          <w:rFonts w:eastAsia="仿宋_GB2312"/>
          <w:sz w:val="32"/>
          <w:szCs w:val="32"/>
        </w:rPr>
      </w:pPr>
      <w:r>
        <w:rPr>
          <w:rFonts w:eastAsia="仿宋_GB2312"/>
          <w:sz w:val="32"/>
          <w:szCs w:val="32"/>
        </w:rPr>
        <w:t>社会效益指标：</w:t>
      </w:r>
    </w:p>
    <w:p w14:paraId="1BA1FCED">
      <w:pPr>
        <w:spacing w:line="600" w:lineRule="exact"/>
        <w:ind w:firstLine="640" w:firstLineChars="200"/>
        <w:outlineLvl w:val="0"/>
        <w:rPr>
          <w:rFonts w:eastAsia="仿宋_GB2312"/>
          <w:sz w:val="32"/>
          <w:szCs w:val="32"/>
        </w:rPr>
      </w:pPr>
      <w:r>
        <w:rPr>
          <w:rFonts w:eastAsia="仿宋_GB2312"/>
          <w:sz w:val="32"/>
          <w:szCs w:val="32"/>
        </w:rPr>
        <w:t>指标1：城市维护运行率，指标值：有效运行，实际完成值</w:t>
      </w:r>
      <w:r>
        <w:rPr>
          <w:rFonts w:hint="eastAsia" w:eastAsia="仿宋_GB2312"/>
          <w:sz w:val="32"/>
          <w:szCs w:val="32"/>
        </w:rPr>
        <w:t>：完全达到预期</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。项目通过构建高效、智能的环卫体系，全面保障城市日常维护与应急管理要求，为城市高质量发展提供坚实支撑。</w:t>
      </w:r>
    </w:p>
    <w:p w14:paraId="3070E033">
      <w:pPr>
        <w:spacing w:line="600" w:lineRule="exact"/>
        <w:ind w:firstLine="640" w:firstLineChars="200"/>
        <w:outlineLvl w:val="0"/>
        <w:rPr>
          <w:rFonts w:eastAsia="仿宋_GB2312"/>
          <w:sz w:val="32"/>
          <w:szCs w:val="32"/>
        </w:rPr>
      </w:pPr>
      <w:r>
        <w:rPr>
          <w:rFonts w:hint="eastAsia" w:eastAsia="仿宋_GB2312"/>
          <w:sz w:val="32"/>
          <w:szCs w:val="32"/>
        </w:rPr>
        <w:t>经济效益指标：2024年该项目不涉及此条指标。</w:t>
      </w:r>
    </w:p>
    <w:p w14:paraId="7555BEAB">
      <w:pPr>
        <w:spacing w:line="600" w:lineRule="exact"/>
        <w:ind w:firstLine="640" w:firstLineChars="200"/>
        <w:outlineLvl w:val="0"/>
        <w:rPr>
          <w:rFonts w:eastAsia="仿宋_GB2312"/>
          <w:sz w:val="32"/>
          <w:szCs w:val="32"/>
        </w:rPr>
      </w:pPr>
      <w:r>
        <w:rPr>
          <w:rFonts w:hint="eastAsia" w:eastAsia="仿宋_GB2312"/>
          <w:sz w:val="32"/>
          <w:szCs w:val="32"/>
        </w:rPr>
        <w:t>生态效益指标：2024年该项目不涉及此条指标。</w:t>
      </w:r>
    </w:p>
    <w:p w14:paraId="7580A486">
      <w:pPr>
        <w:spacing w:line="600" w:lineRule="exact"/>
        <w:ind w:firstLine="640" w:firstLineChars="200"/>
        <w:outlineLvl w:val="0"/>
        <w:rPr>
          <w:rFonts w:eastAsia="仿宋_GB2312"/>
          <w:sz w:val="32"/>
          <w:szCs w:val="32"/>
        </w:rPr>
      </w:pPr>
      <w:r>
        <w:rPr>
          <w:rFonts w:eastAsia="仿宋_GB2312"/>
          <w:sz w:val="32"/>
          <w:szCs w:val="32"/>
        </w:rPr>
        <w:t>2.满意度</w:t>
      </w:r>
    </w:p>
    <w:p w14:paraId="63349300">
      <w:pPr>
        <w:spacing w:line="560" w:lineRule="exact"/>
        <w:ind w:firstLine="640" w:firstLineChars="200"/>
        <w:rPr>
          <w:rFonts w:eastAsia="仿宋_GB2312"/>
          <w:sz w:val="32"/>
          <w:szCs w:val="32"/>
        </w:rPr>
      </w:pPr>
      <w:r>
        <w:rPr>
          <w:rFonts w:eastAsia="仿宋_GB2312"/>
          <w:sz w:val="32"/>
          <w:szCs w:val="32"/>
        </w:rPr>
        <w:t>指标1：居民满意度，指标值：</w:t>
      </w:r>
      <w:r>
        <w:rPr>
          <w:rFonts w:hint="eastAsia" w:eastAsia="仿宋_GB2312"/>
          <w:sz w:val="32"/>
          <w:szCs w:val="32"/>
        </w:rPr>
        <w:t>95%</w:t>
      </w:r>
      <w:r>
        <w:rPr>
          <w:rFonts w:eastAsia="仿宋_GB2312"/>
          <w:sz w:val="32"/>
          <w:szCs w:val="32"/>
        </w:rPr>
        <w:t>，实际完成值</w:t>
      </w:r>
      <w:r>
        <w:rPr>
          <w:rFonts w:hint="eastAsia" w:eastAsia="仿宋_GB2312"/>
          <w:sz w:val="32"/>
          <w:szCs w:val="32"/>
        </w:rPr>
        <w:t>：95%</w:t>
      </w:r>
      <w:r>
        <w:rPr>
          <w:rFonts w:eastAsia="仿宋_GB2312"/>
          <w:sz w:val="32"/>
          <w:szCs w:val="32"/>
        </w:rPr>
        <w:t>元，指标完成率</w:t>
      </w:r>
      <w:r>
        <w:rPr>
          <w:rFonts w:hint="eastAsia" w:eastAsia="仿宋_GB2312"/>
          <w:sz w:val="32"/>
          <w:szCs w:val="32"/>
        </w:rPr>
        <w:t>100</w:t>
      </w:r>
      <w:r>
        <w:rPr>
          <w:rFonts w:eastAsia="仿宋_GB2312"/>
          <w:sz w:val="32"/>
          <w:szCs w:val="32"/>
        </w:rPr>
        <w:t>%</w:t>
      </w:r>
      <w:r>
        <w:rPr>
          <w:rFonts w:hint="eastAsia" w:eastAsia="仿宋_GB2312"/>
          <w:sz w:val="32"/>
          <w:szCs w:val="32"/>
        </w:rPr>
        <w:t>。通过设置问卷调查的方法进行考评评价，共计调查样本总量为 50 个样本，有效调查问卷 30 份，其中，统计“居民满意度”的平均值为 95 % 。</w:t>
      </w:r>
    </w:p>
    <w:p w14:paraId="72F85D9C">
      <w:pPr>
        <w:spacing w:line="560" w:lineRule="exact"/>
        <w:ind w:firstLine="643" w:firstLineChars="200"/>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3D2C181E">
      <w:pPr>
        <w:pStyle w:val="19"/>
        <w:spacing w:line="560" w:lineRule="exact"/>
        <w:ind w:firstLine="640"/>
        <w:rPr>
          <w:rFonts w:eastAsia="仿宋_GB2312"/>
          <w:kern w:val="2"/>
          <w:sz w:val="32"/>
          <w:szCs w:val="32"/>
        </w:rPr>
      </w:pPr>
      <w:r>
        <w:rPr>
          <w:rFonts w:eastAsia="仿宋_GB2312"/>
          <w:kern w:val="2"/>
          <w:sz w:val="32"/>
          <w:szCs w:val="32"/>
        </w:rPr>
        <w:t>历年城维费项目资金项目年初预算280.25万元，全年预算145万元，实际支出145万元，预算执行率为</w:t>
      </w:r>
      <w:r>
        <w:rPr>
          <w:rFonts w:hint="eastAsia" w:eastAsia="仿宋_GB2312"/>
          <w:kern w:val="2"/>
          <w:sz w:val="32"/>
          <w:szCs w:val="32"/>
        </w:rPr>
        <w:t>100</w:t>
      </w:r>
      <w:r>
        <w:rPr>
          <w:rFonts w:eastAsia="仿宋_GB2312"/>
          <w:kern w:val="2"/>
          <w:sz w:val="32"/>
          <w:szCs w:val="32"/>
        </w:rPr>
        <w:t>%，项目绩效指标总体完成率为</w:t>
      </w:r>
      <w:r>
        <w:rPr>
          <w:rFonts w:hint="eastAsia" w:eastAsia="仿宋_GB2312"/>
          <w:kern w:val="2"/>
          <w:sz w:val="32"/>
          <w:szCs w:val="32"/>
        </w:rPr>
        <w:t>100</w:t>
      </w:r>
      <w:r>
        <w:rPr>
          <w:rFonts w:eastAsia="仿宋_GB2312"/>
          <w:kern w:val="2"/>
          <w:sz w:val="32"/>
          <w:szCs w:val="32"/>
        </w:rPr>
        <w:t>%，</w:t>
      </w:r>
      <w:r>
        <w:rPr>
          <w:rFonts w:eastAsia="仿宋_GB2312"/>
          <w:kern w:val="2"/>
          <w:sz w:val="32"/>
          <w:szCs w:val="32"/>
          <w:lang w:eastAsia="zh-Hans"/>
        </w:rPr>
        <w:t>总体</w:t>
      </w:r>
      <w:r>
        <w:rPr>
          <w:rFonts w:eastAsia="仿宋_GB2312"/>
          <w:kern w:val="2"/>
          <w:sz w:val="32"/>
          <w:szCs w:val="32"/>
        </w:rPr>
        <w:t>偏差率为</w:t>
      </w:r>
      <w:r>
        <w:rPr>
          <w:rFonts w:hint="eastAsia" w:eastAsia="仿宋_GB2312"/>
          <w:kern w:val="2"/>
          <w:sz w:val="32"/>
          <w:szCs w:val="32"/>
        </w:rPr>
        <w:t>100</w:t>
      </w:r>
      <w:r>
        <w:rPr>
          <w:rFonts w:eastAsia="仿宋_GB2312"/>
          <w:kern w:val="2"/>
          <w:sz w:val="32"/>
          <w:szCs w:val="32"/>
        </w:rPr>
        <w:t>%。</w:t>
      </w:r>
    </w:p>
    <w:p w14:paraId="5FA606D8">
      <w:pPr>
        <w:spacing w:line="560" w:lineRule="exact"/>
        <w:ind w:firstLine="640" w:firstLineChars="200"/>
        <w:rPr>
          <w:rStyle w:val="18"/>
          <w:rFonts w:ascii="Times New Roman" w:hAnsi="Times New Roman" w:cs="Times New Roman"/>
          <w:color w:val="auto"/>
        </w:rPr>
      </w:pPr>
      <w:r>
        <w:rPr>
          <w:rFonts w:hint="eastAsia" w:eastAsia="黑体"/>
          <w:sz w:val="32"/>
          <w:szCs w:val="32"/>
        </w:rPr>
        <w:t>五、</w:t>
      </w:r>
      <w:r>
        <w:rPr>
          <w:rFonts w:eastAsia="黑体"/>
          <w:sz w:val="32"/>
          <w:szCs w:val="32"/>
        </w:rPr>
        <w:t>主要经验及做法、存在的问题及原因分析</w:t>
      </w:r>
    </w:p>
    <w:p w14:paraId="7F618566">
      <w:pPr>
        <w:spacing w:line="560" w:lineRule="exact"/>
        <w:ind w:firstLine="627" w:firstLineChars="200"/>
        <w:rPr>
          <w:rFonts w:eastAsia="仿宋_GB2312"/>
          <w:spacing w:val="17"/>
          <w:sz w:val="32"/>
          <w:szCs w:val="32"/>
        </w:rPr>
      </w:pPr>
      <w:r>
        <w:rPr>
          <w:rFonts w:eastAsia="楷体"/>
          <w:b/>
          <w:spacing w:val="-4"/>
          <w:sz w:val="32"/>
          <w:szCs w:val="32"/>
        </w:rPr>
        <w:t>（一）主要经验及做法</w:t>
      </w:r>
    </w:p>
    <w:p w14:paraId="5B47A0B3">
      <w:pPr>
        <w:spacing w:line="560" w:lineRule="exact"/>
        <w:ind w:firstLine="640" w:firstLineChars="200"/>
        <w:rPr>
          <w:rFonts w:eastAsia="仿宋_GB2312"/>
          <w:sz w:val="32"/>
          <w:szCs w:val="32"/>
        </w:rPr>
      </w:pPr>
      <w:r>
        <w:rPr>
          <w:rFonts w:eastAsia="仿宋_GB2312"/>
          <w:sz w:val="32"/>
          <w:szCs w:val="32"/>
        </w:rPr>
        <w:t xml:space="preserve"> 一是建立健全管理制度，明确费用使用范围和审批流程，确保</w:t>
      </w:r>
      <w:r>
        <w:rPr>
          <w:rFonts w:hint="eastAsia" w:eastAsia="仿宋_GB2312"/>
          <w:sz w:val="32"/>
          <w:szCs w:val="32"/>
        </w:rPr>
        <w:t>资金合理利用</w:t>
      </w:r>
      <w:r>
        <w:rPr>
          <w:rFonts w:eastAsia="仿宋_GB2312"/>
          <w:sz w:val="32"/>
          <w:szCs w:val="32"/>
        </w:rPr>
        <w:t xml:space="preserve">。注重制度的细化和可操作性，让管理人员有章可循、有据可查。 </w:t>
      </w:r>
    </w:p>
    <w:p w14:paraId="65ECDC99">
      <w:pPr>
        <w:spacing w:line="560" w:lineRule="exact"/>
        <w:ind w:firstLine="640" w:firstLineChars="200"/>
        <w:rPr>
          <w:rFonts w:eastAsia="仿宋_GB2312"/>
          <w:sz w:val="32"/>
          <w:szCs w:val="32"/>
        </w:rPr>
      </w:pPr>
      <w:r>
        <w:rPr>
          <w:rFonts w:eastAsia="仿宋_GB2312"/>
          <w:sz w:val="32"/>
          <w:szCs w:val="32"/>
        </w:rPr>
        <w:t>二是加强项目监督与评估，通过定期检查等方式，确保项目实施效果与预期目标一致。及时发现</w:t>
      </w:r>
      <w:r>
        <w:rPr>
          <w:rFonts w:hint="eastAsia" w:eastAsia="仿宋_GB2312"/>
          <w:sz w:val="32"/>
          <w:szCs w:val="32"/>
        </w:rPr>
        <w:t>及时</w:t>
      </w:r>
      <w:r>
        <w:rPr>
          <w:rFonts w:eastAsia="仿宋_GB2312"/>
          <w:sz w:val="32"/>
          <w:szCs w:val="32"/>
        </w:rPr>
        <w:t xml:space="preserve">纠正问题，确保项目顺利进行。 </w:t>
      </w:r>
    </w:p>
    <w:p w14:paraId="4AD7D729">
      <w:pPr>
        <w:spacing w:line="560" w:lineRule="exact"/>
        <w:ind w:firstLine="640" w:firstLineChars="200"/>
        <w:rPr>
          <w:rFonts w:eastAsia="仿宋_GB2312"/>
          <w:sz w:val="32"/>
          <w:szCs w:val="32"/>
        </w:rPr>
      </w:pPr>
      <w:r>
        <w:rPr>
          <w:rFonts w:eastAsia="仿宋_GB2312"/>
          <w:sz w:val="32"/>
          <w:szCs w:val="32"/>
        </w:rPr>
        <w:t xml:space="preserve">三是注重资金使用的效益分析，通过成本效益比较，优化资源配置，提高资金使用效率。确保城市维护工作的持续性和稳定性。 </w:t>
      </w:r>
    </w:p>
    <w:p w14:paraId="55662A37">
      <w:pPr>
        <w:spacing w:line="560" w:lineRule="exact"/>
        <w:ind w:firstLine="640" w:firstLineChars="200"/>
        <w:rPr>
          <w:rFonts w:eastAsia="仿宋_GB2312"/>
          <w:sz w:val="32"/>
          <w:szCs w:val="32"/>
        </w:rPr>
      </w:pPr>
      <w:r>
        <w:rPr>
          <w:rFonts w:eastAsia="仿宋_GB2312"/>
          <w:sz w:val="32"/>
          <w:szCs w:val="32"/>
        </w:rPr>
        <w:t xml:space="preserve">这些经验及做法为我们今后的城市维护费用项目管理提供了有益借鉴，我们将继续完善和优化，为城市的美好明天贡献更多力量。 </w:t>
      </w:r>
    </w:p>
    <w:p w14:paraId="4B6E7684">
      <w:pPr>
        <w:keepNext/>
        <w:keepLines/>
        <w:numPr>
          <w:ilvl w:val="0"/>
          <w:numId w:val="5"/>
        </w:numPr>
        <w:spacing w:line="560" w:lineRule="exact"/>
        <w:ind w:firstLine="643" w:firstLineChars="200"/>
        <w:rPr>
          <w:rFonts w:eastAsia="楷体_GB2312"/>
          <w:b/>
          <w:bCs/>
          <w:sz w:val="32"/>
          <w:szCs w:val="32"/>
        </w:rPr>
      </w:pPr>
      <w:r>
        <w:rPr>
          <w:rFonts w:eastAsia="楷体_GB2312"/>
          <w:b/>
          <w:bCs/>
          <w:sz w:val="32"/>
          <w:szCs w:val="32"/>
        </w:rPr>
        <w:t>存在的问题及原因分析</w:t>
      </w:r>
    </w:p>
    <w:p w14:paraId="67C58D6D">
      <w:pPr>
        <w:spacing w:line="600" w:lineRule="exact"/>
        <w:ind w:firstLine="640" w:firstLineChars="200"/>
        <w:outlineLvl w:val="0"/>
        <w:rPr>
          <w:rFonts w:eastAsia="仿宋_GB2312"/>
          <w:sz w:val="32"/>
          <w:szCs w:val="32"/>
        </w:rPr>
      </w:pPr>
      <w:r>
        <w:rPr>
          <w:rFonts w:eastAsia="仿宋_GB2312"/>
          <w:sz w:val="32"/>
          <w:szCs w:val="32"/>
        </w:rPr>
        <w:t>1.</w:t>
      </w:r>
      <w:r>
        <w:rPr>
          <w:rFonts w:hint="eastAsia" w:eastAsia="仿宋_GB2312"/>
          <w:sz w:val="32"/>
          <w:szCs w:val="32"/>
        </w:rPr>
        <w:t>人员培训体系不完善</w:t>
      </w:r>
      <w:r>
        <w:rPr>
          <w:rFonts w:eastAsia="仿宋_GB2312"/>
          <w:sz w:val="32"/>
          <w:szCs w:val="32"/>
        </w:rPr>
        <w:t>。</w:t>
      </w:r>
      <w:r>
        <w:rPr>
          <w:rFonts w:hint="eastAsia" w:eastAsia="仿宋_GB2312"/>
          <w:sz w:val="32"/>
          <w:szCs w:val="32"/>
        </w:rPr>
        <w:t>项目执行人员缺乏必要培训，只是与技能更新不及时，影响项目执行效果和</w:t>
      </w:r>
      <w:r>
        <w:rPr>
          <w:rFonts w:eastAsia="仿宋_GB2312"/>
          <w:sz w:val="32"/>
          <w:szCs w:val="32"/>
        </w:rPr>
        <w:t>评价质量。</w:t>
      </w:r>
    </w:p>
    <w:p w14:paraId="20CF88E2">
      <w:pPr>
        <w:spacing w:line="600" w:lineRule="exact"/>
        <w:ind w:firstLine="640" w:firstLineChars="200"/>
        <w:outlineLvl w:val="0"/>
        <w:rPr>
          <w:rFonts w:eastAsia="仿宋_GB2312"/>
          <w:sz w:val="32"/>
          <w:szCs w:val="32"/>
        </w:rPr>
      </w:pPr>
      <w:r>
        <w:rPr>
          <w:rFonts w:eastAsia="仿宋_GB2312"/>
          <w:sz w:val="32"/>
          <w:szCs w:val="32"/>
        </w:rPr>
        <w:t>2.</w:t>
      </w:r>
      <w:r>
        <w:rPr>
          <w:rFonts w:hint="eastAsia" w:eastAsia="仿宋_GB2312"/>
          <w:sz w:val="32"/>
          <w:szCs w:val="32"/>
        </w:rPr>
        <w:t>科室沟通协作障碍。</w:t>
      </w:r>
      <w:r>
        <w:rPr>
          <w:rFonts w:eastAsia="仿宋_GB2312"/>
          <w:sz w:val="32"/>
          <w:szCs w:val="32"/>
        </w:rPr>
        <w:t>因轮岗、调动</w:t>
      </w:r>
      <w:r>
        <w:rPr>
          <w:rFonts w:hint="eastAsia" w:eastAsia="仿宋_GB2312"/>
          <w:sz w:val="32"/>
          <w:szCs w:val="32"/>
        </w:rPr>
        <w:t>等</w:t>
      </w:r>
      <w:r>
        <w:rPr>
          <w:rFonts w:eastAsia="仿宋_GB2312"/>
          <w:sz w:val="32"/>
          <w:szCs w:val="32"/>
        </w:rPr>
        <w:t>因素使我单位绩效工作人员流动频繁，</w:t>
      </w:r>
      <w:r>
        <w:rPr>
          <w:rFonts w:hint="eastAsia" w:eastAsia="仿宋_GB2312"/>
          <w:sz w:val="32"/>
          <w:szCs w:val="32"/>
        </w:rPr>
        <w:t>造成</w:t>
      </w:r>
      <w:r>
        <w:rPr>
          <w:rFonts w:eastAsia="仿宋_GB2312"/>
          <w:sz w:val="32"/>
          <w:szCs w:val="32"/>
        </w:rPr>
        <w:t>工作衔接不到位的情况</w:t>
      </w:r>
      <w:r>
        <w:rPr>
          <w:rFonts w:hint="eastAsia" w:eastAsia="仿宋_GB2312"/>
          <w:sz w:val="32"/>
          <w:szCs w:val="32"/>
        </w:rPr>
        <w:t>，信息传达不及时，部门职责界定不清晰</w:t>
      </w:r>
      <w:r>
        <w:rPr>
          <w:rFonts w:eastAsia="仿宋_GB2312"/>
          <w:sz w:val="32"/>
          <w:szCs w:val="32"/>
        </w:rPr>
        <w:t>。</w:t>
      </w:r>
    </w:p>
    <w:p w14:paraId="54C30A5C">
      <w:pPr>
        <w:spacing w:line="560" w:lineRule="exact"/>
        <w:ind w:firstLine="640" w:firstLineChars="200"/>
        <w:rPr>
          <w:rFonts w:eastAsia="黑体"/>
          <w:sz w:val="32"/>
          <w:szCs w:val="32"/>
        </w:rPr>
      </w:pPr>
      <w:r>
        <w:rPr>
          <w:rFonts w:hint="eastAsia" w:eastAsia="黑体"/>
          <w:sz w:val="32"/>
          <w:szCs w:val="32"/>
        </w:rPr>
        <w:t>六、</w:t>
      </w:r>
      <w:r>
        <w:rPr>
          <w:rFonts w:eastAsia="黑体"/>
          <w:sz w:val="32"/>
          <w:szCs w:val="32"/>
        </w:rPr>
        <w:t>有关建议</w:t>
      </w:r>
    </w:p>
    <w:p w14:paraId="59715778">
      <w:pPr>
        <w:spacing w:line="600" w:lineRule="exact"/>
        <w:ind w:firstLine="640" w:firstLineChars="200"/>
        <w:outlineLvl w:val="0"/>
        <w:rPr>
          <w:rFonts w:eastAsia="仿宋_GB2312"/>
          <w:sz w:val="32"/>
          <w:szCs w:val="32"/>
        </w:rPr>
      </w:pPr>
      <w:r>
        <w:rPr>
          <w:rFonts w:eastAsia="仿宋_GB2312"/>
          <w:sz w:val="32"/>
          <w:szCs w:val="32"/>
        </w:rPr>
        <w:t>1.多进行有关绩效管理工作方面的培训。积极组织第三方开展绩效管理工作培训，进一步夯实业务基础，提高我单位绩效人员水平。</w:t>
      </w:r>
    </w:p>
    <w:p w14:paraId="6C356D95">
      <w:pPr>
        <w:spacing w:line="600" w:lineRule="exact"/>
        <w:ind w:firstLine="640" w:firstLineChars="200"/>
        <w:outlineLvl w:val="0"/>
        <w:rPr>
          <w:rFonts w:eastAsia="仿宋_GB2312"/>
          <w:sz w:val="32"/>
          <w:szCs w:val="32"/>
        </w:rPr>
      </w:pPr>
      <w:r>
        <w:rPr>
          <w:rFonts w:eastAsia="仿宋_GB2312"/>
          <w:sz w:val="32"/>
          <w:szCs w:val="32"/>
        </w:rPr>
        <w:t>2.专门设定对绩效工作人员定职、定岗、定责等相关制度措施，</w:t>
      </w:r>
      <w:r>
        <w:rPr>
          <w:rFonts w:hint="eastAsia" w:eastAsia="仿宋_GB2312"/>
          <w:sz w:val="32"/>
          <w:szCs w:val="32"/>
        </w:rPr>
        <w:t>定期召开项目协调会，明确各科室职责边界，</w:t>
      </w:r>
      <w:r>
        <w:rPr>
          <w:rFonts w:eastAsia="仿宋_GB2312"/>
          <w:sz w:val="32"/>
          <w:szCs w:val="32"/>
        </w:rPr>
        <w:t>进一步提升我单位绩效管理工作业务水平，扎实做好绩效管理工作。</w:t>
      </w:r>
    </w:p>
    <w:p w14:paraId="58B9E8E9">
      <w:pPr>
        <w:spacing w:line="560" w:lineRule="exact"/>
        <w:ind w:firstLine="640" w:firstLineChars="200"/>
        <w:rPr>
          <w:rFonts w:eastAsia="黑体"/>
          <w:sz w:val="32"/>
          <w:szCs w:val="32"/>
        </w:rPr>
      </w:pPr>
      <w:r>
        <w:rPr>
          <w:rFonts w:hint="eastAsia" w:eastAsia="黑体"/>
          <w:sz w:val="32"/>
          <w:szCs w:val="32"/>
        </w:rPr>
        <w:t>七、</w:t>
      </w:r>
      <w:r>
        <w:rPr>
          <w:rFonts w:eastAsia="黑体"/>
          <w:sz w:val="32"/>
          <w:szCs w:val="32"/>
        </w:rPr>
        <w:t>其他需要说</w:t>
      </w:r>
      <w:bookmarkStart w:id="0" w:name="page8"/>
      <w:bookmarkEnd w:id="0"/>
      <w:r>
        <w:rPr>
          <w:rFonts w:eastAsia="黑体"/>
          <w:sz w:val="32"/>
          <w:szCs w:val="32"/>
        </w:rPr>
        <w:t>明的问题</w:t>
      </w:r>
    </w:p>
    <w:p w14:paraId="6F290F2E">
      <w:pPr>
        <w:pStyle w:val="13"/>
        <w:spacing w:after="0" w:line="560" w:lineRule="exact"/>
        <w:ind w:left="0" w:leftChars="0" w:firstLine="640"/>
        <w:rPr>
          <w:rFonts w:ascii="Times New Roman" w:hAnsi="Times New Roman" w:eastAsia="仿宋_GB2312"/>
          <w:sz w:val="32"/>
          <w:szCs w:val="32"/>
        </w:rPr>
      </w:pPr>
      <w:r>
        <w:rPr>
          <w:rFonts w:hint="eastAsia" w:ascii="Times New Roman" w:hAnsi="Times New Roman" w:eastAsia="仿宋_GB2312"/>
          <w:sz w:val="32"/>
          <w:szCs w:val="32"/>
        </w:rPr>
        <w:t>1、项目支出政策和路径设计科学，符合实际需要</w:t>
      </w:r>
    </w:p>
    <w:p w14:paraId="15383E11">
      <w:pPr>
        <w:pStyle w:val="13"/>
        <w:spacing w:after="0" w:line="560" w:lineRule="exact"/>
        <w:ind w:left="0" w:leftChars="0" w:firstLine="640"/>
        <w:rPr>
          <w:rFonts w:ascii="Times New Roman" w:hAnsi="Times New Roman" w:eastAsia="仿宋_GB2312"/>
          <w:sz w:val="32"/>
          <w:szCs w:val="32"/>
        </w:rPr>
      </w:pPr>
      <w:r>
        <w:rPr>
          <w:rFonts w:hint="eastAsia" w:ascii="Times New Roman" w:hAnsi="Times New Roman" w:eastAsia="仿宋_GB2312"/>
          <w:sz w:val="32"/>
          <w:szCs w:val="32"/>
        </w:rPr>
        <w:t>2、项目安排准确，未发现背离项目立项初衷的情况</w:t>
      </w:r>
    </w:p>
    <w:p w14:paraId="29B1CA73">
      <w:pPr>
        <w:pStyle w:val="13"/>
        <w:spacing w:after="0" w:line="560" w:lineRule="exact"/>
        <w:ind w:left="0" w:leftChars="0" w:firstLine="640"/>
        <w:rPr>
          <w:rFonts w:ascii="Times New Roman" w:hAnsi="Times New Roman" w:eastAsia="仿宋_GB2312"/>
          <w:sz w:val="32"/>
          <w:szCs w:val="32"/>
        </w:rPr>
      </w:pPr>
      <w:r>
        <w:rPr>
          <w:rFonts w:hint="eastAsia" w:ascii="Times New Roman" w:hAnsi="Times New Roman" w:eastAsia="仿宋_GB2312"/>
          <w:sz w:val="32"/>
          <w:szCs w:val="32"/>
        </w:rPr>
        <w:t>3、项目的申报、审核机制完善</w:t>
      </w:r>
    </w:p>
    <w:p w14:paraId="24B06111">
      <w:pPr>
        <w:spacing w:line="600" w:lineRule="exact"/>
        <w:ind w:firstLine="640" w:firstLineChars="200"/>
        <w:rPr>
          <w:rFonts w:eastAsia="仿宋_GB2312"/>
          <w:sz w:val="32"/>
          <w:szCs w:val="32"/>
        </w:rPr>
      </w:pPr>
      <w:r>
        <w:rPr>
          <w:rFonts w:hint="eastAsia" w:eastAsia="仿宋_GB2312"/>
          <w:sz w:val="32"/>
          <w:szCs w:val="32"/>
        </w:rPr>
        <w:t>4、未发现虚假行为和骗取财政资金的问题</w:t>
      </w:r>
    </w:p>
    <w:p w14:paraId="1D888100">
      <w:pPr>
        <w:pStyle w:val="13"/>
        <w:spacing w:after="0" w:line="560" w:lineRule="exact"/>
        <w:ind w:left="0" w:leftChars="0" w:firstLine="640"/>
        <w:rPr>
          <w:rFonts w:ascii="Times New Roman" w:hAnsi="Times New Roman" w:eastAsia="仿宋_GB2312"/>
          <w:sz w:val="32"/>
          <w:szCs w:val="32"/>
        </w:rPr>
      </w:pPr>
    </w:p>
    <w:p w14:paraId="18C99CD7">
      <w:pPr>
        <w:pStyle w:val="13"/>
        <w:spacing w:after="0" w:line="560" w:lineRule="exact"/>
        <w:ind w:left="0" w:leftChars="0" w:firstLine="640"/>
        <w:rPr>
          <w:rFonts w:ascii="Times New Roman" w:hAnsi="Times New Roman" w:eastAsia="仿宋_GB2312"/>
          <w:sz w:val="32"/>
          <w:szCs w:val="32"/>
        </w:rPr>
      </w:pPr>
    </w:p>
    <w:p w14:paraId="0992B4A8">
      <w:pPr>
        <w:pStyle w:val="13"/>
        <w:spacing w:after="0" w:line="560" w:lineRule="exact"/>
        <w:ind w:left="0" w:leftChars="0" w:firstLine="640"/>
        <w:rPr>
          <w:rFonts w:ascii="Times New Roman" w:hAnsi="Times New Roman" w:eastAsia="仿宋_GB2312"/>
          <w:sz w:val="32"/>
          <w:szCs w:val="32"/>
        </w:rPr>
      </w:pPr>
    </w:p>
    <w:p w14:paraId="5C294E9F">
      <w:pPr>
        <w:spacing w:line="600" w:lineRule="exact"/>
        <w:rPr>
          <w:rFonts w:eastAsia="黑体"/>
          <w:sz w:val="32"/>
          <w:szCs w:val="32"/>
        </w:rPr>
        <w:sectPr>
          <w:footerReference r:id="rId5" w:type="default"/>
          <w:pgSz w:w="11906" w:h="16838"/>
          <w:pgMar w:top="1440" w:right="1558" w:bottom="1440" w:left="1800" w:header="851" w:footer="992" w:gutter="0"/>
          <w:pgNumType w:start="1"/>
          <w:cols w:space="425" w:num="1"/>
          <w:docGrid w:type="lines" w:linePitch="312" w:charSpace="0"/>
        </w:sectPr>
      </w:pPr>
    </w:p>
    <w:p w14:paraId="37BA0F71">
      <w:pPr>
        <w:spacing w:line="600" w:lineRule="exact"/>
        <w:rPr>
          <w:rFonts w:eastAsia="黑体"/>
          <w:sz w:val="32"/>
          <w:szCs w:val="32"/>
        </w:rPr>
      </w:pPr>
      <w:r>
        <w:rPr>
          <w:rFonts w:hint="eastAsia" w:eastAsia="黑体"/>
          <w:sz w:val="32"/>
          <w:szCs w:val="32"/>
        </w:rPr>
        <w:t>附件1</w:t>
      </w:r>
    </w:p>
    <w:p w14:paraId="77EF282E">
      <w:pPr>
        <w:pStyle w:val="19"/>
        <w:ind w:firstLine="562"/>
        <w:jc w:val="center"/>
        <w:rPr>
          <w:rFonts w:ascii="仿宋_GB2312" w:hAnsi="仿宋_GB2312" w:eastAsia="仿宋_GB2312" w:cs="仿宋_GB2312"/>
          <w:sz w:val="28"/>
          <w:szCs w:val="40"/>
        </w:rPr>
      </w:pPr>
      <w:bookmarkStart w:id="1" w:name="_Toc30064_WPSOffice_Level1"/>
      <w:bookmarkStart w:id="2" w:name="_Toc26499_WPSOffice_Level2"/>
      <w:r>
        <w:rPr>
          <w:rFonts w:hint="eastAsia" w:ascii="仿宋_GB2312" w:hAnsi="仿宋_GB2312" w:eastAsia="仿宋_GB2312" w:cs="仿宋_GB2312"/>
          <w:b/>
          <w:bCs/>
          <w:sz w:val="28"/>
          <w:szCs w:val="40"/>
        </w:rPr>
        <w:t>历年城维费项目绩效评价指标体系及综合评分表</w:t>
      </w:r>
      <w:bookmarkEnd w:id="1"/>
      <w:bookmarkEnd w:id="2"/>
    </w:p>
    <w:tbl>
      <w:tblPr>
        <w:tblStyle w:val="14"/>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1"/>
        <w:gridCol w:w="1000"/>
        <w:gridCol w:w="1071"/>
        <w:gridCol w:w="1724"/>
        <w:gridCol w:w="5219"/>
        <w:gridCol w:w="1304"/>
        <w:gridCol w:w="1364"/>
      </w:tblGrid>
      <w:tr w14:paraId="253228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1002" w:type="dxa"/>
            <w:shd w:val="clear" w:color="auto" w:fill="FFFFFF"/>
            <w:vAlign w:val="center"/>
          </w:tcPr>
          <w:p w14:paraId="2CE56D84">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1000" w:type="dxa"/>
            <w:shd w:val="clear" w:color="auto" w:fill="FFFFFF"/>
            <w:vAlign w:val="center"/>
          </w:tcPr>
          <w:p w14:paraId="78A71DB8">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1071" w:type="dxa"/>
            <w:shd w:val="clear" w:color="auto" w:fill="FFFFFF"/>
            <w:vAlign w:val="center"/>
          </w:tcPr>
          <w:p w14:paraId="3E2C0199">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1725" w:type="dxa"/>
            <w:shd w:val="clear" w:color="auto" w:fill="FFFFFF"/>
            <w:vAlign w:val="center"/>
          </w:tcPr>
          <w:p w14:paraId="394617D5">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5216" w:type="dxa"/>
            <w:shd w:val="clear" w:color="auto" w:fill="FFFFFF"/>
            <w:vAlign w:val="center"/>
          </w:tcPr>
          <w:p w14:paraId="510D2AA2">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1304" w:type="dxa"/>
            <w:shd w:val="clear" w:color="auto" w:fill="FFFFFF"/>
            <w:vAlign w:val="center"/>
          </w:tcPr>
          <w:p w14:paraId="0129640B">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1365" w:type="dxa"/>
            <w:shd w:val="clear" w:color="auto" w:fill="FFFFFF"/>
            <w:vAlign w:val="center"/>
          </w:tcPr>
          <w:p w14:paraId="2BEFAFA5">
            <w:pPr>
              <w:widowControl/>
              <w:spacing w:line="0" w:lineRule="atLeast"/>
              <w:jc w:val="center"/>
              <w:rPr>
                <w:rFonts w:eastAsia="仿宋_GB2312"/>
                <w:b/>
                <w:bCs/>
                <w:kern w:val="0"/>
                <w:sz w:val="18"/>
                <w:szCs w:val="18"/>
              </w:rPr>
            </w:pPr>
            <w:r>
              <w:rPr>
                <w:rFonts w:eastAsia="仿宋_GB2312"/>
                <w:b/>
                <w:bCs/>
                <w:kern w:val="0"/>
                <w:sz w:val="18"/>
                <w:szCs w:val="18"/>
              </w:rPr>
              <w:t>得分</w:t>
            </w:r>
          </w:p>
        </w:tc>
      </w:tr>
      <w:tr w14:paraId="78D9F9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2" w:type="dxa"/>
            <w:vMerge w:val="restart"/>
            <w:shd w:val="clear" w:color="auto" w:fill="FFFFFF"/>
            <w:vAlign w:val="center"/>
          </w:tcPr>
          <w:p w14:paraId="10572036">
            <w:pPr>
              <w:widowControl/>
              <w:spacing w:line="0" w:lineRule="atLeast"/>
              <w:jc w:val="center"/>
              <w:rPr>
                <w:rFonts w:eastAsia="仿宋_GB2312"/>
                <w:kern w:val="0"/>
                <w:sz w:val="18"/>
                <w:szCs w:val="18"/>
              </w:rPr>
            </w:pPr>
          </w:p>
          <w:p w14:paraId="797B78FD">
            <w:pPr>
              <w:widowControl/>
              <w:spacing w:line="0" w:lineRule="atLeast"/>
              <w:jc w:val="center"/>
              <w:rPr>
                <w:rFonts w:eastAsia="仿宋_GB2312"/>
                <w:kern w:val="0"/>
                <w:sz w:val="18"/>
                <w:szCs w:val="18"/>
              </w:rPr>
            </w:pPr>
          </w:p>
          <w:p w14:paraId="10DD8167">
            <w:pPr>
              <w:widowControl/>
              <w:spacing w:line="0" w:lineRule="atLeast"/>
              <w:jc w:val="center"/>
              <w:rPr>
                <w:rFonts w:eastAsia="仿宋_GB2312"/>
                <w:kern w:val="0"/>
                <w:sz w:val="18"/>
                <w:szCs w:val="18"/>
              </w:rPr>
            </w:pPr>
          </w:p>
          <w:p w14:paraId="1CBA157A">
            <w:pPr>
              <w:widowControl/>
              <w:spacing w:line="0" w:lineRule="atLeast"/>
              <w:jc w:val="center"/>
              <w:rPr>
                <w:rFonts w:eastAsia="仿宋_GB2312"/>
                <w:kern w:val="0"/>
                <w:sz w:val="18"/>
                <w:szCs w:val="18"/>
              </w:rPr>
            </w:pPr>
          </w:p>
          <w:p w14:paraId="29D6A09E">
            <w:pPr>
              <w:widowControl/>
              <w:spacing w:line="0" w:lineRule="atLeast"/>
              <w:jc w:val="center"/>
              <w:rPr>
                <w:rFonts w:eastAsia="仿宋_GB2312"/>
                <w:kern w:val="0"/>
                <w:sz w:val="18"/>
                <w:szCs w:val="18"/>
              </w:rPr>
            </w:pPr>
          </w:p>
          <w:p w14:paraId="29DCA930">
            <w:pPr>
              <w:widowControl/>
              <w:spacing w:line="0" w:lineRule="atLeast"/>
              <w:jc w:val="center"/>
              <w:rPr>
                <w:rFonts w:eastAsia="仿宋_GB2312"/>
                <w:kern w:val="0"/>
                <w:sz w:val="18"/>
                <w:szCs w:val="18"/>
              </w:rPr>
            </w:pPr>
          </w:p>
          <w:p w14:paraId="11535D79">
            <w:pPr>
              <w:widowControl/>
              <w:spacing w:line="0" w:lineRule="atLeast"/>
              <w:jc w:val="center"/>
              <w:rPr>
                <w:rFonts w:eastAsia="仿宋_GB2312"/>
                <w:kern w:val="0"/>
                <w:sz w:val="18"/>
                <w:szCs w:val="18"/>
              </w:rPr>
            </w:pPr>
            <w:r>
              <w:rPr>
                <w:rFonts w:eastAsia="仿宋_GB2312"/>
                <w:kern w:val="0"/>
                <w:sz w:val="18"/>
                <w:szCs w:val="18"/>
              </w:rPr>
              <w:t>决策　</w:t>
            </w:r>
          </w:p>
        </w:tc>
        <w:tc>
          <w:tcPr>
            <w:tcW w:w="1000" w:type="dxa"/>
            <w:vMerge w:val="restart"/>
            <w:shd w:val="clear" w:color="auto" w:fill="FFFFFF"/>
            <w:vAlign w:val="center"/>
          </w:tcPr>
          <w:p w14:paraId="4635A5ED">
            <w:pPr>
              <w:widowControl/>
              <w:spacing w:line="0" w:lineRule="atLeast"/>
              <w:jc w:val="center"/>
              <w:rPr>
                <w:rFonts w:eastAsia="仿宋_GB2312"/>
                <w:kern w:val="0"/>
                <w:sz w:val="18"/>
                <w:szCs w:val="18"/>
              </w:rPr>
            </w:pPr>
            <w:r>
              <w:rPr>
                <w:rFonts w:eastAsia="仿宋_GB2312"/>
                <w:kern w:val="0"/>
                <w:sz w:val="18"/>
                <w:szCs w:val="18"/>
              </w:rPr>
              <w:t>项目立项　</w:t>
            </w:r>
          </w:p>
        </w:tc>
        <w:tc>
          <w:tcPr>
            <w:tcW w:w="1071" w:type="dxa"/>
            <w:shd w:val="clear" w:color="auto" w:fill="FFFFFF"/>
            <w:vAlign w:val="center"/>
          </w:tcPr>
          <w:p w14:paraId="132B4D11">
            <w:pPr>
              <w:widowControl/>
              <w:spacing w:line="0" w:lineRule="atLeast"/>
              <w:jc w:val="center"/>
              <w:rPr>
                <w:rFonts w:eastAsia="仿宋_GB2312"/>
                <w:kern w:val="0"/>
                <w:sz w:val="18"/>
                <w:szCs w:val="18"/>
              </w:rPr>
            </w:pPr>
            <w:r>
              <w:rPr>
                <w:rFonts w:eastAsia="仿宋_GB2312"/>
                <w:kern w:val="0"/>
                <w:sz w:val="18"/>
                <w:szCs w:val="18"/>
              </w:rPr>
              <w:t>立项依据</w:t>
            </w:r>
          </w:p>
          <w:p w14:paraId="7F384217">
            <w:pPr>
              <w:widowControl/>
              <w:spacing w:line="0" w:lineRule="atLeast"/>
              <w:jc w:val="center"/>
              <w:rPr>
                <w:rFonts w:eastAsia="仿宋_GB2312"/>
                <w:kern w:val="0"/>
                <w:sz w:val="18"/>
                <w:szCs w:val="18"/>
              </w:rPr>
            </w:pPr>
            <w:r>
              <w:rPr>
                <w:rFonts w:eastAsia="仿宋_GB2312"/>
                <w:kern w:val="0"/>
                <w:sz w:val="18"/>
                <w:szCs w:val="18"/>
              </w:rPr>
              <w:t>充分性</w:t>
            </w:r>
          </w:p>
        </w:tc>
        <w:tc>
          <w:tcPr>
            <w:tcW w:w="1725" w:type="dxa"/>
            <w:shd w:val="clear" w:color="auto" w:fill="FFFFFF"/>
            <w:vAlign w:val="center"/>
          </w:tcPr>
          <w:p w14:paraId="2C4C600C">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090D7139">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①项目立项是否符合国家法律法规、国民经济发展规划和相关政策；</w:t>
            </w:r>
            <w:r>
              <w:rPr>
                <w:rFonts w:eastAsia="仿宋_GB2312"/>
                <w:kern w:val="0"/>
                <w:sz w:val="18"/>
                <w:szCs w:val="18"/>
              </w:rPr>
              <w:br w:type="textWrapping"/>
            </w:r>
            <w:r>
              <w:rPr>
                <w:rFonts w:eastAsia="仿宋_GB2312"/>
                <w:kern w:val="0"/>
                <w:sz w:val="18"/>
                <w:szCs w:val="18"/>
              </w:rPr>
              <w:t>②项目立项是否符合行业发展规划和政策要求；</w:t>
            </w:r>
            <w:r>
              <w:rPr>
                <w:rFonts w:eastAsia="仿宋_GB2312"/>
                <w:kern w:val="0"/>
                <w:sz w:val="18"/>
                <w:szCs w:val="18"/>
              </w:rPr>
              <w:br w:type="textWrapping"/>
            </w:r>
            <w:r>
              <w:rPr>
                <w:rFonts w:eastAsia="仿宋_GB2312"/>
                <w:kern w:val="0"/>
                <w:sz w:val="18"/>
                <w:szCs w:val="18"/>
              </w:rPr>
              <w:t>③项目立项是否与部门职责范围相符，属于部门履职所需；</w:t>
            </w:r>
            <w:r>
              <w:rPr>
                <w:rFonts w:eastAsia="仿宋_GB2312"/>
                <w:kern w:val="0"/>
                <w:sz w:val="18"/>
                <w:szCs w:val="18"/>
              </w:rPr>
              <w:br w:type="textWrapping"/>
            </w:r>
            <w:r>
              <w:rPr>
                <w:rFonts w:eastAsia="仿宋_GB2312"/>
                <w:kern w:val="0"/>
                <w:sz w:val="18"/>
                <w:szCs w:val="18"/>
              </w:rPr>
              <w:t>④项目是否属于公共财政支持范围，是否符合中央、地方事权支出责任划分原则；</w:t>
            </w:r>
            <w:r>
              <w:rPr>
                <w:rFonts w:eastAsia="仿宋_GB2312"/>
                <w:kern w:val="0"/>
                <w:sz w:val="18"/>
                <w:szCs w:val="18"/>
              </w:rPr>
              <w:br w:type="textWrapping"/>
            </w:r>
            <w:r>
              <w:rPr>
                <w:rFonts w:eastAsia="仿宋_GB2312"/>
                <w:kern w:val="0"/>
                <w:sz w:val="18"/>
                <w:szCs w:val="18"/>
              </w:rPr>
              <w:t>⑤项目是否与相关部门同类项目或部门内部相关项目重复。</w:t>
            </w:r>
          </w:p>
        </w:tc>
        <w:tc>
          <w:tcPr>
            <w:tcW w:w="1304" w:type="dxa"/>
            <w:shd w:val="clear" w:color="auto" w:fill="FFFFFF"/>
            <w:vAlign w:val="center"/>
          </w:tcPr>
          <w:p w14:paraId="63BD4869">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auto" w:fill="FFFFFF"/>
            <w:vAlign w:val="center"/>
          </w:tcPr>
          <w:p w14:paraId="6F8FC087">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016FEA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5D51D404">
            <w:pPr>
              <w:spacing w:line="0" w:lineRule="atLeast"/>
              <w:jc w:val="center"/>
              <w:rPr>
                <w:rFonts w:eastAsia="仿宋_GB2312"/>
                <w:kern w:val="0"/>
                <w:sz w:val="18"/>
                <w:szCs w:val="18"/>
              </w:rPr>
            </w:pPr>
          </w:p>
        </w:tc>
        <w:tc>
          <w:tcPr>
            <w:tcW w:w="1000" w:type="dxa"/>
            <w:vMerge w:val="continue"/>
            <w:shd w:val="clear" w:color="auto" w:fill="FFFFFF"/>
            <w:vAlign w:val="center"/>
          </w:tcPr>
          <w:p w14:paraId="273F787E">
            <w:pPr>
              <w:widowControl/>
              <w:spacing w:line="0" w:lineRule="atLeast"/>
              <w:jc w:val="center"/>
              <w:rPr>
                <w:rFonts w:eastAsia="仿宋_GB2312"/>
                <w:kern w:val="0"/>
                <w:sz w:val="18"/>
                <w:szCs w:val="18"/>
              </w:rPr>
            </w:pPr>
          </w:p>
        </w:tc>
        <w:tc>
          <w:tcPr>
            <w:tcW w:w="1071" w:type="dxa"/>
            <w:shd w:val="clear" w:color="auto" w:fill="FFFFFF"/>
            <w:vAlign w:val="center"/>
          </w:tcPr>
          <w:p w14:paraId="48FE47D9">
            <w:pPr>
              <w:widowControl/>
              <w:spacing w:line="0" w:lineRule="atLeast"/>
              <w:jc w:val="center"/>
              <w:rPr>
                <w:rFonts w:eastAsia="仿宋_GB2312"/>
                <w:kern w:val="0"/>
                <w:sz w:val="18"/>
                <w:szCs w:val="18"/>
              </w:rPr>
            </w:pPr>
            <w:r>
              <w:rPr>
                <w:rFonts w:eastAsia="仿宋_GB2312"/>
                <w:kern w:val="0"/>
                <w:sz w:val="18"/>
                <w:szCs w:val="18"/>
              </w:rPr>
              <w:t>立项程序</w:t>
            </w:r>
          </w:p>
          <w:p w14:paraId="5E173402">
            <w:pPr>
              <w:widowControl/>
              <w:spacing w:line="0" w:lineRule="atLeast"/>
              <w:jc w:val="center"/>
              <w:rPr>
                <w:rFonts w:eastAsia="仿宋_GB2312"/>
                <w:kern w:val="0"/>
                <w:sz w:val="18"/>
                <w:szCs w:val="18"/>
              </w:rPr>
            </w:pPr>
            <w:r>
              <w:rPr>
                <w:rFonts w:eastAsia="仿宋_GB2312"/>
                <w:kern w:val="0"/>
                <w:sz w:val="18"/>
                <w:szCs w:val="18"/>
              </w:rPr>
              <w:t>规范性</w:t>
            </w:r>
          </w:p>
        </w:tc>
        <w:tc>
          <w:tcPr>
            <w:tcW w:w="1725" w:type="dxa"/>
            <w:shd w:val="clear" w:color="auto" w:fill="FFFFFF"/>
            <w:vAlign w:val="center"/>
          </w:tcPr>
          <w:p w14:paraId="3B332B4F">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5216" w:type="dxa"/>
            <w:shd w:val="clear" w:color="auto" w:fill="FFFFFF"/>
            <w:vAlign w:val="center"/>
          </w:tcPr>
          <w:p w14:paraId="351155D5">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①项目是否按照规定的程序申请设立；</w:t>
            </w:r>
            <w:r>
              <w:rPr>
                <w:rFonts w:eastAsia="仿宋_GB2312"/>
                <w:kern w:val="0"/>
                <w:sz w:val="18"/>
                <w:szCs w:val="18"/>
              </w:rPr>
              <w:br w:type="textWrapping"/>
            </w:r>
            <w:r>
              <w:rPr>
                <w:rFonts w:eastAsia="仿宋_GB2312"/>
                <w:kern w:val="0"/>
                <w:sz w:val="18"/>
                <w:szCs w:val="18"/>
              </w:rPr>
              <w:t>②审批文件、材料是否符合相关要求；</w:t>
            </w:r>
            <w:r>
              <w:rPr>
                <w:rFonts w:eastAsia="仿宋_GB2312"/>
                <w:kern w:val="0"/>
                <w:sz w:val="18"/>
                <w:szCs w:val="18"/>
              </w:rPr>
              <w:br w:type="textWrapping"/>
            </w:r>
            <w:r>
              <w:rPr>
                <w:rFonts w:eastAsia="仿宋_GB2312"/>
                <w:kern w:val="0"/>
                <w:sz w:val="18"/>
                <w:szCs w:val="18"/>
              </w:rPr>
              <w:t>③事前是否已经过必要的可行性研究、专家论证、风险评估、绩效评估、集体决策。</w:t>
            </w:r>
          </w:p>
        </w:tc>
        <w:tc>
          <w:tcPr>
            <w:tcW w:w="1304" w:type="dxa"/>
            <w:shd w:val="clear" w:color="auto" w:fill="FFFFFF"/>
            <w:vAlign w:val="center"/>
          </w:tcPr>
          <w:p w14:paraId="7516A7F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auto" w:fill="FFFFFF"/>
            <w:vAlign w:val="center"/>
          </w:tcPr>
          <w:p w14:paraId="0135A10C">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26CD9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3D804F3B">
            <w:pPr>
              <w:spacing w:line="0" w:lineRule="atLeast"/>
              <w:jc w:val="center"/>
              <w:rPr>
                <w:rFonts w:eastAsia="仿宋_GB2312"/>
                <w:kern w:val="0"/>
                <w:sz w:val="18"/>
                <w:szCs w:val="18"/>
              </w:rPr>
            </w:pPr>
          </w:p>
        </w:tc>
        <w:tc>
          <w:tcPr>
            <w:tcW w:w="1000" w:type="dxa"/>
            <w:vMerge w:val="restart"/>
            <w:shd w:val="clear" w:color="auto" w:fill="FFFFFF"/>
            <w:vAlign w:val="center"/>
          </w:tcPr>
          <w:p w14:paraId="7E6C594A">
            <w:pPr>
              <w:widowControl/>
              <w:spacing w:line="0" w:lineRule="atLeast"/>
              <w:jc w:val="center"/>
              <w:rPr>
                <w:rFonts w:eastAsia="仿宋_GB2312"/>
                <w:kern w:val="0"/>
                <w:sz w:val="18"/>
                <w:szCs w:val="18"/>
              </w:rPr>
            </w:pPr>
            <w:r>
              <w:rPr>
                <w:rFonts w:eastAsia="仿宋_GB2312"/>
                <w:kern w:val="0"/>
                <w:sz w:val="18"/>
                <w:szCs w:val="18"/>
              </w:rPr>
              <w:t>绩效目标　</w:t>
            </w:r>
          </w:p>
        </w:tc>
        <w:tc>
          <w:tcPr>
            <w:tcW w:w="1071" w:type="dxa"/>
            <w:shd w:val="clear" w:color="auto" w:fill="FFFFFF"/>
            <w:vAlign w:val="center"/>
          </w:tcPr>
          <w:p w14:paraId="1DAA6F16">
            <w:pPr>
              <w:widowControl/>
              <w:spacing w:line="0" w:lineRule="atLeast"/>
              <w:jc w:val="center"/>
              <w:rPr>
                <w:rFonts w:eastAsia="仿宋_GB2312"/>
                <w:kern w:val="0"/>
                <w:sz w:val="18"/>
                <w:szCs w:val="18"/>
              </w:rPr>
            </w:pPr>
            <w:r>
              <w:rPr>
                <w:rFonts w:eastAsia="仿宋_GB2312"/>
                <w:kern w:val="0"/>
                <w:sz w:val="18"/>
                <w:szCs w:val="18"/>
              </w:rPr>
              <w:t>绩效目标</w:t>
            </w:r>
          </w:p>
          <w:p w14:paraId="2E745491">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000000" w:fill="FFFFFF"/>
            <w:vAlign w:val="center"/>
          </w:tcPr>
          <w:p w14:paraId="3FDD13A5">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1F477A09">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（如未设定预算绩效目标，也可考核其他工作任务目标）</w:t>
            </w:r>
            <w:r>
              <w:rPr>
                <w:rFonts w:eastAsia="仿宋_GB2312"/>
                <w:kern w:val="0"/>
                <w:sz w:val="18"/>
                <w:szCs w:val="18"/>
              </w:rPr>
              <w:br w:type="textWrapping"/>
            </w:r>
            <w:r>
              <w:rPr>
                <w:rFonts w:eastAsia="仿宋_GB2312"/>
                <w:kern w:val="0"/>
                <w:sz w:val="18"/>
                <w:szCs w:val="18"/>
              </w:rPr>
              <w:t>①项目是否有绩效目标；</w:t>
            </w:r>
            <w:r>
              <w:rPr>
                <w:rFonts w:eastAsia="仿宋_GB2312"/>
                <w:kern w:val="0"/>
                <w:sz w:val="18"/>
                <w:szCs w:val="18"/>
              </w:rPr>
              <w:br w:type="textWrapping"/>
            </w:r>
            <w:r>
              <w:rPr>
                <w:rFonts w:eastAsia="仿宋_GB2312"/>
                <w:kern w:val="0"/>
                <w:sz w:val="18"/>
                <w:szCs w:val="18"/>
              </w:rPr>
              <w:t>②项目绩效目标与实际工作内容是否具有相关性；</w:t>
            </w:r>
            <w:r>
              <w:rPr>
                <w:rFonts w:eastAsia="仿宋_GB2312"/>
                <w:kern w:val="0"/>
                <w:sz w:val="18"/>
                <w:szCs w:val="18"/>
              </w:rPr>
              <w:br w:type="textWrapping"/>
            </w:r>
            <w:r>
              <w:rPr>
                <w:rFonts w:eastAsia="仿宋_GB2312"/>
                <w:kern w:val="0"/>
                <w:sz w:val="18"/>
                <w:szCs w:val="18"/>
              </w:rPr>
              <w:t>③项目预期产出效益和效果是否符合正常的业绩水平；</w:t>
            </w:r>
          </w:p>
          <w:p w14:paraId="14215DA0">
            <w:pPr>
              <w:widowControl/>
              <w:spacing w:line="0" w:lineRule="atLeast"/>
              <w:jc w:val="left"/>
              <w:rPr>
                <w:rFonts w:eastAsia="仿宋_GB2312"/>
                <w:kern w:val="0"/>
                <w:sz w:val="18"/>
                <w:szCs w:val="18"/>
              </w:rPr>
            </w:pPr>
            <w:r>
              <w:rPr>
                <w:rFonts w:eastAsia="仿宋_GB2312"/>
                <w:kern w:val="0"/>
                <w:sz w:val="18"/>
                <w:szCs w:val="18"/>
              </w:rPr>
              <w:t>④是否与预算确定的项目投资额或资金量相匹配。</w:t>
            </w:r>
          </w:p>
        </w:tc>
        <w:tc>
          <w:tcPr>
            <w:tcW w:w="1304" w:type="dxa"/>
            <w:shd w:val="clear" w:color="000000" w:fill="FFFFFF"/>
            <w:vAlign w:val="center"/>
          </w:tcPr>
          <w:p w14:paraId="5F1178FF">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000000" w:fill="FFFFFF"/>
            <w:vAlign w:val="center"/>
          </w:tcPr>
          <w:p w14:paraId="3C5BBF7B">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66CBC7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2" w:type="dxa"/>
            <w:vMerge w:val="continue"/>
            <w:shd w:val="clear" w:color="auto" w:fill="FFFFFF"/>
            <w:vAlign w:val="center"/>
          </w:tcPr>
          <w:p w14:paraId="38A4E319">
            <w:pPr>
              <w:widowControl/>
              <w:spacing w:line="0" w:lineRule="atLeast"/>
              <w:jc w:val="center"/>
              <w:rPr>
                <w:rFonts w:eastAsia="仿宋_GB2312"/>
                <w:kern w:val="0"/>
                <w:sz w:val="18"/>
                <w:szCs w:val="18"/>
              </w:rPr>
            </w:pPr>
          </w:p>
        </w:tc>
        <w:tc>
          <w:tcPr>
            <w:tcW w:w="1000" w:type="dxa"/>
            <w:vMerge w:val="continue"/>
            <w:shd w:val="clear" w:color="auto" w:fill="FFFFFF"/>
            <w:vAlign w:val="center"/>
          </w:tcPr>
          <w:p w14:paraId="28A9043C">
            <w:pPr>
              <w:widowControl/>
              <w:spacing w:line="0" w:lineRule="atLeast"/>
              <w:jc w:val="center"/>
              <w:rPr>
                <w:rFonts w:eastAsia="仿宋_GB2312"/>
                <w:kern w:val="0"/>
                <w:sz w:val="18"/>
                <w:szCs w:val="18"/>
              </w:rPr>
            </w:pPr>
          </w:p>
        </w:tc>
        <w:tc>
          <w:tcPr>
            <w:tcW w:w="1071" w:type="dxa"/>
            <w:shd w:val="clear" w:color="auto" w:fill="FFFFFF"/>
            <w:vAlign w:val="center"/>
          </w:tcPr>
          <w:p w14:paraId="77143694">
            <w:pPr>
              <w:widowControl/>
              <w:spacing w:line="0" w:lineRule="atLeast"/>
              <w:jc w:val="center"/>
              <w:rPr>
                <w:rFonts w:eastAsia="仿宋_GB2312"/>
                <w:kern w:val="0"/>
                <w:sz w:val="18"/>
                <w:szCs w:val="18"/>
              </w:rPr>
            </w:pPr>
            <w:r>
              <w:rPr>
                <w:rFonts w:eastAsia="仿宋_GB2312"/>
                <w:kern w:val="0"/>
                <w:sz w:val="18"/>
                <w:szCs w:val="18"/>
              </w:rPr>
              <w:t>绩效指标</w:t>
            </w:r>
          </w:p>
          <w:p w14:paraId="5D7EC23A">
            <w:pPr>
              <w:widowControl/>
              <w:spacing w:line="0" w:lineRule="atLeast"/>
              <w:jc w:val="center"/>
              <w:rPr>
                <w:rFonts w:eastAsia="仿宋_GB2312"/>
                <w:kern w:val="0"/>
                <w:sz w:val="18"/>
                <w:szCs w:val="18"/>
              </w:rPr>
            </w:pPr>
            <w:r>
              <w:rPr>
                <w:rFonts w:eastAsia="仿宋_GB2312"/>
                <w:kern w:val="0"/>
                <w:sz w:val="18"/>
                <w:szCs w:val="18"/>
              </w:rPr>
              <w:t>明确性</w:t>
            </w:r>
          </w:p>
        </w:tc>
        <w:tc>
          <w:tcPr>
            <w:tcW w:w="1725" w:type="dxa"/>
            <w:shd w:val="clear" w:color="000000" w:fill="FFFFFF"/>
            <w:vAlign w:val="center"/>
          </w:tcPr>
          <w:p w14:paraId="62EE0BA7">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6141E4AD">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①是否将项目绩效目标细化分解为具体的绩效指标；</w:t>
            </w:r>
            <w:r>
              <w:rPr>
                <w:rFonts w:eastAsia="仿宋_GB2312"/>
                <w:kern w:val="0"/>
                <w:sz w:val="18"/>
                <w:szCs w:val="18"/>
              </w:rPr>
              <w:br w:type="textWrapping"/>
            </w:r>
            <w:r>
              <w:rPr>
                <w:rFonts w:eastAsia="仿宋_GB2312"/>
                <w:kern w:val="0"/>
                <w:sz w:val="18"/>
                <w:szCs w:val="18"/>
              </w:rPr>
              <w:t>②是否通过清晰、可衡量的指标值予以体现；</w:t>
            </w:r>
            <w:r>
              <w:rPr>
                <w:rFonts w:eastAsia="仿宋_GB2312"/>
                <w:kern w:val="0"/>
                <w:sz w:val="18"/>
                <w:szCs w:val="18"/>
              </w:rPr>
              <w:br w:type="textWrapping"/>
            </w:r>
            <w:r>
              <w:rPr>
                <w:rFonts w:eastAsia="仿宋_GB2312"/>
                <w:kern w:val="0"/>
                <w:sz w:val="18"/>
                <w:szCs w:val="18"/>
              </w:rPr>
              <w:t>③是否与项目目标任务数或计划数相对应。</w:t>
            </w:r>
            <w:r>
              <w:rPr>
                <w:rFonts w:eastAsia="仿宋_GB2312"/>
                <w:kern w:val="0"/>
                <w:sz w:val="18"/>
                <w:szCs w:val="18"/>
              </w:rPr>
              <w:br w:type="textWrapping"/>
            </w:r>
          </w:p>
        </w:tc>
        <w:tc>
          <w:tcPr>
            <w:tcW w:w="1304" w:type="dxa"/>
            <w:shd w:val="clear" w:color="000000" w:fill="FFFFFF"/>
            <w:vAlign w:val="center"/>
          </w:tcPr>
          <w:p w14:paraId="37EEA6FA">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000000" w:fill="FFFFFF"/>
            <w:vAlign w:val="center"/>
          </w:tcPr>
          <w:p w14:paraId="59888E66">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79CA6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2" w:type="dxa"/>
            <w:vMerge w:val="continue"/>
            <w:shd w:val="clear" w:color="auto" w:fill="FFFFFF"/>
            <w:vAlign w:val="center"/>
          </w:tcPr>
          <w:p w14:paraId="32A3224B">
            <w:pPr>
              <w:spacing w:line="0" w:lineRule="atLeast"/>
              <w:jc w:val="center"/>
              <w:rPr>
                <w:rFonts w:eastAsia="仿宋_GB2312"/>
                <w:kern w:val="0"/>
                <w:sz w:val="18"/>
                <w:szCs w:val="18"/>
              </w:rPr>
            </w:pPr>
          </w:p>
        </w:tc>
        <w:tc>
          <w:tcPr>
            <w:tcW w:w="1000" w:type="dxa"/>
            <w:vMerge w:val="restart"/>
            <w:shd w:val="clear" w:color="auto" w:fill="FFFFFF"/>
            <w:vAlign w:val="center"/>
          </w:tcPr>
          <w:p w14:paraId="376760E7">
            <w:pPr>
              <w:widowControl/>
              <w:spacing w:line="0" w:lineRule="atLeast"/>
              <w:jc w:val="center"/>
              <w:rPr>
                <w:rFonts w:eastAsia="仿宋_GB2312"/>
                <w:kern w:val="0"/>
                <w:sz w:val="18"/>
                <w:szCs w:val="18"/>
              </w:rPr>
            </w:pPr>
            <w:r>
              <w:rPr>
                <w:rFonts w:eastAsia="仿宋_GB2312"/>
                <w:kern w:val="0"/>
                <w:sz w:val="18"/>
                <w:szCs w:val="18"/>
              </w:rPr>
              <w:t>资金投入</w:t>
            </w:r>
          </w:p>
          <w:p w14:paraId="13FD469A">
            <w:pPr>
              <w:spacing w:line="0" w:lineRule="atLeast"/>
              <w:jc w:val="center"/>
              <w:rPr>
                <w:rFonts w:eastAsia="仿宋_GB2312"/>
                <w:kern w:val="0"/>
                <w:sz w:val="18"/>
                <w:szCs w:val="18"/>
              </w:rPr>
            </w:pPr>
            <w:r>
              <w:rPr>
                <w:rFonts w:eastAsia="仿宋_GB2312"/>
                <w:kern w:val="0"/>
                <w:sz w:val="18"/>
                <w:szCs w:val="18"/>
              </w:rPr>
              <w:t>　</w:t>
            </w:r>
          </w:p>
        </w:tc>
        <w:tc>
          <w:tcPr>
            <w:tcW w:w="1071" w:type="dxa"/>
            <w:shd w:val="clear" w:color="auto" w:fill="FFFFFF"/>
            <w:vAlign w:val="center"/>
          </w:tcPr>
          <w:p w14:paraId="768A3CC3">
            <w:pPr>
              <w:widowControl/>
              <w:spacing w:line="0" w:lineRule="atLeast"/>
              <w:jc w:val="center"/>
              <w:rPr>
                <w:rFonts w:eastAsia="仿宋_GB2312"/>
                <w:kern w:val="0"/>
                <w:sz w:val="18"/>
                <w:szCs w:val="18"/>
              </w:rPr>
            </w:pPr>
            <w:r>
              <w:rPr>
                <w:rFonts w:eastAsia="仿宋_GB2312"/>
                <w:kern w:val="0"/>
                <w:sz w:val="18"/>
                <w:szCs w:val="18"/>
              </w:rPr>
              <w:t>预算编制</w:t>
            </w:r>
          </w:p>
          <w:p w14:paraId="3049F53C">
            <w:pPr>
              <w:widowControl/>
              <w:spacing w:line="0" w:lineRule="atLeast"/>
              <w:jc w:val="center"/>
              <w:rPr>
                <w:rFonts w:eastAsia="仿宋_GB2312"/>
                <w:kern w:val="0"/>
                <w:sz w:val="18"/>
                <w:szCs w:val="18"/>
              </w:rPr>
            </w:pPr>
            <w:r>
              <w:rPr>
                <w:rFonts w:eastAsia="仿宋_GB2312"/>
                <w:kern w:val="0"/>
                <w:sz w:val="18"/>
                <w:szCs w:val="18"/>
              </w:rPr>
              <w:t>科学性</w:t>
            </w:r>
          </w:p>
        </w:tc>
        <w:tc>
          <w:tcPr>
            <w:tcW w:w="1725" w:type="dxa"/>
            <w:shd w:val="clear" w:color="auto" w:fill="FFFFFF"/>
            <w:vAlign w:val="center"/>
          </w:tcPr>
          <w:p w14:paraId="2051C3F5">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7BD75A94">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①预算编制是否经过科学论证；</w:t>
            </w:r>
            <w:r>
              <w:rPr>
                <w:rFonts w:eastAsia="仿宋_GB2312"/>
                <w:kern w:val="0"/>
                <w:sz w:val="18"/>
                <w:szCs w:val="18"/>
              </w:rPr>
              <w:br w:type="textWrapping"/>
            </w:r>
            <w:r>
              <w:rPr>
                <w:rFonts w:eastAsia="仿宋_GB2312"/>
                <w:kern w:val="0"/>
                <w:sz w:val="18"/>
                <w:szCs w:val="18"/>
              </w:rPr>
              <w:t>②预算内容与项目内容是否匹配；</w:t>
            </w:r>
            <w:r>
              <w:rPr>
                <w:rFonts w:eastAsia="仿宋_GB2312"/>
                <w:kern w:val="0"/>
                <w:sz w:val="18"/>
                <w:szCs w:val="18"/>
              </w:rPr>
              <w:br w:type="textWrapping"/>
            </w:r>
            <w:r>
              <w:rPr>
                <w:rFonts w:eastAsia="仿宋_GB2312"/>
                <w:kern w:val="0"/>
                <w:sz w:val="18"/>
                <w:szCs w:val="18"/>
              </w:rPr>
              <w:t>③预算额度测算依据是否充分，是否按照标准编制；</w:t>
            </w:r>
            <w:r>
              <w:rPr>
                <w:rFonts w:eastAsia="仿宋_GB2312"/>
                <w:kern w:val="0"/>
                <w:sz w:val="18"/>
                <w:szCs w:val="18"/>
              </w:rPr>
              <w:br w:type="textWrapping"/>
            </w:r>
            <w:r>
              <w:rPr>
                <w:rFonts w:eastAsia="仿宋_GB2312"/>
                <w:kern w:val="0"/>
                <w:sz w:val="18"/>
                <w:szCs w:val="18"/>
              </w:rPr>
              <w:t>④预算确定的项目投资额或资金量是否与工作任务相匹配。</w:t>
            </w:r>
          </w:p>
        </w:tc>
        <w:tc>
          <w:tcPr>
            <w:tcW w:w="1304" w:type="dxa"/>
            <w:shd w:val="clear" w:color="auto" w:fill="FFFFFF"/>
            <w:vAlign w:val="center"/>
          </w:tcPr>
          <w:p w14:paraId="0FBAD209">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0D1856E6">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681B0C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2" w:type="dxa"/>
            <w:vMerge w:val="continue"/>
            <w:shd w:val="clear" w:color="auto" w:fill="FFFFFF"/>
            <w:vAlign w:val="center"/>
          </w:tcPr>
          <w:p w14:paraId="66097F9E">
            <w:pPr>
              <w:widowControl/>
              <w:spacing w:line="0" w:lineRule="atLeast"/>
              <w:jc w:val="center"/>
              <w:rPr>
                <w:rFonts w:eastAsia="仿宋_GB2312"/>
                <w:kern w:val="0"/>
                <w:sz w:val="18"/>
                <w:szCs w:val="18"/>
              </w:rPr>
            </w:pPr>
          </w:p>
        </w:tc>
        <w:tc>
          <w:tcPr>
            <w:tcW w:w="1000" w:type="dxa"/>
            <w:vMerge w:val="continue"/>
            <w:shd w:val="clear" w:color="auto" w:fill="FFFFFF"/>
            <w:vAlign w:val="center"/>
          </w:tcPr>
          <w:p w14:paraId="1571C5D0">
            <w:pPr>
              <w:widowControl/>
              <w:spacing w:line="0" w:lineRule="atLeast"/>
              <w:jc w:val="center"/>
              <w:rPr>
                <w:rFonts w:eastAsia="仿宋_GB2312"/>
                <w:kern w:val="0"/>
                <w:sz w:val="18"/>
                <w:szCs w:val="18"/>
              </w:rPr>
            </w:pPr>
          </w:p>
        </w:tc>
        <w:tc>
          <w:tcPr>
            <w:tcW w:w="1071" w:type="dxa"/>
            <w:shd w:val="clear" w:color="auto" w:fill="FFFFFF"/>
            <w:vAlign w:val="center"/>
          </w:tcPr>
          <w:p w14:paraId="48BE883D">
            <w:pPr>
              <w:widowControl/>
              <w:spacing w:line="0" w:lineRule="atLeast"/>
              <w:jc w:val="center"/>
              <w:rPr>
                <w:rFonts w:eastAsia="仿宋_GB2312"/>
                <w:kern w:val="0"/>
                <w:sz w:val="18"/>
                <w:szCs w:val="18"/>
              </w:rPr>
            </w:pPr>
            <w:r>
              <w:rPr>
                <w:rFonts w:eastAsia="仿宋_GB2312"/>
                <w:kern w:val="0"/>
                <w:sz w:val="18"/>
                <w:szCs w:val="18"/>
              </w:rPr>
              <w:t>资金分配</w:t>
            </w:r>
          </w:p>
          <w:p w14:paraId="507D7788">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auto" w:fill="FFFFFF"/>
            <w:vAlign w:val="center"/>
          </w:tcPr>
          <w:p w14:paraId="785F8168">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02F46D4B">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①预算资金分配依据是否充分；</w:t>
            </w:r>
            <w:r>
              <w:rPr>
                <w:rFonts w:eastAsia="仿宋_GB2312"/>
                <w:kern w:val="0"/>
                <w:sz w:val="18"/>
                <w:szCs w:val="18"/>
              </w:rPr>
              <w:br w:type="textWrapping"/>
            </w:r>
            <w:r>
              <w:rPr>
                <w:rFonts w:eastAsia="仿宋_GB2312"/>
                <w:kern w:val="0"/>
                <w:sz w:val="18"/>
                <w:szCs w:val="18"/>
              </w:rPr>
              <w:t>②资金分配额度是否合理，与项目单位或地方实际是否相适应。</w:t>
            </w:r>
          </w:p>
        </w:tc>
        <w:tc>
          <w:tcPr>
            <w:tcW w:w="1304" w:type="dxa"/>
            <w:shd w:val="clear" w:color="auto" w:fill="FFFFFF"/>
            <w:vAlign w:val="center"/>
          </w:tcPr>
          <w:p w14:paraId="7611891F">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19C650EB">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6D15C1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2" w:type="dxa"/>
            <w:vMerge w:val="restart"/>
            <w:shd w:val="clear" w:color="auto" w:fill="FFFFFF"/>
            <w:vAlign w:val="center"/>
          </w:tcPr>
          <w:p w14:paraId="70AB4AC2">
            <w:pPr>
              <w:spacing w:line="0" w:lineRule="atLeast"/>
              <w:jc w:val="center"/>
              <w:rPr>
                <w:rFonts w:eastAsia="仿宋_GB2312"/>
                <w:kern w:val="0"/>
                <w:sz w:val="18"/>
                <w:szCs w:val="18"/>
              </w:rPr>
            </w:pPr>
          </w:p>
          <w:p w14:paraId="765FD91A">
            <w:pPr>
              <w:spacing w:line="0" w:lineRule="atLeast"/>
              <w:jc w:val="center"/>
              <w:rPr>
                <w:rFonts w:eastAsia="仿宋_GB2312"/>
                <w:kern w:val="0"/>
                <w:sz w:val="18"/>
                <w:szCs w:val="18"/>
              </w:rPr>
            </w:pPr>
          </w:p>
          <w:p w14:paraId="5618B88C">
            <w:pPr>
              <w:spacing w:line="0" w:lineRule="atLeast"/>
              <w:jc w:val="center"/>
              <w:rPr>
                <w:rFonts w:eastAsia="仿宋_GB2312"/>
                <w:kern w:val="0"/>
                <w:sz w:val="18"/>
                <w:szCs w:val="18"/>
              </w:rPr>
            </w:pPr>
          </w:p>
          <w:p w14:paraId="0D6CC7AD">
            <w:pPr>
              <w:spacing w:line="0" w:lineRule="atLeast"/>
              <w:jc w:val="center"/>
              <w:rPr>
                <w:rFonts w:eastAsia="仿宋_GB2312"/>
                <w:kern w:val="0"/>
                <w:sz w:val="18"/>
                <w:szCs w:val="18"/>
              </w:rPr>
            </w:pPr>
          </w:p>
          <w:p w14:paraId="2134F225">
            <w:pPr>
              <w:spacing w:line="0" w:lineRule="atLeast"/>
              <w:jc w:val="center"/>
              <w:rPr>
                <w:rFonts w:eastAsia="仿宋_GB2312"/>
                <w:kern w:val="0"/>
                <w:sz w:val="18"/>
                <w:szCs w:val="18"/>
              </w:rPr>
            </w:pPr>
          </w:p>
          <w:p w14:paraId="073A350F">
            <w:pPr>
              <w:spacing w:line="0" w:lineRule="atLeast"/>
              <w:jc w:val="center"/>
              <w:rPr>
                <w:rFonts w:eastAsia="仿宋_GB2312"/>
                <w:kern w:val="0"/>
                <w:sz w:val="18"/>
                <w:szCs w:val="18"/>
              </w:rPr>
            </w:pPr>
          </w:p>
          <w:p w14:paraId="5F123C17">
            <w:pPr>
              <w:spacing w:line="0" w:lineRule="atLeast"/>
              <w:jc w:val="center"/>
              <w:rPr>
                <w:rFonts w:eastAsia="仿宋_GB2312"/>
                <w:kern w:val="0"/>
                <w:sz w:val="18"/>
                <w:szCs w:val="18"/>
              </w:rPr>
            </w:pPr>
          </w:p>
          <w:p w14:paraId="59982EAC">
            <w:pPr>
              <w:spacing w:line="0" w:lineRule="atLeast"/>
              <w:jc w:val="center"/>
              <w:rPr>
                <w:rFonts w:eastAsia="仿宋_GB2312"/>
                <w:kern w:val="0"/>
                <w:sz w:val="18"/>
                <w:szCs w:val="18"/>
              </w:rPr>
            </w:pPr>
          </w:p>
          <w:p w14:paraId="3E43610A">
            <w:pPr>
              <w:spacing w:line="0" w:lineRule="atLeast"/>
              <w:jc w:val="center"/>
              <w:rPr>
                <w:rFonts w:eastAsia="仿宋_GB2312"/>
                <w:kern w:val="0"/>
                <w:sz w:val="18"/>
                <w:szCs w:val="18"/>
              </w:rPr>
            </w:pPr>
          </w:p>
          <w:p w14:paraId="39EE8D55">
            <w:pPr>
              <w:spacing w:line="0" w:lineRule="atLeast"/>
              <w:jc w:val="center"/>
              <w:rPr>
                <w:rFonts w:eastAsia="仿宋_GB2312"/>
                <w:kern w:val="0"/>
                <w:sz w:val="18"/>
                <w:szCs w:val="18"/>
              </w:rPr>
            </w:pPr>
          </w:p>
          <w:p w14:paraId="0FB0C169">
            <w:pPr>
              <w:spacing w:line="0" w:lineRule="atLeast"/>
              <w:jc w:val="center"/>
              <w:rPr>
                <w:rFonts w:eastAsia="仿宋_GB2312"/>
                <w:kern w:val="0"/>
                <w:sz w:val="18"/>
                <w:szCs w:val="18"/>
              </w:rPr>
            </w:pPr>
          </w:p>
          <w:p w14:paraId="0AF89038">
            <w:pPr>
              <w:spacing w:line="0" w:lineRule="atLeast"/>
              <w:jc w:val="center"/>
              <w:rPr>
                <w:rFonts w:eastAsia="仿宋_GB2312"/>
                <w:kern w:val="0"/>
                <w:sz w:val="18"/>
                <w:szCs w:val="18"/>
              </w:rPr>
            </w:pPr>
          </w:p>
          <w:p w14:paraId="7CC17B39">
            <w:pPr>
              <w:spacing w:line="0" w:lineRule="atLeast"/>
              <w:jc w:val="center"/>
              <w:rPr>
                <w:rFonts w:eastAsia="仿宋_GB2312"/>
                <w:kern w:val="0"/>
                <w:sz w:val="18"/>
                <w:szCs w:val="18"/>
              </w:rPr>
            </w:pPr>
          </w:p>
          <w:p w14:paraId="25A13378">
            <w:pPr>
              <w:spacing w:line="0" w:lineRule="atLeast"/>
              <w:jc w:val="center"/>
              <w:rPr>
                <w:rFonts w:eastAsia="仿宋_GB2312"/>
                <w:kern w:val="0"/>
                <w:sz w:val="18"/>
                <w:szCs w:val="18"/>
              </w:rPr>
            </w:pPr>
          </w:p>
          <w:p w14:paraId="34403C84">
            <w:pPr>
              <w:spacing w:line="0" w:lineRule="atLeast"/>
              <w:jc w:val="center"/>
              <w:rPr>
                <w:rFonts w:eastAsia="仿宋_GB2312"/>
                <w:kern w:val="0"/>
                <w:sz w:val="18"/>
                <w:szCs w:val="18"/>
              </w:rPr>
            </w:pPr>
          </w:p>
          <w:p w14:paraId="1F5E5717">
            <w:pPr>
              <w:spacing w:line="0" w:lineRule="atLeast"/>
              <w:jc w:val="center"/>
              <w:rPr>
                <w:rFonts w:eastAsia="仿宋_GB2312"/>
                <w:kern w:val="0"/>
                <w:sz w:val="18"/>
                <w:szCs w:val="18"/>
              </w:rPr>
            </w:pPr>
            <w:r>
              <w:rPr>
                <w:rFonts w:eastAsia="仿宋_GB2312"/>
                <w:kern w:val="0"/>
                <w:sz w:val="18"/>
                <w:szCs w:val="18"/>
              </w:rPr>
              <w:t>过程</w:t>
            </w:r>
          </w:p>
          <w:p w14:paraId="013FDD9C">
            <w:pPr>
              <w:widowControl/>
              <w:spacing w:line="0" w:lineRule="atLeast"/>
              <w:jc w:val="center"/>
              <w:rPr>
                <w:rFonts w:eastAsia="仿宋_GB2312"/>
                <w:kern w:val="0"/>
                <w:sz w:val="18"/>
                <w:szCs w:val="18"/>
              </w:rPr>
            </w:pPr>
            <w:r>
              <w:rPr>
                <w:rFonts w:eastAsia="仿宋_GB2312"/>
                <w:kern w:val="0"/>
                <w:sz w:val="18"/>
                <w:szCs w:val="18"/>
              </w:rPr>
              <w:t>　　</w:t>
            </w:r>
          </w:p>
        </w:tc>
        <w:tc>
          <w:tcPr>
            <w:tcW w:w="1000" w:type="dxa"/>
            <w:vMerge w:val="restart"/>
            <w:shd w:val="clear" w:color="auto" w:fill="FFFFFF"/>
            <w:vAlign w:val="center"/>
          </w:tcPr>
          <w:p w14:paraId="0A254B65">
            <w:pPr>
              <w:widowControl/>
              <w:spacing w:line="0" w:lineRule="atLeast"/>
              <w:jc w:val="center"/>
              <w:rPr>
                <w:rFonts w:eastAsia="仿宋_GB2312"/>
                <w:kern w:val="0"/>
                <w:sz w:val="18"/>
                <w:szCs w:val="18"/>
              </w:rPr>
            </w:pPr>
            <w:r>
              <w:rPr>
                <w:rFonts w:eastAsia="仿宋_GB2312"/>
                <w:kern w:val="0"/>
                <w:sz w:val="18"/>
                <w:szCs w:val="18"/>
              </w:rPr>
              <w:t>资金管理</w:t>
            </w:r>
          </w:p>
        </w:tc>
        <w:tc>
          <w:tcPr>
            <w:tcW w:w="1071" w:type="dxa"/>
            <w:shd w:val="clear" w:color="auto" w:fill="FFFFFF"/>
            <w:vAlign w:val="center"/>
          </w:tcPr>
          <w:p w14:paraId="53CA0B21">
            <w:pPr>
              <w:widowControl/>
              <w:spacing w:line="0" w:lineRule="atLeast"/>
              <w:jc w:val="center"/>
              <w:rPr>
                <w:rFonts w:eastAsia="仿宋_GB2312"/>
                <w:kern w:val="0"/>
                <w:sz w:val="18"/>
                <w:szCs w:val="18"/>
              </w:rPr>
            </w:pPr>
            <w:r>
              <w:rPr>
                <w:rFonts w:eastAsia="仿宋_GB2312"/>
                <w:kern w:val="0"/>
                <w:sz w:val="18"/>
                <w:szCs w:val="18"/>
              </w:rPr>
              <w:t>资金到位率</w:t>
            </w:r>
          </w:p>
        </w:tc>
        <w:tc>
          <w:tcPr>
            <w:tcW w:w="1725" w:type="dxa"/>
            <w:shd w:val="clear" w:color="000000" w:fill="FFFFFF"/>
            <w:vAlign w:val="center"/>
          </w:tcPr>
          <w:p w14:paraId="0919C121">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3C12B966">
            <w:pPr>
              <w:widowControl/>
              <w:spacing w:line="0" w:lineRule="atLeast"/>
              <w:rPr>
                <w:rFonts w:eastAsia="仿宋_GB2312"/>
                <w:kern w:val="0"/>
                <w:sz w:val="18"/>
                <w:szCs w:val="18"/>
              </w:rPr>
            </w:pPr>
            <w:r>
              <w:rPr>
                <w:rFonts w:eastAsia="仿宋_GB2312"/>
                <w:kern w:val="0"/>
                <w:sz w:val="18"/>
                <w:szCs w:val="18"/>
              </w:rPr>
              <w:t>资金到位率=（实际到位资金/预算资金）×100%。</w:t>
            </w:r>
          </w:p>
          <w:p w14:paraId="355F508D">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24A20A8A">
            <w:pPr>
              <w:widowControl/>
              <w:spacing w:line="0" w:lineRule="atLeast"/>
              <w:rPr>
                <w:rFonts w:eastAsia="仿宋_GB2312"/>
                <w:kern w:val="0"/>
                <w:sz w:val="18"/>
                <w:szCs w:val="18"/>
              </w:rPr>
            </w:pPr>
            <w:r>
              <w:rPr>
                <w:rFonts w:eastAsia="仿宋_GB2312"/>
                <w:kern w:val="0"/>
                <w:sz w:val="18"/>
                <w:szCs w:val="18"/>
              </w:rPr>
              <w:t>预算资金：一定时期（本年度或项目期）内预算安排到具体项目的资金。</w:t>
            </w:r>
          </w:p>
        </w:tc>
        <w:tc>
          <w:tcPr>
            <w:tcW w:w="1304" w:type="dxa"/>
            <w:shd w:val="clear" w:color="000000" w:fill="FFFFFF"/>
            <w:vAlign w:val="center"/>
          </w:tcPr>
          <w:p w14:paraId="777B1763">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483D2734">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276232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2" w:type="dxa"/>
            <w:vMerge w:val="continue"/>
            <w:shd w:val="clear" w:color="auto" w:fill="FFFFFF"/>
            <w:vAlign w:val="center"/>
          </w:tcPr>
          <w:p w14:paraId="76B2A2EA">
            <w:pPr>
              <w:spacing w:line="0" w:lineRule="atLeast"/>
              <w:jc w:val="center"/>
              <w:rPr>
                <w:rFonts w:eastAsia="仿宋_GB2312"/>
                <w:kern w:val="0"/>
                <w:sz w:val="18"/>
                <w:szCs w:val="18"/>
              </w:rPr>
            </w:pPr>
          </w:p>
        </w:tc>
        <w:tc>
          <w:tcPr>
            <w:tcW w:w="1000" w:type="dxa"/>
            <w:vMerge w:val="continue"/>
            <w:shd w:val="clear" w:color="auto" w:fill="FFFFFF"/>
            <w:vAlign w:val="center"/>
          </w:tcPr>
          <w:p w14:paraId="3E20F267">
            <w:pPr>
              <w:spacing w:line="0" w:lineRule="atLeast"/>
              <w:jc w:val="center"/>
              <w:rPr>
                <w:rFonts w:eastAsia="仿宋_GB2312"/>
                <w:kern w:val="0"/>
                <w:sz w:val="18"/>
                <w:szCs w:val="18"/>
              </w:rPr>
            </w:pPr>
          </w:p>
        </w:tc>
        <w:tc>
          <w:tcPr>
            <w:tcW w:w="1071" w:type="dxa"/>
            <w:shd w:val="clear" w:color="auto" w:fill="FFFFFF"/>
            <w:vAlign w:val="center"/>
          </w:tcPr>
          <w:p w14:paraId="11003BF4">
            <w:pPr>
              <w:widowControl/>
              <w:spacing w:line="0" w:lineRule="atLeast"/>
              <w:jc w:val="center"/>
              <w:rPr>
                <w:rFonts w:eastAsia="仿宋_GB2312"/>
                <w:kern w:val="0"/>
                <w:sz w:val="18"/>
                <w:szCs w:val="18"/>
              </w:rPr>
            </w:pPr>
            <w:r>
              <w:rPr>
                <w:rFonts w:eastAsia="仿宋_GB2312"/>
                <w:kern w:val="0"/>
                <w:sz w:val="18"/>
                <w:szCs w:val="18"/>
              </w:rPr>
              <w:t>预算执行率</w:t>
            </w:r>
          </w:p>
        </w:tc>
        <w:tc>
          <w:tcPr>
            <w:tcW w:w="1725" w:type="dxa"/>
            <w:shd w:val="clear" w:color="auto" w:fill="FFFFFF"/>
            <w:vAlign w:val="center"/>
          </w:tcPr>
          <w:p w14:paraId="5108ADA5">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5216" w:type="dxa"/>
            <w:shd w:val="clear" w:color="auto" w:fill="FFFFFF"/>
            <w:vAlign w:val="center"/>
          </w:tcPr>
          <w:p w14:paraId="54FA8103">
            <w:pPr>
              <w:widowControl/>
              <w:spacing w:line="0" w:lineRule="atLeast"/>
              <w:rPr>
                <w:rFonts w:eastAsia="仿宋_GB2312"/>
                <w:kern w:val="0"/>
                <w:sz w:val="18"/>
                <w:szCs w:val="18"/>
              </w:rPr>
            </w:pPr>
            <w:r>
              <w:rPr>
                <w:rFonts w:eastAsia="仿宋_GB2312"/>
                <w:kern w:val="0"/>
                <w:sz w:val="18"/>
                <w:szCs w:val="18"/>
              </w:rPr>
              <w:t>预算执行率=（实际支出资金/实际到位资金）×100%。</w:t>
            </w:r>
            <w:r>
              <w:rPr>
                <w:rFonts w:eastAsia="仿宋_GB2312"/>
                <w:kern w:val="0"/>
                <w:sz w:val="18"/>
                <w:szCs w:val="18"/>
              </w:rPr>
              <w:br w:type="textWrapping"/>
            </w:r>
            <w:r>
              <w:rPr>
                <w:rFonts w:eastAsia="仿宋_GB2312"/>
                <w:kern w:val="0"/>
                <w:sz w:val="18"/>
                <w:szCs w:val="18"/>
              </w:rPr>
              <w:t>实际支出资金：一定时期（本年度或项目期）内项目实际拨付的资金。</w:t>
            </w:r>
          </w:p>
        </w:tc>
        <w:tc>
          <w:tcPr>
            <w:tcW w:w="1304" w:type="dxa"/>
            <w:shd w:val="clear" w:color="auto" w:fill="FFFFFF"/>
            <w:vAlign w:val="center"/>
          </w:tcPr>
          <w:p w14:paraId="29342369">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503F4C62">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7CB52A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7D2EBB9B">
            <w:pPr>
              <w:spacing w:line="0" w:lineRule="atLeast"/>
              <w:jc w:val="center"/>
              <w:rPr>
                <w:rFonts w:eastAsia="仿宋_GB2312"/>
                <w:kern w:val="0"/>
                <w:sz w:val="18"/>
                <w:szCs w:val="18"/>
              </w:rPr>
            </w:pPr>
          </w:p>
        </w:tc>
        <w:tc>
          <w:tcPr>
            <w:tcW w:w="1000" w:type="dxa"/>
            <w:shd w:val="clear" w:color="auto" w:fill="FFFFFF"/>
            <w:vAlign w:val="center"/>
          </w:tcPr>
          <w:p w14:paraId="04E01AE7">
            <w:pPr>
              <w:widowControl/>
              <w:spacing w:line="0" w:lineRule="atLeast"/>
              <w:jc w:val="center"/>
              <w:rPr>
                <w:rFonts w:eastAsia="仿宋_GB2312"/>
                <w:kern w:val="0"/>
                <w:sz w:val="18"/>
                <w:szCs w:val="18"/>
              </w:rPr>
            </w:pPr>
            <w:r>
              <w:rPr>
                <w:rFonts w:eastAsia="仿宋_GB2312"/>
                <w:kern w:val="0"/>
                <w:sz w:val="18"/>
                <w:szCs w:val="18"/>
              </w:rPr>
              <w:t>资金管理</w:t>
            </w:r>
          </w:p>
        </w:tc>
        <w:tc>
          <w:tcPr>
            <w:tcW w:w="1071" w:type="dxa"/>
            <w:shd w:val="clear" w:color="auto" w:fill="FFFFFF"/>
            <w:vAlign w:val="center"/>
          </w:tcPr>
          <w:p w14:paraId="2474D17B">
            <w:pPr>
              <w:widowControl/>
              <w:spacing w:line="0" w:lineRule="atLeast"/>
              <w:jc w:val="center"/>
              <w:rPr>
                <w:rFonts w:eastAsia="仿宋_GB2312"/>
                <w:kern w:val="0"/>
                <w:sz w:val="18"/>
                <w:szCs w:val="18"/>
              </w:rPr>
            </w:pPr>
            <w:r>
              <w:rPr>
                <w:rFonts w:eastAsia="仿宋_GB2312"/>
                <w:kern w:val="0"/>
                <w:sz w:val="18"/>
                <w:szCs w:val="18"/>
              </w:rPr>
              <w:t>资金使用</w:t>
            </w:r>
          </w:p>
          <w:p w14:paraId="3095330D">
            <w:pPr>
              <w:widowControl/>
              <w:spacing w:line="0" w:lineRule="atLeast"/>
              <w:jc w:val="center"/>
              <w:rPr>
                <w:rFonts w:eastAsia="仿宋_GB2312"/>
                <w:kern w:val="0"/>
                <w:sz w:val="18"/>
                <w:szCs w:val="18"/>
              </w:rPr>
            </w:pPr>
            <w:r>
              <w:rPr>
                <w:rFonts w:eastAsia="仿宋_GB2312"/>
                <w:kern w:val="0"/>
                <w:sz w:val="18"/>
                <w:szCs w:val="18"/>
              </w:rPr>
              <w:t>合规性</w:t>
            </w:r>
          </w:p>
        </w:tc>
        <w:tc>
          <w:tcPr>
            <w:tcW w:w="1725" w:type="dxa"/>
            <w:shd w:val="clear" w:color="000000" w:fill="FFFFFF"/>
            <w:vAlign w:val="center"/>
          </w:tcPr>
          <w:p w14:paraId="66D44B9E">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7965DAB1">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①是否符合国家财经法规和财务管理制度以及有关专项资金管理办法的规定；</w:t>
            </w:r>
            <w:r>
              <w:rPr>
                <w:rFonts w:eastAsia="仿宋_GB2312"/>
                <w:kern w:val="0"/>
                <w:sz w:val="18"/>
                <w:szCs w:val="18"/>
              </w:rPr>
              <w:br w:type="textWrapping"/>
            </w:r>
            <w:r>
              <w:rPr>
                <w:rFonts w:eastAsia="仿宋_GB2312"/>
                <w:kern w:val="0"/>
                <w:sz w:val="18"/>
                <w:szCs w:val="18"/>
              </w:rPr>
              <w:t>②资金的拨付是否有完整的审批程序和手续；</w:t>
            </w:r>
            <w:r>
              <w:rPr>
                <w:rFonts w:eastAsia="仿宋_GB2312"/>
                <w:kern w:val="0"/>
                <w:sz w:val="18"/>
                <w:szCs w:val="18"/>
              </w:rPr>
              <w:br w:type="textWrapping"/>
            </w:r>
            <w:r>
              <w:rPr>
                <w:rFonts w:eastAsia="仿宋_GB2312"/>
                <w:kern w:val="0"/>
                <w:sz w:val="18"/>
                <w:szCs w:val="18"/>
              </w:rPr>
              <w:t>③是否符合项目预算批复或合同规定的用途；</w:t>
            </w:r>
            <w:r>
              <w:rPr>
                <w:rFonts w:eastAsia="仿宋_GB2312"/>
                <w:kern w:val="0"/>
                <w:sz w:val="18"/>
                <w:szCs w:val="18"/>
              </w:rPr>
              <w:br w:type="textWrapping"/>
            </w:r>
            <w:r>
              <w:rPr>
                <w:rFonts w:eastAsia="仿宋_GB2312"/>
                <w:kern w:val="0"/>
                <w:sz w:val="18"/>
                <w:szCs w:val="18"/>
              </w:rPr>
              <w:t>④是否存在截留、挤占、挪用、虚列支出等情况。</w:t>
            </w:r>
          </w:p>
        </w:tc>
        <w:tc>
          <w:tcPr>
            <w:tcW w:w="1304" w:type="dxa"/>
            <w:shd w:val="clear" w:color="000000" w:fill="FFFFFF"/>
            <w:vAlign w:val="center"/>
          </w:tcPr>
          <w:p w14:paraId="5383A086">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7BB227FE">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085E5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2" w:type="dxa"/>
            <w:vMerge w:val="continue"/>
            <w:shd w:val="clear" w:color="auto" w:fill="FFFFFF"/>
            <w:vAlign w:val="center"/>
          </w:tcPr>
          <w:p w14:paraId="4D19C746">
            <w:pPr>
              <w:spacing w:line="0" w:lineRule="atLeast"/>
              <w:jc w:val="center"/>
              <w:rPr>
                <w:rFonts w:eastAsia="仿宋_GB2312"/>
                <w:kern w:val="0"/>
                <w:sz w:val="18"/>
                <w:szCs w:val="18"/>
              </w:rPr>
            </w:pPr>
          </w:p>
        </w:tc>
        <w:tc>
          <w:tcPr>
            <w:tcW w:w="1000" w:type="dxa"/>
            <w:vMerge w:val="restart"/>
            <w:shd w:val="clear" w:color="auto" w:fill="FFFFFF"/>
            <w:vAlign w:val="center"/>
          </w:tcPr>
          <w:p w14:paraId="70FEB0F4">
            <w:pPr>
              <w:widowControl/>
              <w:spacing w:line="0" w:lineRule="atLeast"/>
              <w:jc w:val="center"/>
              <w:rPr>
                <w:rFonts w:eastAsia="仿宋_GB2312"/>
                <w:kern w:val="0"/>
                <w:sz w:val="18"/>
                <w:szCs w:val="18"/>
              </w:rPr>
            </w:pPr>
            <w:r>
              <w:rPr>
                <w:rFonts w:eastAsia="仿宋_GB2312"/>
                <w:kern w:val="0"/>
                <w:sz w:val="18"/>
                <w:szCs w:val="18"/>
              </w:rPr>
              <w:t>组织实施</w:t>
            </w:r>
          </w:p>
          <w:p w14:paraId="75D76963">
            <w:pPr>
              <w:spacing w:line="0" w:lineRule="atLeast"/>
              <w:jc w:val="center"/>
              <w:rPr>
                <w:rFonts w:eastAsia="仿宋_GB2312"/>
                <w:kern w:val="0"/>
                <w:sz w:val="18"/>
                <w:szCs w:val="18"/>
              </w:rPr>
            </w:pPr>
            <w:r>
              <w:rPr>
                <w:rFonts w:eastAsia="仿宋_GB2312"/>
                <w:kern w:val="0"/>
                <w:sz w:val="18"/>
                <w:szCs w:val="18"/>
              </w:rPr>
              <w:t>　</w:t>
            </w:r>
          </w:p>
        </w:tc>
        <w:tc>
          <w:tcPr>
            <w:tcW w:w="1071" w:type="dxa"/>
            <w:shd w:val="clear" w:color="auto" w:fill="FFFFFF"/>
            <w:vAlign w:val="center"/>
          </w:tcPr>
          <w:p w14:paraId="63F2F8C5">
            <w:pPr>
              <w:widowControl/>
              <w:spacing w:line="0" w:lineRule="atLeast"/>
              <w:jc w:val="center"/>
              <w:rPr>
                <w:rFonts w:eastAsia="仿宋_GB2312"/>
                <w:kern w:val="0"/>
                <w:sz w:val="18"/>
                <w:szCs w:val="18"/>
              </w:rPr>
            </w:pPr>
            <w:r>
              <w:rPr>
                <w:rFonts w:eastAsia="仿宋_GB2312"/>
                <w:kern w:val="0"/>
                <w:sz w:val="18"/>
                <w:szCs w:val="18"/>
              </w:rPr>
              <w:t>管理制度</w:t>
            </w:r>
          </w:p>
          <w:p w14:paraId="7B3E7681">
            <w:pPr>
              <w:widowControl/>
              <w:spacing w:line="0" w:lineRule="atLeast"/>
              <w:jc w:val="center"/>
              <w:rPr>
                <w:rFonts w:eastAsia="仿宋_GB2312"/>
                <w:kern w:val="0"/>
                <w:sz w:val="18"/>
                <w:szCs w:val="18"/>
              </w:rPr>
            </w:pPr>
            <w:r>
              <w:rPr>
                <w:rFonts w:eastAsia="仿宋_GB2312"/>
                <w:kern w:val="0"/>
                <w:sz w:val="18"/>
                <w:szCs w:val="18"/>
              </w:rPr>
              <w:t>健全性</w:t>
            </w:r>
          </w:p>
        </w:tc>
        <w:tc>
          <w:tcPr>
            <w:tcW w:w="1725" w:type="dxa"/>
            <w:shd w:val="clear" w:color="000000" w:fill="FFFFFF"/>
            <w:vAlign w:val="center"/>
          </w:tcPr>
          <w:p w14:paraId="26552402">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2B531EFE">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①是否已制定或具有相应的财务和业务管理制度；</w:t>
            </w:r>
            <w:r>
              <w:rPr>
                <w:rFonts w:eastAsia="仿宋_GB2312"/>
                <w:kern w:val="0"/>
                <w:sz w:val="18"/>
                <w:szCs w:val="18"/>
              </w:rPr>
              <w:br w:type="textWrapping"/>
            </w:r>
            <w:r>
              <w:rPr>
                <w:rFonts w:eastAsia="仿宋_GB2312"/>
                <w:kern w:val="0"/>
                <w:sz w:val="18"/>
                <w:szCs w:val="18"/>
              </w:rPr>
              <w:t>②财务和业务管理制度是否合法、合规、完整。</w:t>
            </w:r>
          </w:p>
        </w:tc>
        <w:tc>
          <w:tcPr>
            <w:tcW w:w="1304" w:type="dxa"/>
            <w:shd w:val="clear" w:color="000000" w:fill="FFFFFF"/>
            <w:vAlign w:val="center"/>
          </w:tcPr>
          <w:p w14:paraId="2ED8CDF1">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4E615DF5">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0C54A8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2" w:type="dxa"/>
            <w:vMerge w:val="continue"/>
            <w:shd w:val="clear" w:color="auto" w:fill="FFFFFF"/>
            <w:vAlign w:val="center"/>
          </w:tcPr>
          <w:p w14:paraId="2741DE4A">
            <w:pPr>
              <w:widowControl/>
              <w:spacing w:line="0" w:lineRule="atLeast"/>
              <w:jc w:val="center"/>
              <w:rPr>
                <w:rFonts w:eastAsia="仿宋_GB2312"/>
                <w:kern w:val="0"/>
                <w:sz w:val="18"/>
                <w:szCs w:val="18"/>
              </w:rPr>
            </w:pPr>
          </w:p>
        </w:tc>
        <w:tc>
          <w:tcPr>
            <w:tcW w:w="1000" w:type="dxa"/>
            <w:vMerge w:val="continue"/>
            <w:shd w:val="clear" w:color="auto" w:fill="FFFFFF"/>
            <w:vAlign w:val="center"/>
          </w:tcPr>
          <w:p w14:paraId="24F97BAD">
            <w:pPr>
              <w:widowControl/>
              <w:spacing w:line="0" w:lineRule="atLeast"/>
              <w:jc w:val="center"/>
              <w:rPr>
                <w:rFonts w:eastAsia="仿宋_GB2312"/>
                <w:kern w:val="0"/>
                <w:sz w:val="18"/>
                <w:szCs w:val="18"/>
              </w:rPr>
            </w:pPr>
          </w:p>
        </w:tc>
        <w:tc>
          <w:tcPr>
            <w:tcW w:w="1071" w:type="dxa"/>
            <w:shd w:val="clear" w:color="auto" w:fill="FFFFFF"/>
            <w:vAlign w:val="center"/>
          </w:tcPr>
          <w:p w14:paraId="120A5792">
            <w:pPr>
              <w:widowControl/>
              <w:spacing w:line="0" w:lineRule="atLeast"/>
              <w:jc w:val="center"/>
              <w:rPr>
                <w:rFonts w:eastAsia="仿宋_GB2312"/>
                <w:kern w:val="0"/>
                <w:sz w:val="18"/>
                <w:szCs w:val="18"/>
              </w:rPr>
            </w:pPr>
            <w:r>
              <w:rPr>
                <w:rFonts w:eastAsia="仿宋_GB2312"/>
                <w:kern w:val="0"/>
                <w:sz w:val="18"/>
                <w:szCs w:val="18"/>
              </w:rPr>
              <w:t>制度执行</w:t>
            </w:r>
          </w:p>
          <w:p w14:paraId="31CE2699">
            <w:pPr>
              <w:widowControl/>
              <w:spacing w:line="0" w:lineRule="atLeast"/>
              <w:jc w:val="center"/>
              <w:rPr>
                <w:rFonts w:eastAsia="仿宋_GB2312"/>
                <w:kern w:val="0"/>
                <w:sz w:val="18"/>
                <w:szCs w:val="18"/>
              </w:rPr>
            </w:pPr>
            <w:r>
              <w:rPr>
                <w:rFonts w:eastAsia="仿宋_GB2312"/>
                <w:kern w:val="0"/>
                <w:sz w:val="18"/>
                <w:szCs w:val="18"/>
              </w:rPr>
              <w:t>有效性</w:t>
            </w:r>
          </w:p>
        </w:tc>
        <w:tc>
          <w:tcPr>
            <w:tcW w:w="1725" w:type="dxa"/>
            <w:shd w:val="clear" w:color="000000" w:fill="FFFFFF"/>
            <w:vAlign w:val="center"/>
          </w:tcPr>
          <w:p w14:paraId="4CAB9C04">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5216" w:type="dxa"/>
            <w:shd w:val="clear" w:color="000000" w:fill="FFFFFF"/>
            <w:vAlign w:val="center"/>
          </w:tcPr>
          <w:p w14:paraId="6E8D1686">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①是否遵守相关法律法规和相关管理规定；</w:t>
            </w:r>
            <w:r>
              <w:rPr>
                <w:rFonts w:eastAsia="仿宋_GB2312"/>
                <w:kern w:val="0"/>
                <w:sz w:val="18"/>
                <w:szCs w:val="18"/>
              </w:rPr>
              <w:br w:type="textWrapping"/>
            </w:r>
            <w:r>
              <w:rPr>
                <w:rFonts w:eastAsia="仿宋_GB2312"/>
                <w:kern w:val="0"/>
                <w:sz w:val="18"/>
                <w:szCs w:val="18"/>
              </w:rPr>
              <w:t>②项目调整及支出调整手续是否完备；</w:t>
            </w:r>
            <w:r>
              <w:rPr>
                <w:rFonts w:eastAsia="仿宋_GB2312"/>
                <w:kern w:val="0"/>
                <w:sz w:val="18"/>
                <w:szCs w:val="18"/>
              </w:rPr>
              <w:br w:type="textWrapping"/>
            </w:r>
            <w:r>
              <w:rPr>
                <w:rFonts w:eastAsia="仿宋_GB2312"/>
                <w:kern w:val="0"/>
                <w:sz w:val="18"/>
                <w:szCs w:val="18"/>
              </w:rPr>
              <w:t>③项目合同书、验收报告、技术鉴定等资料是否齐全并及时归档；</w:t>
            </w:r>
            <w:r>
              <w:rPr>
                <w:rFonts w:eastAsia="仿宋_GB2312"/>
                <w:kern w:val="0"/>
                <w:sz w:val="18"/>
                <w:szCs w:val="18"/>
              </w:rPr>
              <w:br w:type="textWrapping"/>
            </w:r>
            <w:r>
              <w:rPr>
                <w:rFonts w:eastAsia="仿宋_GB2312"/>
                <w:kern w:val="0"/>
                <w:sz w:val="18"/>
                <w:szCs w:val="18"/>
              </w:rPr>
              <w:t>④项目实施的人员条件、场地设备、信息支撑等是否落实到位。</w:t>
            </w:r>
          </w:p>
        </w:tc>
        <w:tc>
          <w:tcPr>
            <w:tcW w:w="1304" w:type="dxa"/>
            <w:shd w:val="clear" w:color="000000" w:fill="FFFFFF"/>
            <w:vAlign w:val="center"/>
          </w:tcPr>
          <w:p w14:paraId="35A6010D">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3C8318A1">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77FC9C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2" w:type="dxa"/>
            <w:vMerge w:val="restart"/>
            <w:shd w:val="clear" w:color="auto" w:fill="FFFFFF"/>
            <w:vAlign w:val="center"/>
          </w:tcPr>
          <w:p w14:paraId="26C603A6">
            <w:pPr>
              <w:widowControl/>
              <w:spacing w:line="0" w:lineRule="atLeast"/>
              <w:jc w:val="center"/>
              <w:rPr>
                <w:rFonts w:eastAsia="仿宋_GB2312"/>
                <w:kern w:val="0"/>
                <w:sz w:val="18"/>
                <w:szCs w:val="18"/>
              </w:rPr>
            </w:pPr>
            <w:r>
              <w:rPr>
                <w:rFonts w:eastAsia="仿宋_GB2312"/>
                <w:kern w:val="0"/>
                <w:sz w:val="18"/>
                <w:szCs w:val="18"/>
              </w:rPr>
              <w:t>产出</w:t>
            </w:r>
          </w:p>
        </w:tc>
        <w:tc>
          <w:tcPr>
            <w:tcW w:w="1000" w:type="dxa"/>
            <w:shd w:val="clear" w:color="auto" w:fill="FFFFFF"/>
            <w:vAlign w:val="center"/>
          </w:tcPr>
          <w:p w14:paraId="1586BD97">
            <w:pPr>
              <w:widowControl/>
              <w:spacing w:line="0" w:lineRule="atLeast"/>
              <w:jc w:val="center"/>
              <w:rPr>
                <w:rFonts w:eastAsia="仿宋_GB2312"/>
                <w:kern w:val="0"/>
                <w:sz w:val="18"/>
                <w:szCs w:val="18"/>
              </w:rPr>
            </w:pPr>
            <w:r>
              <w:rPr>
                <w:rFonts w:eastAsia="仿宋_GB2312"/>
                <w:kern w:val="0"/>
                <w:sz w:val="18"/>
                <w:szCs w:val="18"/>
              </w:rPr>
              <w:t>产出数量</w:t>
            </w:r>
          </w:p>
        </w:tc>
        <w:tc>
          <w:tcPr>
            <w:tcW w:w="1071" w:type="dxa"/>
            <w:shd w:val="clear" w:color="auto" w:fill="FFFFFF"/>
            <w:vAlign w:val="center"/>
          </w:tcPr>
          <w:p w14:paraId="6D240BDD">
            <w:pPr>
              <w:widowControl/>
              <w:spacing w:line="0" w:lineRule="atLeast"/>
              <w:jc w:val="center"/>
              <w:rPr>
                <w:rFonts w:eastAsia="仿宋_GB2312"/>
                <w:kern w:val="0"/>
                <w:sz w:val="18"/>
                <w:szCs w:val="18"/>
              </w:rPr>
            </w:pPr>
            <w:r>
              <w:rPr>
                <w:rFonts w:eastAsia="仿宋_GB2312"/>
                <w:kern w:val="0"/>
                <w:sz w:val="18"/>
                <w:szCs w:val="18"/>
              </w:rPr>
              <w:t>实际完成率</w:t>
            </w:r>
          </w:p>
        </w:tc>
        <w:tc>
          <w:tcPr>
            <w:tcW w:w="1725" w:type="dxa"/>
            <w:shd w:val="clear" w:color="000000" w:fill="FFFFFF"/>
            <w:vAlign w:val="center"/>
          </w:tcPr>
          <w:p w14:paraId="1AE81E77">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55E57466">
            <w:pPr>
              <w:widowControl/>
              <w:spacing w:line="0" w:lineRule="atLeast"/>
              <w:rPr>
                <w:rFonts w:eastAsia="仿宋_GB2312"/>
                <w:kern w:val="0"/>
                <w:sz w:val="18"/>
                <w:szCs w:val="18"/>
              </w:rPr>
            </w:pPr>
            <w:r>
              <w:rPr>
                <w:rFonts w:eastAsia="仿宋_GB2312"/>
                <w:kern w:val="0"/>
                <w:sz w:val="18"/>
                <w:szCs w:val="18"/>
              </w:rPr>
              <w:t>实际完成率=（实际产出数/计划产出数）×100%。</w:t>
            </w:r>
            <w:r>
              <w:rPr>
                <w:rFonts w:eastAsia="仿宋_GB2312"/>
                <w:kern w:val="0"/>
                <w:sz w:val="18"/>
                <w:szCs w:val="18"/>
              </w:rPr>
              <w:br w:type="textWrapping"/>
            </w:r>
            <w:r>
              <w:rPr>
                <w:rFonts w:eastAsia="仿宋_GB2312"/>
                <w:kern w:val="0"/>
                <w:sz w:val="18"/>
                <w:szCs w:val="18"/>
              </w:rPr>
              <w:t>实际产出数：一定时期（本年度或项目期）内项目实际产出的产品或提供的服务数量。</w:t>
            </w:r>
            <w:r>
              <w:rPr>
                <w:rFonts w:eastAsia="仿宋_GB2312"/>
                <w:kern w:val="0"/>
                <w:sz w:val="18"/>
                <w:szCs w:val="18"/>
              </w:rPr>
              <w:br w:type="textWrapping"/>
            </w:r>
            <w:r>
              <w:rPr>
                <w:rFonts w:eastAsia="仿宋_GB2312"/>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5EAF5D98">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08A689AE">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7B2D6D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1002" w:type="dxa"/>
            <w:vMerge w:val="continue"/>
            <w:shd w:val="clear" w:color="auto" w:fill="FFFFFF"/>
            <w:vAlign w:val="center"/>
          </w:tcPr>
          <w:p w14:paraId="310E7383">
            <w:pPr>
              <w:widowControl/>
              <w:spacing w:line="0" w:lineRule="atLeast"/>
              <w:jc w:val="center"/>
              <w:rPr>
                <w:rFonts w:eastAsia="仿宋_GB2312"/>
                <w:kern w:val="0"/>
                <w:sz w:val="18"/>
                <w:szCs w:val="18"/>
              </w:rPr>
            </w:pPr>
          </w:p>
        </w:tc>
        <w:tc>
          <w:tcPr>
            <w:tcW w:w="1000" w:type="dxa"/>
            <w:shd w:val="clear" w:color="auto" w:fill="FFFFFF"/>
            <w:vAlign w:val="center"/>
          </w:tcPr>
          <w:p w14:paraId="12723B8A">
            <w:pPr>
              <w:widowControl/>
              <w:spacing w:line="0" w:lineRule="atLeast"/>
              <w:jc w:val="center"/>
              <w:rPr>
                <w:rFonts w:eastAsia="仿宋_GB2312"/>
                <w:kern w:val="0"/>
                <w:sz w:val="18"/>
                <w:szCs w:val="18"/>
              </w:rPr>
            </w:pPr>
            <w:r>
              <w:rPr>
                <w:rFonts w:eastAsia="仿宋_GB2312"/>
                <w:kern w:val="0"/>
                <w:sz w:val="18"/>
                <w:szCs w:val="18"/>
              </w:rPr>
              <w:t>产出质量</w:t>
            </w:r>
          </w:p>
        </w:tc>
        <w:tc>
          <w:tcPr>
            <w:tcW w:w="1071" w:type="dxa"/>
            <w:shd w:val="clear" w:color="auto" w:fill="FFFFFF"/>
            <w:vAlign w:val="center"/>
          </w:tcPr>
          <w:p w14:paraId="4362D388">
            <w:pPr>
              <w:widowControl/>
              <w:spacing w:line="0" w:lineRule="atLeast"/>
              <w:jc w:val="center"/>
              <w:rPr>
                <w:rFonts w:eastAsia="仿宋_GB2312"/>
                <w:kern w:val="0"/>
                <w:sz w:val="18"/>
                <w:szCs w:val="18"/>
              </w:rPr>
            </w:pPr>
            <w:r>
              <w:rPr>
                <w:rFonts w:eastAsia="仿宋_GB2312"/>
                <w:kern w:val="0"/>
                <w:sz w:val="18"/>
                <w:szCs w:val="18"/>
              </w:rPr>
              <w:t>质量达标率</w:t>
            </w:r>
          </w:p>
        </w:tc>
        <w:tc>
          <w:tcPr>
            <w:tcW w:w="1725" w:type="dxa"/>
            <w:shd w:val="clear" w:color="000000" w:fill="FFFFFF"/>
            <w:vAlign w:val="center"/>
          </w:tcPr>
          <w:p w14:paraId="4159DD4D">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2F8BA518">
            <w:pPr>
              <w:widowControl/>
              <w:spacing w:line="0" w:lineRule="atLeast"/>
              <w:rPr>
                <w:rFonts w:eastAsia="仿宋_GB2312"/>
                <w:kern w:val="0"/>
                <w:sz w:val="18"/>
                <w:szCs w:val="18"/>
              </w:rPr>
            </w:pPr>
            <w:r>
              <w:rPr>
                <w:rFonts w:eastAsia="仿宋_GB2312"/>
                <w:kern w:val="0"/>
                <w:sz w:val="18"/>
                <w:szCs w:val="18"/>
              </w:rPr>
              <w:t>质量达标率=（质量达标产出数/实际产出数）×100%。</w:t>
            </w:r>
          </w:p>
          <w:p w14:paraId="1B49668F">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69F03172">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3EA5D6C7">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7E6259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2" w:type="dxa"/>
            <w:vMerge w:val="continue"/>
            <w:shd w:val="clear" w:color="auto" w:fill="FFFFFF"/>
            <w:vAlign w:val="center"/>
          </w:tcPr>
          <w:p w14:paraId="18CEC635">
            <w:pPr>
              <w:spacing w:line="0" w:lineRule="atLeast"/>
              <w:jc w:val="center"/>
              <w:rPr>
                <w:rFonts w:eastAsia="仿宋_GB2312"/>
                <w:kern w:val="0"/>
                <w:sz w:val="18"/>
                <w:szCs w:val="18"/>
              </w:rPr>
            </w:pPr>
          </w:p>
        </w:tc>
        <w:tc>
          <w:tcPr>
            <w:tcW w:w="1000" w:type="dxa"/>
            <w:shd w:val="clear" w:color="auto" w:fill="FFFFFF"/>
            <w:vAlign w:val="center"/>
          </w:tcPr>
          <w:p w14:paraId="4F9698B9">
            <w:pPr>
              <w:spacing w:line="0" w:lineRule="atLeast"/>
              <w:jc w:val="center"/>
              <w:rPr>
                <w:rFonts w:eastAsia="仿宋_GB2312"/>
                <w:kern w:val="0"/>
                <w:sz w:val="18"/>
                <w:szCs w:val="18"/>
              </w:rPr>
            </w:pPr>
            <w:r>
              <w:rPr>
                <w:rFonts w:eastAsia="仿宋_GB2312"/>
                <w:kern w:val="0"/>
                <w:sz w:val="18"/>
                <w:szCs w:val="18"/>
              </w:rPr>
              <w:t>产出时效</w:t>
            </w:r>
          </w:p>
        </w:tc>
        <w:tc>
          <w:tcPr>
            <w:tcW w:w="1071" w:type="dxa"/>
            <w:shd w:val="clear" w:color="auto" w:fill="FFFFFF"/>
            <w:vAlign w:val="center"/>
          </w:tcPr>
          <w:p w14:paraId="5F6DD742">
            <w:pPr>
              <w:widowControl/>
              <w:spacing w:line="0" w:lineRule="atLeast"/>
              <w:jc w:val="center"/>
              <w:rPr>
                <w:rFonts w:eastAsia="仿宋_GB2312"/>
                <w:kern w:val="0"/>
                <w:sz w:val="18"/>
                <w:szCs w:val="18"/>
              </w:rPr>
            </w:pPr>
            <w:r>
              <w:rPr>
                <w:rFonts w:eastAsia="仿宋_GB2312"/>
                <w:kern w:val="0"/>
                <w:sz w:val="18"/>
                <w:szCs w:val="18"/>
              </w:rPr>
              <w:t>完成及时性</w:t>
            </w:r>
          </w:p>
        </w:tc>
        <w:tc>
          <w:tcPr>
            <w:tcW w:w="1725" w:type="dxa"/>
            <w:shd w:val="clear" w:color="000000" w:fill="FFFFFF"/>
            <w:vAlign w:val="center"/>
          </w:tcPr>
          <w:p w14:paraId="13E7E7F4">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5216" w:type="dxa"/>
            <w:shd w:val="clear" w:color="000000" w:fill="FFFFFF"/>
            <w:vAlign w:val="center"/>
          </w:tcPr>
          <w:p w14:paraId="42BA4179">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type="textWrapping"/>
            </w:r>
            <w:r>
              <w:rPr>
                <w:rFonts w:eastAsia="仿宋_GB2312"/>
                <w:kern w:val="0"/>
                <w:sz w:val="18"/>
                <w:szCs w:val="18"/>
              </w:rPr>
              <w:t>计划完成时间：按照项目实施计划或相关规定完成该项目所需的时间。</w:t>
            </w:r>
          </w:p>
        </w:tc>
        <w:tc>
          <w:tcPr>
            <w:tcW w:w="1304" w:type="dxa"/>
            <w:shd w:val="clear" w:color="000000" w:fill="FFFFFF"/>
            <w:vAlign w:val="center"/>
          </w:tcPr>
          <w:p w14:paraId="7E6EA3E2">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759208A3">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60BA28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1DFDB56A">
            <w:pPr>
              <w:widowControl/>
              <w:spacing w:line="0" w:lineRule="atLeast"/>
              <w:jc w:val="center"/>
              <w:rPr>
                <w:rFonts w:eastAsia="仿宋_GB2312"/>
                <w:kern w:val="0"/>
                <w:sz w:val="18"/>
                <w:szCs w:val="18"/>
              </w:rPr>
            </w:pPr>
          </w:p>
        </w:tc>
        <w:tc>
          <w:tcPr>
            <w:tcW w:w="1000" w:type="dxa"/>
            <w:shd w:val="clear" w:color="auto" w:fill="FFFFFF"/>
            <w:vAlign w:val="center"/>
          </w:tcPr>
          <w:p w14:paraId="29255796">
            <w:pPr>
              <w:widowControl/>
              <w:spacing w:line="0" w:lineRule="atLeast"/>
              <w:jc w:val="center"/>
              <w:rPr>
                <w:rFonts w:eastAsia="仿宋_GB2312"/>
                <w:kern w:val="0"/>
                <w:sz w:val="18"/>
                <w:szCs w:val="18"/>
              </w:rPr>
            </w:pPr>
            <w:r>
              <w:rPr>
                <w:rFonts w:eastAsia="仿宋_GB2312"/>
                <w:kern w:val="0"/>
                <w:sz w:val="18"/>
                <w:szCs w:val="18"/>
              </w:rPr>
              <w:t>产出成本</w:t>
            </w:r>
          </w:p>
        </w:tc>
        <w:tc>
          <w:tcPr>
            <w:tcW w:w="1071" w:type="dxa"/>
            <w:shd w:val="clear" w:color="auto" w:fill="FFFFFF"/>
            <w:vAlign w:val="center"/>
          </w:tcPr>
          <w:p w14:paraId="189DD230">
            <w:pPr>
              <w:widowControl/>
              <w:spacing w:line="0" w:lineRule="atLeast"/>
              <w:jc w:val="center"/>
              <w:rPr>
                <w:rFonts w:eastAsia="仿宋_GB2312"/>
                <w:kern w:val="0"/>
                <w:sz w:val="18"/>
                <w:szCs w:val="18"/>
              </w:rPr>
            </w:pPr>
            <w:r>
              <w:rPr>
                <w:rFonts w:eastAsia="仿宋_GB2312"/>
                <w:kern w:val="0"/>
                <w:sz w:val="18"/>
                <w:szCs w:val="18"/>
              </w:rPr>
              <w:t>成本节约率</w:t>
            </w:r>
          </w:p>
        </w:tc>
        <w:tc>
          <w:tcPr>
            <w:tcW w:w="1725" w:type="dxa"/>
            <w:shd w:val="clear" w:color="000000" w:fill="FFFFFF"/>
            <w:vAlign w:val="center"/>
          </w:tcPr>
          <w:p w14:paraId="799533DB">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6BF35024">
            <w:pPr>
              <w:widowControl/>
              <w:spacing w:line="0" w:lineRule="atLeast"/>
              <w:rPr>
                <w:rFonts w:eastAsia="仿宋_GB2312"/>
                <w:kern w:val="0"/>
                <w:sz w:val="18"/>
                <w:szCs w:val="18"/>
              </w:rPr>
            </w:pPr>
            <w:r>
              <w:rPr>
                <w:rFonts w:eastAsia="仿宋_GB2312"/>
                <w:kern w:val="0"/>
                <w:sz w:val="18"/>
                <w:szCs w:val="18"/>
              </w:rPr>
              <w:br w:type="textWrapping"/>
            </w:r>
            <w:r>
              <w:rPr>
                <w:rFonts w:eastAsia="仿宋_GB2312"/>
                <w:kern w:val="0"/>
                <w:sz w:val="18"/>
                <w:szCs w:val="18"/>
              </w:rPr>
              <w:t>成本节约率=[（计划成本-实际成本）/计划成本]×100%。</w:t>
            </w:r>
            <w:r>
              <w:rPr>
                <w:rFonts w:eastAsia="仿宋_GB2312"/>
                <w:kern w:val="0"/>
                <w:sz w:val="18"/>
                <w:szCs w:val="18"/>
              </w:rPr>
              <w:br w:type="textWrapping"/>
            </w:r>
            <w:r>
              <w:rPr>
                <w:rFonts w:eastAsia="仿宋_GB2312"/>
                <w:kern w:val="0"/>
                <w:sz w:val="18"/>
                <w:szCs w:val="18"/>
              </w:rPr>
              <w:t>实际成本：项目实施单位如期、保质、保量完成既定工作目标实际所耗费的支出。</w:t>
            </w:r>
            <w:r>
              <w:rPr>
                <w:rFonts w:eastAsia="仿宋_GB2312"/>
                <w:kern w:val="0"/>
                <w:sz w:val="18"/>
                <w:szCs w:val="18"/>
              </w:rPr>
              <w:br w:type="textWrapping"/>
            </w:r>
            <w:r>
              <w:rPr>
                <w:rFonts w:eastAsia="仿宋_GB2312"/>
                <w:kern w:val="0"/>
                <w:sz w:val="18"/>
                <w:szCs w:val="18"/>
              </w:rPr>
              <w:t>计划成本：项目实施单位为完成工作目标计划安排的支出，一般以项目预算为参考。</w:t>
            </w:r>
          </w:p>
        </w:tc>
        <w:tc>
          <w:tcPr>
            <w:tcW w:w="1304" w:type="dxa"/>
            <w:shd w:val="clear" w:color="000000" w:fill="FFFFFF"/>
            <w:vAlign w:val="center"/>
          </w:tcPr>
          <w:p w14:paraId="70567162">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3F48A3A1">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63B4E7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2" w:type="dxa"/>
            <w:vMerge w:val="restart"/>
            <w:shd w:val="clear" w:color="auto" w:fill="FFFFFF"/>
            <w:vAlign w:val="center"/>
          </w:tcPr>
          <w:p w14:paraId="609EC539">
            <w:pPr>
              <w:widowControl/>
              <w:spacing w:line="0" w:lineRule="atLeast"/>
              <w:jc w:val="center"/>
              <w:rPr>
                <w:rFonts w:eastAsia="仿宋_GB2312"/>
                <w:kern w:val="0"/>
                <w:sz w:val="18"/>
                <w:szCs w:val="18"/>
              </w:rPr>
            </w:pPr>
            <w:r>
              <w:rPr>
                <w:rFonts w:eastAsia="仿宋_GB2312"/>
                <w:kern w:val="0"/>
                <w:sz w:val="18"/>
                <w:szCs w:val="18"/>
              </w:rPr>
              <w:t>效益　</w:t>
            </w:r>
          </w:p>
        </w:tc>
        <w:tc>
          <w:tcPr>
            <w:tcW w:w="1000" w:type="dxa"/>
            <w:vMerge w:val="restart"/>
            <w:shd w:val="clear" w:color="auto" w:fill="FFFFFF"/>
            <w:vAlign w:val="center"/>
          </w:tcPr>
          <w:p w14:paraId="46010162">
            <w:pPr>
              <w:widowControl/>
              <w:spacing w:line="0" w:lineRule="atLeast"/>
              <w:jc w:val="center"/>
              <w:rPr>
                <w:rFonts w:eastAsia="仿宋_GB2312"/>
                <w:kern w:val="0"/>
                <w:sz w:val="18"/>
                <w:szCs w:val="18"/>
              </w:rPr>
            </w:pPr>
            <w:r>
              <w:rPr>
                <w:rFonts w:eastAsia="仿宋_GB2312"/>
                <w:kern w:val="0"/>
                <w:sz w:val="18"/>
                <w:szCs w:val="18"/>
              </w:rPr>
              <w:t>项目效益　</w:t>
            </w:r>
          </w:p>
        </w:tc>
        <w:tc>
          <w:tcPr>
            <w:tcW w:w="1071" w:type="dxa"/>
            <w:shd w:val="clear" w:color="auto" w:fill="FFFFFF"/>
            <w:vAlign w:val="center"/>
          </w:tcPr>
          <w:p w14:paraId="2F9EF919">
            <w:pPr>
              <w:widowControl/>
              <w:spacing w:line="0" w:lineRule="atLeast"/>
              <w:jc w:val="center"/>
              <w:rPr>
                <w:rFonts w:eastAsia="仿宋_GB2312"/>
                <w:kern w:val="0"/>
                <w:sz w:val="18"/>
                <w:szCs w:val="18"/>
              </w:rPr>
            </w:pPr>
            <w:r>
              <w:rPr>
                <w:rFonts w:eastAsia="仿宋_GB2312"/>
                <w:kern w:val="0"/>
                <w:sz w:val="18"/>
                <w:szCs w:val="18"/>
              </w:rPr>
              <w:t>实施效益</w:t>
            </w:r>
          </w:p>
        </w:tc>
        <w:tc>
          <w:tcPr>
            <w:tcW w:w="1725" w:type="dxa"/>
            <w:shd w:val="clear" w:color="auto" w:fill="FFFFFF"/>
            <w:vAlign w:val="center"/>
          </w:tcPr>
          <w:p w14:paraId="00C70E86">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5216" w:type="dxa"/>
            <w:shd w:val="clear" w:color="auto" w:fill="FFFFFF"/>
            <w:vAlign w:val="center"/>
          </w:tcPr>
          <w:p w14:paraId="6F84E75E">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58AD064C">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auto" w:fill="FFFFFF"/>
            <w:vAlign w:val="center"/>
          </w:tcPr>
          <w:p w14:paraId="00D76E73">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7B5BEE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2" w:type="dxa"/>
            <w:vMerge w:val="continue"/>
            <w:shd w:val="clear" w:color="auto" w:fill="FFFFFF"/>
            <w:vAlign w:val="center"/>
          </w:tcPr>
          <w:p w14:paraId="2E195CCC">
            <w:pPr>
              <w:widowControl/>
              <w:spacing w:line="0" w:lineRule="atLeast"/>
              <w:jc w:val="center"/>
              <w:rPr>
                <w:rFonts w:eastAsia="仿宋_GB2312"/>
                <w:kern w:val="0"/>
                <w:sz w:val="18"/>
                <w:szCs w:val="18"/>
              </w:rPr>
            </w:pPr>
          </w:p>
        </w:tc>
        <w:tc>
          <w:tcPr>
            <w:tcW w:w="1000" w:type="dxa"/>
            <w:vMerge w:val="continue"/>
            <w:shd w:val="clear" w:color="auto" w:fill="FFFFFF"/>
            <w:vAlign w:val="center"/>
          </w:tcPr>
          <w:p w14:paraId="1E09C06C">
            <w:pPr>
              <w:widowControl/>
              <w:spacing w:line="0" w:lineRule="atLeast"/>
              <w:jc w:val="center"/>
              <w:rPr>
                <w:rFonts w:eastAsia="仿宋_GB2312"/>
                <w:kern w:val="0"/>
                <w:sz w:val="18"/>
                <w:szCs w:val="18"/>
              </w:rPr>
            </w:pPr>
          </w:p>
        </w:tc>
        <w:tc>
          <w:tcPr>
            <w:tcW w:w="1071" w:type="dxa"/>
            <w:shd w:val="clear" w:color="auto" w:fill="FFFFFF"/>
            <w:vAlign w:val="center"/>
          </w:tcPr>
          <w:p w14:paraId="7727BF8E">
            <w:pPr>
              <w:widowControl/>
              <w:spacing w:line="0" w:lineRule="atLeast"/>
              <w:jc w:val="center"/>
              <w:rPr>
                <w:rFonts w:eastAsia="仿宋_GB2312"/>
                <w:kern w:val="0"/>
                <w:sz w:val="18"/>
                <w:szCs w:val="18"/>
              </w:rPr>
            </w:pPr>
            <w:r>
              <w:rPr>
                <w:rFonts w:eastAsia="仿宋_GB2312"/>
                <w:kern w:val="0"/>
                <w:sz w:val="18"/>
                <w:szCs w:val="18"/>
              </w:rPr>
              <w:t>满意度</w:t>
            </w:r>
          </w:p>
        </w:tc>
        <w:tc>
          <w:tcPr>
            <w:tcW w:w="1725" w:type="dxa"/>
            <w:shd w:val="clear" w:color="000000" w:fill="FFFFFF"/>
            <w:vAlign w:val="center"/>
          </w:tcPr>
          <w:p w14:paraId="4AECA000">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5216" w:type="dxa"/>
            <w:shd w:val="clear" w:color="000000" w:fill="FFFFFF"/>
            <w:vAlign w:val="center"/>
          </w:tcPr>
          <w:p w14:paraId="72C2EBC0">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3ADB1717">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0211AE64">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79428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10019" w:type="dxa"/>
            <w:gridSpan w:val="5"/>
            <w:shd w:val="clear" w:color="auto" w:fill="FFFFFF"/>
            <w:vAlign w:val="center"/>
          </w:tcPr>
          <w:p w14:paraId="10D672A4">
            <w:pPr>
              <w:widowControl/>
              <w:spacing w:line="0" w:lineRule="atLeast"/>
              <w:jc w:val="center"/>
              <w:rPr>
                <w:rFonts w:eastAsia="仿宋_GB2312"/>
                <w:b/>
                <w:bCs/>
                <w:kern w:val="0"/>
                <w:sz w:val="18"/>
                <w:szCs w:val="18"/>
              </w:rPr>
            </w:pPr>
            <w:r>
              <w:rPr>
                <w:rFonts w:hint="eastAsia" w:eastAsia="仿宋_GB2312"/>
                <w:b/>
                <w:bCs/>
                <w:kern w:val="0"/>
                <w:sz w:val="18"/>
                <w:szCs w:val="18"/>
              </w:rPr>
              <w:t>合计</w:t>
            </w:r>
          </w:p>
        </w:tc>
        <w:tc>
          <w:tcPr>
            <w:tcW w:w="1299" w:type="dxa"/>
            <w:shd w:val="clear" w:color="000000" w:fill="FFFFFF"/>
            <w:vAlign w:val="center"/>
          </w:tcPr>
          <w:p w14:paraId="0DF8BA0C">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1365" w:type="dxa"/>
            <w:shd w:val="clear" w:color="000000" w:fill="FFFFFF"/>
            <w:vAlign w:val="center"/>
          </w:tcPr>
          <w:p w14:paraId="1A06283E">
            <w:pPr>
              <w:widowControl/>
              <w:spacing w:line="0" w:lineRule="atLeast"/>
              <w:jc w:val="center"/>
              <w:rPr>
                <w:rFonts w:eastAsia="仿宋_GB2312"/>
                <w:b/>
                <w:bCs/>
                <w:kern w:val="0"/>
                <w:sz w:val="18"/>
                <w:szCs w:val="18"/>
              </w:rPr>
            </w:pPr>
            <w:r>
              <w:rPr>
                <w:rFonts w:hint="eastAsia" w:eastAsia="仿宋_GB2312"/>
                <w:b/>
                <w:bCs/>
                <w:kern w:val="0"/>
                <w:sz w:val="18"/>
                <w:szCs w:val="18"/>
              </w:rPr>
              <w:t>100</w:t>
            </w:r>
          </w:p>
        </w:tc>
      </w:tr>
    </w:tbl>
    <w:p w14:paraId="08AB3936">
      <w:pPr>
        <w:sectPr>
          <w:pgSz w:w="16838" w:h="11906" w:orient="landscape"/>
          <w:pgMar w:top="1800" w:right="1440" w:bottom="1558" w:left="1440" w:header="851" w:footer="992" w:gutter="0"/>
          <w:cols w:space="425" w:num="1"/>
          <w:docGrid w:type="lines" w:linePitch="312" w:charSpace="0"/>
        </w:sectPr>
      </w:pPr>
    </w:p>
    <w:p w14:paraId="2BBE7169">
      <w:pPr>
        <w:spacing w:line="600" w:lineRule="exact"/>
        <w:rPr>
          <w:rFonts w:eastAsia="黑体"/>
          <w:sz w:val="32"/>
          <w:szCs w:val="32"/>
        </w:rPr>
      </w:pPr>
      <w:r>
        <w:rPr>
          <w:rFonts w:hint="eastAsia" w:eastAsia="黑体"/>
          <w:sz w:val="32"/>
          <w:szCs w:val="32"/>
        </w:rPr>
        <w:t>附件2</w:t>
      </w: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69"/>
        <w:gridCol w:w="1070"/>
        <w:gridCol w:w="1505"/>
        <w:gridCol w:w="1072"/>
        <w:gridCol w:w="1571"/>
        <w:gridCol w:w="2060"/>
        <w:gridCol w:w="2060"/>
        <w:gridCol w:w="396"/>
        <w:gridCol w:w="400"/>
        <w:gridCol w:w="385"/>
        <w:gridCol w:w="480"/>
        <w:gridCol w:w="703"/>
        <w:gridCol w:w="1074"/>
      </w:tblGrid>
      <w:tr w14:paraId="09D9A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vAlign w:val="center"/>
          </w:tcPr>
          <w:p w14:paraId="16F441C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5ABFB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vAlign w:val="center"/>
          </w:tcPr>
          <w:p w14:paraId="42F82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58C05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9075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vAlign w:val="center"/>
          </w:tcPr>
          <w:p w14:paraId="18F95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历年城维费项目资金</w:t>
            </w:r>
          </w:p>
        </w:tc>
      </w:tr>
      <w:tr w14:paraId="5BCB5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DA87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vAlign w:val="center"/>
          </w:tcPr>
          <w:p w14:paraId="5D25F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乌鲁木齐市沙依巴克区环卫清运队</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90F4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41747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乌鲁木齐市沙依巴克区环卫清运队</w:t>
            </w:r>
          </w:p>
        </w:tc>
      </w:tr>
      <w:tr w14:paraId="18BA6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ED8B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110B9B71">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58655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6319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09FAC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0549A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79C78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EAEB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5C37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755E768">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141B0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63475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280.25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EB06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4141B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7B698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20188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290C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4439B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5A40A92">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0B88F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50F56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280.25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9A14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31795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32E08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4A797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6DA2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4DD5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9C3C876">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610C8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33947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87BC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1D20B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5D7C2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0ECB7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2069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6121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54AA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vAlign w:val="center"/>
          </w:tcPr>
          <w:p w14:paraId="658DD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7D33F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7DEC1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FF9860">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vAlign w:val="top"/>
          </w:tcPr>
          <w:p w14:paraId="30741B8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维护辖区内部分城市道路的机械化清扫、保洁、洒水降尘作业及冬季冰雪清运作业；生活垃圾、厨余垃圾、清运工作；环卫特种设施的维修维护工作；承担突发性、临时性应急抢险任务。</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top"/>
          </w:tcPr>
          <w:p w14:paraId="3B6E446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截至2024年，垃圾转运站13座，保障环卫车辆453辆。保障了生活垃圾、厨余垃圾、清运工作，环卫特种设施的维修维护等城市运行维护的各项工作，维护了城市环境卫生，提高了居民居住幸福度。</w:t>
            </w:r>
          </w:p>
        </w:tc>
      </w:tr>
      <w:tr w14:paraId="7D234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809FEB9">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3EE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7471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07F6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CFD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2F9C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E0AD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47E4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0289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647EB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145D9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2FB24C">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CCAA8F">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98CF349">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B4DFD4">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EB3263">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8986B38">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F3EABCA">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7C0499A">
            <w:pPr>
              <w:jc w:val="center"/>
              <w:rPr>
                <w:rFonts w:hint="eastAsia" w:ascii="宋体" w:hAnsi="宋体" w:eastAsia="宋体" w:cs="宋体"/>
                <w:i w:val="0"/>
                <w:iCs w:val="0"/>
                <w:color w:val="000000"/>
                <w:sz w:val="20"/>
                <w:szCs w:val="20"/>
                <w:u w:val="none"/>
              </w:rPr>
            </w:pPr>
          </w:p>
        </w:tc>
      </w:tr>
      <w:tr w14:paraId="45C0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6A6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6D6F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C52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CDF26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转运站数量</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A624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&gt;=13座</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8293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=13座</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6FB7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A724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1C39131">
            <w:pPr>
              <w:jc w:val="center"/>
              <w:rPr>
                <w:rFonts w:hint="eastAsia" w:ascii="宋体" w:hAnsi="宋体" w:eastAsia="宋体" w:cs="宋体"/>
                <w:i w:val="0"/>
                <w:iCs w:val="0"/>
                <w:color w:val="000000"/>
                <w:sz w:val="20"/>
                <w:szCs w:val="20"/>
                <w:u w:val="none"/>
              </w:rPr>
            </w:pPr>
          </w:p>
        </w:tc>
      </w:tr>
      <w:tr w14:paraId="17D8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FD16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2D42B3">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26106B">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FEDA3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车辆数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FD16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&gt;=453辆</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DBF3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=453辆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28CE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5485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4FA1D27">
            <w:pPr>
              <w:jc w:val="center"/>
              <w:rPr>
                <w:rFonts w:hint="eastAsia" w:ascii="宋体" w:hAnsi="宋体" w:eastAsia="宋体" w:cs="宋体"/>
                <w:i w:val="0"/>
                <w:iCs w:val="0"/>
                <w:color w:val="000000"/>
                <w:sz w:val="20"/>
                <w:szCs w:val="20"/>
                <w:u w:val="none"/>
              </w:rPr>
            </w:pPr>
          </w:p>
        </w:tc>
      </w:tr>
      <w:tr w14:paraId="7B162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62CF6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1A86A4">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3E0E6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239CD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城市运行维护合格率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5DD5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A62E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FF7F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2FA1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3922B3D">
            <w:pPr>
              <w:jc w:val="center"/>
              <w:rPr>
                <w:rFonts w:hint="eastAsia" w:ascii="宋体" w:hAnsi="宋体" w:eastAsia="宋体" w:cs="宋体"/>
                <w:i w:val="0"/>
                <w:iCs w:val="0"/>
                <w:color w:val="000000"/>
                <w:sz w:val="20"/>
                <w:szCs w:val="20"/>
                <w:u w:val="none"/>
              </w:rPr>
            </w:pPr>
          </w:p>
        </w:tc>
      </w:tr>
      <w:tr w14:paraId="7EA7F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FC3D3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DB6FD0">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22FAC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51667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城市运行维护及时率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6335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54B7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F2E9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D3F7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059AE77D">
            <w:pPr>
              <w:jc w:val="center"/>
              <w:rPr>
                <w:rFonts w:hint="eastAsia" w:ascii="宋体" w:hAnsi="宋体" w:eastAsia="宋体" w:cs="宋体"/>
                <w:i w:val="0"/>
                <w:iCs w:val="0"/>
                <w:color w:val="000000"/>
                <w:sz w:val="20"/>
                <w:szCs w:val="20"/>
                <w:u w:val="none"/>
              </w:rPr>
            </w:pPr>
          </w:p>
        </w:tc>
      </w:tr>
      <w:tr w14:paraId="77C4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621175">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B53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925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719B2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城市维护运行材料费</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8489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=65万元</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CA5B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=65万元</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9930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D703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05DC253">
            <w:pPr>
              <w:jc w:val="center"/>
              <w:rPr>
                <w:rFonts w:hint="eastAsia" w:ascii="宋体" w:hAnsi="宋体" w:eastAsia="宋体" w:cs="宋体"/>
                <w:i w:val="0"/>
                <w:iCs w:val="0"/>
                <w:color w:val="000000"/>
                <w:sz w:val="20"/>
                <w:szCs w:val="20"/>
                <w:u w:val="none"/>
              </w:rPr>
            </w:pPr>
          </w:p>
        </w:tc>
      </w:tr>
      <w:tr w14:paraId="628F0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B4DF8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7AFDAD">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EA7E04">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02B68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城市维护运行维修费</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D558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=80万元</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1D8B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=80万元</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8C8A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3B440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22DF2B2">
            <w:pPr>
              <w:jc w:val="center"/>
              <w:rPr>
                <w:rFonts w:hint="eastAsia" w:ascii="宋体" w:hAnsi="宋体" w:eastAsia="宋体" w:cs="宋体"/>
                <w:i w:val="0"/>
                <w:iCs w:val="0"/>
                <w:color w:val="000000"/>
                <w:sz w:val="20"/>
                <w:szCs w:val="20"/>
                <w:u w:val="none"/>
              </w:rPr>
            </w:pPr>
          </w:p>
        </w:tc>
      </w:tr>
      <w:tr w14:paraId="2E70A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7DD20B">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653A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153CA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B5F15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城市维护运行率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6D4E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有效运行</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D1D9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958E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33919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A7E6406">
            <w:pPr>
              <w:jc w:val="center"/>
              <w:rPr>
                <w:rFonts w:hint="eastAsia" w:ascii="宋体" w:hAnsi="宋体" w:eastAsia="宋体" w:cs="宋体"/>
                <w:i w:val="0"/>
                <w:iCs w:val="0"/>
                <w:color w:val="000000"/>
                <w:sz w:val="20"/>
                <w:szCs w:val="20"/>
                <w:u w:val="none"/>
              </w:rPr>
            </w:pPr>
          </w:p>
        </w:tc>
      </w:tr>
      <w:tr w14:paraId="3A5F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60BFA8">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3E7D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0280D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B00B8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居民满意度</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9B89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5F65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5968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2DDA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D1AE46F">
            <w:pPr>
              <w:jc w:val="center"/>
              <w:rPr>
                <w:rFonts w:hint="eastAsia" w:ascii="宋体" w:hAnsi="宋体" w:eastAsia="宋体" w:cs="宋体"/>
                <w:i w:val="0"/>
                <w:iCs w:val="0"/>
                <w:color w:val="000000"/>
                <w:sz w:val="20"/>
                <w:szCs w:val="20"/>
                <w:u w:val="none"/>
              </w:rPr>
            </w:pPr>
          </w:p>
        </w:tc>
      </w:tr>
      <w:tr w14:paraId="64246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vAlign w:val="center"/>
          </w:tcPr>
          <w:p w14:paraId="61409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345E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0BA8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5B165E1">
            <w:pPr>
              <w:jc w:val="center"/>
              <w:rPr>
                <w:rFonts w:hint="eastAsia" w:ascii="宋体" w:hAnsi="宋体" w:eastAsia="宋体" w:cs="宋体"/>
                <w:i w:val="0"/>
                <w:iCs w:val="0"/>
                <w:color w:val="000000"/>
                <w:sz w:val="20"/>
                <w:szCs w:val="20"/>
                <w:u w:val="none"/>
              </w:rPr>
            </w:pPr>
          </w:p>
        </w:tc>
      </w:tr>
    </w:tbl>
    <w:p w14:paraId="69481D26">
      <w:bookmarkStart w:id="3" w:name="_GoBack"/>
      <w:bookmarkEnd w:id="3"/>
    </w:p>
    <w:sectPr>
      <w:pgSz w:w="16838" w:h="11906" w:orient="landscape"/>
      <w:pgMar w:top="1800" w:right="1440" w:bottom="1558"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30CFBE86">
        <w:pPr>
          <w:pStyle w:val="7"/>
          <w:jc w:val="center"/>
        </w:pPr>
        <w:r>
          <w:fldChar w:fldCharType="begin"/>
        </w:r>
        <w:r>
          <w:instrText xml:space="preserve">PAGE   \* MERGEFORMAT</w:instrText>
        </w:r>
        <w:r>
          <w:fldChar w:fldCharType="separate"/>
        </w:r>
        <w:r>
          <w:rPr>
            <w:lang w:val="zh-CN"/>
          </w:rPr>
          <w:t>13</w:t>
        </w:r>
        <w:r>
          <w:fldChar w:fldCharType="end"/>
        </w:r>
      </w:p>
    </w:sdtContent>
  </w:sdt>
  <w:p w14:paraId="2CCCE3A9">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5D58CE"/>
    <w:multiLevelType w:val="singleLevel"/>
    <w:tmpl w:val="EF5D58CE"/>
    <w:lvl w:ilvl="0" w:tentative="0">
      <w:start w:val="1"/>
      <w:numFmt w:val="decimal"/>
      <w:lvlText w:val="%1."/>
      <w:lvlJc w:val="left"/>
      <w:pPr>
        <w:tabs>
          <w:tab w:val="left" w:pos="312"/>
        </w:tabs>
      </w:pPr>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116B29BF"/>
    <w:multiLevelType w:val="singleLevel"/>
    <w:tmpl w:val="116B29BF"/>
    <w:lvl w:ilvl="0" w:tentative="0">
      <w:start w:val="3"/>
      <w:numFmt w:val="chineseCounting"/>
      <w:suff w:val="nothing"/>
      <w:lvlText w:val="%1、"/>
      <w:lvlJc w:val="left"/>
      <w:rPr>
        <w:rFonts w:hint="eastAsia"/>
      </w:rPr>
    </w:lvl>
  </w:abstractNum>
  <w:abstractNum w:abstractNumId="3">
    <w:nsid w:val="27813159"/>
    <w:multiLevelType w:val="singleLevel"/>
    <w:tmpl w:val="27813159"/>
    <w:lvl w:ilvl="0" w:tentative="0">
      <w:start w:val="3"/>
      <w:numFmt w:val="chineseCounting"/>
      <w:suff w:val="nothing"/>
      <w:lvlText w:val="（%1）"/>
      <w:lvlJc w:val="left"/>
      <w:rPr>
        <w:rFonts w:hint="eastAsia"/>
      </w:rPr>
    </w:lvl>
  </w:abstractNum>
  <w:abstractNum w:abstractNumId="4">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0E6641"/>
    <w:rsid w:val="00631FC4"/>
    <w:rsid w:val="006F7242"/>
    <w:rsid w:val="007B168A"/>
    <w:rsid w:val="008B2CFE"/>
    <w:rsid w:val="00C316A7"/>
    <w:rsid w:val="00E36362"/>
    <w:rsid w:val="00F26FF6"/>
    <w:rsid w:val="01610122"/>
    <w:rsid w:val="02510197"/>
    <w:rsid w:val="03EC461B"/>
    <w:rsid w:val="03F62DA4"/>
    <w:rsid w:val="05693603"/>
    <w:rsid w:val="06980CBA"/>
    <w:rsid w:val="069F7348"/>
    <w:rsid w:val="07397B77"/>
    <w:rsid w:val="08D51F87"/>
    <w:rsid w:val="09D809CB"/>
    <w:rsid w:val="0A0C49F1"/>
    <w:rsid w:val="0AD007F3"/>
    <w:rsid w:val="0D81615C"/>
    <w:rsid w:val="0E3C619F"/>
    <w:rsid w:val="0F6273CA"/>
    <w:rsid w:val="0FF07856"/>
    <w:rsid w:val="0FF84980"/>
    <w:rsid w:val="100F38EC"/>
    <w:rsid w:val="11170296"/>
    <w:rsid w:val="12C66037"/>
    <w:rsid w:val="12CD1ABC"/>
    <w:rsid w:val="13471461"/>
    <w:rsid w:val="13AC660E"/>
    <w:rsid w:val="13B90F01"/>
    <w:rsid w:val="14705ECD"/>
    <w:rsid w:val="155E4C4D"/>
    <w:rsid w:val="15FA7ED3"/>
    <w:rsid w:val="181066D2"/>
    <w:rsid w:val="18125BBE"/>
    <w:rsid w:val="183352B2"/>
    <w:rsid w:val="18570C42"/>
    <w:rsid w:val="19BF4B06"/>
    <w:rsid w:val="1C671E73"/>
    <w:rsid w:val="1D322C47"/>
    <w:rsid w:val="202C0FE2"/>
    <w:rsid w:val="2115155E"/>
    <w:rsid w:val="21720F45"/>
    <w:rsid w:val="23616034"/>
    <w:rsid w:val="23696C97"/>
    <w:rsid w:val="24480FA2"/>
    <w:rsid w:val="24557A1E"/>
    <w:rsid w:val="25227A45"/>
    <w:rsid w:val="26506D3C"/>
    <w:rsid w:val="26AC3A6A"/>
    <w:rsid w:val="28DD6A42"/>
    <w:rsid w:val="2B9D7E25"/>
    <w:rsid w:val="2BFD6A4C"/>
    <w:rsid w:val="2C7C7A3B"/>
    <w:rsid w:val="2F364819"/>
    <w:rsid w:val="2F8C13F2"/>
    <w:rsid w:val="2FD63906"/>
    <w:rsid w:val="312C2B5D"/>
    <w:rsid w:val="31B13A80"/>
    <w:rsid w:val="31B56517"/>
    <w:rsid w:val="34161BB4"/>
    <w:rsid w:val="3670009E"/>
    <w:rsid w:val="37215DAE"/>
    <w:rsid w:val="37641E52"/>
    <w:rsid w:val="38CA40DD"/>
    <w:rsid w:val="395F2B56"/>
    <w:rsid w:val="3B2319C9"/>
    <w:rsid w:val="3B357316"/>
    <w:rsid w:val="3B482032"/>
    <w:rsid w:val="3B89485A"/>
    <w:rsid w:val="3BBA0580"/>
    <w:rsid w:val="3BECE841"/>
    <w:rsid w:val="3C0E5E6B"/>
    <w:rsid w:val="3C5A7528"/>
    <w:rsid w:val="3CBF7BB8"/>
    <w:rsid w:val="3CDE204C"/>
    <w:rsid w:val="3D363C36"/>
    <w:rsid w:val="3E9C3F6D"/>
    <w:rsid w:val="3FF7797D"/>
    <w:rsid w:val="400D3105"/>
    <w:rsid w:val="408F7C79"/>
    <w:rsid w:val="433F073E"/>
    <w:rsid w:val="44103433"/>
    <w:rsid w:val="44F53C01"/>
    <w:rsid w:val="46295B9D"/>
    <w:rsid w:val="46690BD8"/>
    <w:rsid w:val="46C773D9"/>
    <w:rsid w:val="49792371"/>
    <w:rsid w:val="49EE5B16"/>
    <w:rsid w:val="49F70BF1"/>
    <w:rsid w:val="4ACC45F9"/>
    <w:rsid w:val="4B4340EE"/>
    <w:rsid w:val="4D407F5A"/>
    <w:rsid w:val="4D8179BC"/>
    <w:rsid w:val="503D507A"/>
    <w:rsid w:val="51FA74D0"/>
    <w:rsid w:val="52AA4A52"/>
    <w:rsid w:val="533269B7"/>
    <w:rsid w:val="535B60B3"/>
    <w:rsid w:val="539D3AD1"/>
    <w:rsid w:val="59943D66"/>
    <w:rsid w:val="59E051FD"/>
    <w:rsid w:val="59E6355E"/>
    <w:rsid w:val="5B6D0899"/>
    <w:rsid w:val="5B821531"/>
    <w:rsid w:val="5BFF6039"/>
    <w:rsid w:val="5C761E49"/>
    <w:rsid w:val="5D76A616"/>
    <w:rsid w:val="5D7F20B9"/>
    <w:rsid w:val="5DAC7D0E"/>
    <w:rsid w:val="5ED82F04"/>
    <w:rsid w:val="5F98B5AF"/>
    <w:rsid w:val="5FFE8511"/>
    <w:rsid w:val="5FFEACE2"/>
    <w:rsid w:val="60546A82"/>
    <w:rsid w:val="609D5BF6"/>
    <w:rsid w:val="61073070"/>
    <w:rsid w:val="61B9080E"/>
    <w:rsid w:val="61DF3FED"/>
    <w:rsid w:val="62326812"/>
    <w:rsid w:val="62606CE8"/>
    <w:rsid w:val="6361115D"/>
    <w:rsid w:val="642B176B"/>
    <w:rsid w:val="643EE26D"/>
    <w:rsid w:val="656019A0"/>
    <w:rsid w:val="657E73C8"/>
    <w:rsid w:val="65F242EE"/>
    <w:rsid w:val="666D7E19"/>
    <w:rsid w:val="66D71736"/>
    <w:rsid w:val="68376930"/>
    <w:rsid w:val="68F91E38"/>
    <w:rsid w:val="6B3158B9"/>
    <w:rsid w:val="6BA02A3F"/>
    <w:rsid w:val="6BB67B6C"/>
    <w:rsid w:val="6C105349"/>
    <w:rsid w:val="6C1E5A53"/>
    <w:rsid w:val="6F5C41AC"/>
    <w:rsid w:val="6FA12EF9"/>
    <w:rsid w:val="6FAF6C78"/>
    <w:rsid w:val="70533ED0"/>
    <w:rsid w:val="716167CC"/>
    <w:rsid w:val="718A7AD1"/>
    <w:rsid w:val="72A44BC2"/>
    <w:rsid w:val="72EC65AF"/>
    <w:rsid w:val="7317C656"/>
    <w:rsid w:val="734ED73F"/>
    <w:rsid w:val="73C82B32"/>
    <w:rsid w:val="73F94DAE"/>
    <w:rsid w:val="74220495"/>
    <w:rsid w:val="747D1B6F"/>
    <w:rsid w:val="749E5641"/>
    <w:rsid w:val="760A67C5"/>
    <w:rsid w:val="76271066"/>
    <w:rsid w:val="77896602"/>
    <w:rsid w:val="77D221D2"/>
    <w:rsid w:val="77FD8BE9"/>
    <w:rsid w:val="78000AED"/>
    <w:rsid w:val="78036054"/>
    <w:rsid w:val="794C3248"/>
    <w:rsid w:val="796E342B"/>
    <w:rsid w:val="79A9BD3F"/>
    <w:rsid w:val="7AC5270E"/>
    <w:rsid w:val="7B776F12"/>
    <w:rsid w:val="7BFFFDD0"/>
    <w:rsid w:val="7C336E5F"/>
    <w:rsid w:val="7C8D4919"/>
    <w:rsid w:val="7D711B45"/>
    <w:rsid w:val="7D7A5F86"/>
    <w:rsid w:val="7E4B683A"/>
    <w:rsid w:val="7E5E656D"/>
    <w:rsid w:val="7E8F2BCB"/>
    <w:rsid w:val="7F37BB4E"/>
    <w:rsid w:val="7F574AEA"/>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0" w:afterAutospacing="1"/>
      <w:jc w:val="left"/>
    </w:pPr>
    <w:rPr>
      <w:kern w:val="0"/>
      <w:sz w:val="24"/>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3"/>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6"/>
    <w:qFormat/>
    <w:uiPriority w:val="0"/>
    <w:rPr>
      <w:rFonts w:ascii="Times New Roman" w:hAnsi="Times New Roman" w:eastAsia="宋体" w:cs="Times New Roman"/>
      <w:kern w:val="2"/>
      <w:sz w:val="18"/>
      <w:szCs w:val="18"/>
    </w:rPr>
  </w:style>
  <w:style w:type="character" w:customStyle="1" w:styleId="21">
    <w:name w:val="页眉 字符"/>
    <w:basedOn w:val="15"/>
    <w:link w:val="8"/>
    <w:qFormat/>
    <w:uiPriority w:val="0"/>
    <w:rPr>
      <w:rFonts w:ascii="Times New Roman" w:hAnsi="Times New Roman" w:eastAsia="宋体" w:cs="Times New Roman"/>
      <w:kern w:val="2"/>
      <w:sz w:val="18"/>
      <w:szCs w:val="18"/>
    </w:rPr>
  </w:style>
  <w:style w:type="character" w:customStyle="1" w:styleId="22">
    <w:name w:val="批注文字 字符"/>
    <w:basedOn w:val="15"/>
    <w:link w:val="3"/>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12916</Words>
  <Characters>13404</Characters>
  <Lines>603</Lines>
  <Paragraphs>509</Paragraphs>
  <TotalTime>32</TotalTime>
  <ScaleCrop>false</ScaleCrop>
  <LinksUpToDate>false</LinksUpToDate>
  <CharactersWithSpaces>13430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2025-11-27T03:30:22Z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