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D01FE">
      <w:pPr>
        <w:spacing w:line="540" w:lineRule="exact"/>
        <w:jc w:val="center"/>
        <w:rPr>
          <w:rFonts w:eastAsia="华文中宋"/>
          <w:b/>
          <w:kern w:val="0"/>
          <w:sz w:val="52"/>
          <w:szCs w:val="52"/>
        </w:rPr>
      </w:pPr>
    </w:p>
    <w:p w14:paraId="72B26561">
      <w:pPr>
        <w:spacing w:line="540" w:lineRule="exact"/>
        <w:rPr>
          <w:rFonts w:eastAsia="华文中宋"/>
          <w:b/>
          <w:kern w:val="0"/>
          <w:sz w:val="52"/>
          <w:szCs w:val="52"/>
        </w:rPr>
      </w:pPr>
    </w:p>
    <w:p w14:paraId="40E84109">
      <w:pPr>
        <w:spacing w:line="540" w:lineRule="exact"/>
        <w:jc w:val="center"/>
        <w:rPr>
          <w:rFonts w:eastAsia="华文中宋"/>
          <w:b/>
          <w:kern w:val="0"/>
          <w:sz w:val="52"/>
          <w:szCs w:val="52"/>
        </w:rPr>
      </w:pPr>
    </w:p>
    <w:p w14:paraId="2913C76B">
      <w:pPr>
        <w:spacing w:line="540" w:lineRule="exact"/>
        <w:jc w:val="center"/>
        <w:rPr>
          <w:rFonts w:eastAsia="华文中宋"/>
          <w:b/>
          <w:kern w:val="0"/>
          <w:sz w:val="52"/>
          <w:szCs w:val="52"/>
        </w:rPr>
      </w:pPr>
    </w:p>
    <w:p w14:paraId="76D622D8">
      <w:pPr>
        <w:spacing w:line="540" w:lineRule="exact"/>
        <w:jc w:val="center"/>
        <w:rPr>
          <w:rFonts w:eastAsia="方正小标宋_GBK"/>
          <w:kern w:val="0"/>
          <w:sz w:val="48"/>
          <w:szCs w:val="48"/>
        </w:rPr>
      </w:pPr>
      <w:r>
        <w:rPr>
          <w:rFonts w:eastAsia="方正小标宋_GBK"/>
          <w:kern w:val="0"/>
          <w:sz w:val="48"/>
          <w:szCs w:val="48"/>
        </w:rPr>
        <w:t>乌鲁木齐环境综合整治生活垃圾分类采购项目支出绩效评价</w:t>
      </w:r>
    </w:p>
    <w:p w14:paraId="1003A38B">
      <w:pPr>
        <w:spacing w:line="540" w:lineRule="exact"/>
        <w:jc w:val="center"/>
        <w:rPr>
          <w:rFonts w:eastAsia="方正小标宋_GBK"/>
          <w:kern w:val="0"/>
          <w:sz w:val="48"/>
          <w:szCs w:val="48"/>
        </w:rPr>
      </w:pPr>
      <w:r>
        <w:rPr>
          <w:rFonts w:eastAsia="方正小标宋_GBK"/>
          <w:kern w:val="0"/>
          <w:sz w:val="48"/>
          <w:szCs w:val="48"/>
        </w:rPr>
        <w:t>报告</w:t>
      </w:r>
    </w:p>
    <w:p w14:paraId="76A5D4B3">
      <w:pPr>
        <w:spacing w:line="540" w:lineRule="exact"/>
        <w:jc w:val="center"/>
        <w:rPr>
          <w:rFonts w:eastAsia="华文中宋"/>
          <w:b/>
          <w:kern w:val="0"/>
          <w:sz w:val="52"/>
          <w:szCs w:val="52"/>
        </w:rPr>
      </w:pPr>
    </w:p>
    <w:p w14:paraId="52DDC2A0">
      <w:pPr>
        <w:spacing w:line="540" w:lineRule="exact"/>
        <w:jc w:val="center"/>
        <w:rPr>
          <w:rFonts w:eastAsia="仿宋_GB2312"/>
          <w:kern w:val="0"/>
          <w:sz w:val="36"/>
          <w:szCs w:val="36"/>
        </w:rPr>
      </w:pPr>
      <w:r>
        <w:rPr>
          <w:rFonts w:eastAsia="仿宋_GB2312"/>
          <w:kern w:val="0"/>
          <w:sz w:val="36"/>
          <w:szCs w:val="36"/>
        </w:rPr>
        <w:t>（2024年度）</w:t>
      </w:r>
    </w:p>
    <w:p w14:paraId="7E0E8B39">
      <w:pPr>
        <w:spacing w:line="540" w:lineRule="exact"/>
        <w:rPr>
          <w:rFonts w:eastAsia="仿宋_GB2312"/>
          <w:kern w:val="0"/>
          <w:sz w:val="30"/>
          <w:szCs w:val="30"/>
        </w:rPr>
      </w:pPr>
    </w:p>
    <w:p w14:paraId="0EFFFC6D">
      <w:pPr>
        <w:spacing w:line="700" w:lineRule="exact"/>
        <w:ind w:firstLine="1440" w:firstLineChars="400"/>
        <w:jc w:val="left"/>
        <w:rPr>
          <w:rFonts w:eastAsia="仿宋_GB2312"/>
          <w:kern w:val="0"/>
          <w:sz w:val="36"/>
          <w:szCs w:val="36"/>
        </w:rPr>
      </w:pPr>
      <w:r>
        <w:rPr>
          <w:rFonts w:eastAsia="仿宋_GB2312"/>
          <w:kern w:val="0"/>
          <w:sz w:val="36"/>
          <w:szCs w:val="36"/>
        </w:rPr>
        <w:t>项目名称：乌鲁木齐环境综合整治生活垃圾分类采购项目</w:t>
      </w:r>
    </w:p>
    <w:p w14:paraId="0D8398AC">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乌鲁木齐市沙依巴克区环卫清运队</w:t>
      </w:r>
    </w:p>
    <w:p w14:paraId="0C84C55F">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乌鲁木齐市沙依巴克区城市管理局（城市管理行政执法局）</w:t>
      </w:r>
    </w:p>
    <w:p w14:paraId="5C947A8B">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张岩</w:t>
      </w:r>
    </w:p>
    <w:p w14:paraId="4BC409EC">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2024</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10</w:t>
      </w:r>
      <w:r>
        <w:rPr>
          <w:rFonts w:eastAsia="仿宋_GB2312"/>
          <w:kern w:val="0"/>
          <w:sz w:val="36"/>
          <w:szCs w:val="36"/>
        </w:rPr>
        <w:t>日</w:t>
      </w:r>
    </w:p>
    <w:p w14:paraId="3ABD771B">
      <w:pPr>
        <w:spacing w:line="560" w:lineRule="exact"/>
        <w:ind w:firstLine="640" w:firstLineChars="200"/>
        <w:rPr>
          <w:rFonts w:eastAsia="黑体"/>
          <w:bCs/>
          <w:sz w:val="32"/>
          <w:szCs w:val="32"/>
        </w:rPr>
      </w:pPr>
      <w:r>
        <w:rPr>
          <w:rFonts w:eastAsia="黑体"/>
          <w:bCs/>
          <w:sz w:val="32"/>
          <w:szCs w:val="32"/>
        </w:rPr>
        <w:t>一、基本情况</w:t>
      </w:r>
    </w:p>
    <w:p w14:paraId="118F0E85">
      <w:pPr>
        <w:spacing w:line="560" w:lineRule="exact"/>
        <w:ind w:firstLine="643" w:firstLineChars="200"/>
        <w:rPr>
          <w:rFonts w:eastAsia="楷体_GB2312"/>
          <w:b/>
          <w:bCs/>
          <w:sz w:val="32"/>
          <w:szCs w:val="32"/>
        </w:rPr>
      </w:pPr>
      <w:r>
        <w:rPr>
          <w:rFonts w:eastAsia="楷体_GB2312"/>
          <w:b/>
          <w:bCs/>
          <w:sz w:val="32"/>
          <w:szCs w:val="32"/>
        </w:rPr>
        <w:t>（一）项目概况</w:t>
      </w:r>
    </w:p>
    <w:p w14:paraId="382CB146">
      <w:pPr>
        <w:spacing w:line="560" w:lineRule="exact"/>
        <w:ind w:firstLine="643" w:firstLineChars="200"/>
        <w:rPr>
          <w:rFonts w:eastAsia="仿宋_GB2312"/>
          <w:b/>
          <w:bCs/>
          <w:sz w:val="32"/>
          <w:szCs w:val="32"/>
        </w:rPr>
      </w:pPr>
      <w:r>
        <w:rPr>
          <w:rFonts w:eastAsia="仿宋_GB2312"/>
          <w:b/>
          <w:bCs/>
          <w:sz w:val="32"/>
          <w:szCs w:val="32"/>
        </w:rPr>
        <w:t>1.项目背景</w:t>
      </w:r>
    </w:p>
    <w:p w14:paraId="2599A3AC">
      <w:pPr>
        <w:spacing w:line="560" w:lineRule="exact"/>
        <w:ind w:firstLine="640" w:firstLineChars="200"/>
        <w:rPr>
          <w:rFonts w:eastAsia="仿宋_GB2312"/>
          <w:sz w:val="30"/>
          <w:szCs w:val="30"/>
        </w:rPr>
      </w:pPr>
      <w:r>
        <w:rPr>
          <w:rFonts w:hint="eastAsia" w:eastAsia="仿宋_GB2312"/>
          <w:sz w:val="32"/>
          <w:szCs w:val="32"/>
        </w:rPr>
        <w:t>本项目立项根据《印发关于加快推进我市生活垃圾分类重点工作的实施方案的通知》（乌政协〔2019〕141号）和《关于申请垃圾分类项目资金的请示》（沙城执党〔2020〕2号）文件精神，</w:t>
      </w:r>
      <w:r>
        <w:rPr>
          <w:rFonts w:eastAsia="仿宋_GB2312"/>
          <w:sz w:val="32"/>
          <w:szCs w:val="32"/>
        </w:rPr>
        <w:t>该政策</w:t>
      </w:r>
      <w:r>
        <w:rPr>
          <w:rFonts w:hint="eastAsia" w:eastAsia="仿宋_GB2312"/>
          <w:sz w:val="32"/>
          <w:szCs w:val="32"/>
        </w:rPr>
        <w:t>对完成沙区部分道路清扫、垃圾清运及应急处突工作，负责部分生活垃圾点位的一级、二级转运直运，以及部分固转站、移转站的管理，负责垃圾分类及项目基础设施建设等工作任务</w:t>
      </w:r>
      <w:r>
        <w:rPr>
          <w:rFonts w:eastAsia="仿宋_GB2312"/>
          <w:sz w:val="32"/>
          <w:szCs w:val="32"/>
        </w:rPr>
        <w:t>明确了</w:t>
      </w:r>
      <w:r>
        <w:rPr>
          <w:rFonts w:hint="eastAsia" w:eastAsia="仿宋_GB2312"/>
          <w:sz w:val="32"/>
          <w:szCs w:val="32"/>
        </w:rPr>
        <w:t>环境综合整治</w:t>
      </w:r>
      <w:r>
        <w:rPr>
          <w:rFonts w:eastAsia="仿宋_GB2312"/>
          <w:sz w:val="32"/>
          <w:szCs w:val="32"/>
        </w:rPr>
        <w:t>资金的使用方向和重点支持领域，为本项目的实施提供了坚实的政策基础。</w:t>
      </w:r>
    </w:p>
    <w:p w14:paraId="1228BDC7">
      <w:pPr>
        <w:pStyle w:val="10"/>
        <w:spacing w:before="0" w:after="0" w:line="560" w:lineRule="exact"/>
        <w:ind w:firstLine="624" w:firstLineChars="200"/>
        <w:jc w:val="both"/>
        <w:rPr>
          <w:rFonts w:ascii="Times New Roman" w:hAnsi="Times New Roman" w:eastAsia="仿宋_GB2312"/>
          <w:kern w:val="2"/>
        </w:rPr>
      </w:pPr>
      <w:r>
        <w:rPr>
          <w:rStyle w:val="16"/>
          <w:rFonts w:hint="eastAsia" w:ascii="楷体" w:hAnsi="楷体" w:eastAsia="楷体"/>
          <w:b w:val="0"/>
          <w:bCs w:val="0"/>
          <w:spacing w:val="-4"/>
        </w:rPr>
        <w:br w:type="textWrapping"/>
      </w:r>
      <w:r>
        <w:rPr>
          <w:rFonts w:ascii="Times New Roman" w:hAnsi="Times New Roman" w:eastAsia="仿宋_GB2312"/>
          <w:kern w:val="2"/>
        </w:rPr>
        <w:t>2.项目主要内容：</w:t>
      </w:r>
    </w:p>
    <w:p w14:paraId="400528ED">
      <w:pPr>
        <w:spacing w:line="560" w:lineRule="exact"/>
        <w:ind w:firstLine="600" w:firstLineChars="200"/>
        <w:rPr>
          <w:rFonts w:eastAsia="黑体"/>
        </w:rPr>
      </w:pPr>
      <w:r>
        <w:rPr>
          <w:rFonts w:eastAsia="仿宋_GB2312"/>
          <w:sz w:val="30"/>
          <w:szCs w:val="30"/>
        </w:rPr>
        <w:t>项目主要内容：</w:t>
      </w:r>
      <w:r>
        <w:rPr>
          <w:rFonts w:hint="eastAsia" w:eastAsia="方正仿宋_GBK"/>
          <w:sz w:val="32"/>
          <w:szCs w:val="32"/>
        </w:rPr>
        <w:t>2020年，区环卫清运队完成以上5辆环卫车辆及34个垃圾箱招标工作，其中：8吨箱式垃圾转运车2辆，中标价为98.9万元</w:t>
      </w:r>
      <w:r>
        <w:rPr>
          <w:rFonts w:hint="eastAsia" w:ascii="方正仿宋_GBK" w:hAnsi="方正仿宋_GBK" w:eastAsia="方正仿宋_GBK" w:cs="方正仿宋_GBK"/>
          <w:sz w:val="32"/>
          <w:szCs w:val="32"/>
        </w:rPr>
        <w:t>（单价</w:t>
      </w:r>
      <w:r>
        <w:rPr>
          <w:rFonts w:hint="eastAsia" w:eastAsia="方正仿宋_GBK"/>
          <w:sz w:val="32"/>
          <w:szCs w:val="32"/>
        </w:rPr>
        <w:t>49.45万元/辆</w:t>
      </w:r>
      <w:r>
        <w:rPr>
          <w:rFonts w:hint="eastAsia" w:ascii="方正仿宋_GBK" w:hAnsi="方正仿宋_GBK" w:eastAsia="方正仿宋_GBK" w:cs="方正仿宋_GBK"/>
          <w:sz w:val="32"/>
          <w:szCs w:val="32"/>
        </w:rPr>
        <w:t>），</w:t>
      </w:r>
      <w:r>
        <w:rPr>
          <w:rFonts w:hint="eastAsia" w:eastAsia="方正仿宋_GBK"/>
          <w:sz w:val="32"/>
          <w:szCs w:val="32"/>
        </w:rPr>
        <w:t>0.5吨垃圾车3辆，中标价为41.4万元（单价13.8万元/辆）以上中标单位为重庆耐德新明和工业有限公司；0.5T垃圾箱34个，中标价为11.56万元（单价为0.34万元/个）中标单位为乌鲁木齐华盛全通商贸有限公司</w:t>
      </w:r>
    </w:p>
    <w:p w14:paraId="20FFD754">
      <w:pPr>
        <w:spacing w:line="600" w:lineRule="exact"/>
        <w:ind w:firstLine="640" w:firstLineChars="200"/>
        <w:rPr>
          <w:rFonts w:eastAsia="仿宋_GB2312"/>
          <w:sz w:val="32"/>
          <w:szCs w:val="32"/>
        </w:rPr>
      </w:pPr>
      <w:r>
        <w:rPr>
          <w:rFonts w:eastAsia="仿宋_GB2312"/>
          <w:sz w:val="32"/>
          <w:szCs w:val="32"/>
        </w:rPr>
        <w:t>项目实施情况：</w:t>
      </w:r>
      <w:r>
        <w:rPr>
          <w:rFonts w:hint="eastAsia" w:eastAsia="仿宋_GB2312"/>
          <w:sz w:val="32"/>
          <w:szCs w:val="32"/>
        </w:rPr>
        <w:t>在开展环境综合整治项目中，单位有序推进各项工作，完成环卫设备采购，提升城市环境治理能力</w:t>
      </w:r>
      <w:r>
        <w:rPr>
          <w:rFonts w:eastAsia="仿宋_GB2312"/>
          <w:sz w:val="32"/>
          <w:szCs w:val="32"/>
        </w:rPr>
        <w:t>。</w:t>
      </w:r>
      <w:r>
        <w:rPr>
          <w:rFonts w:hint="eastAsia" w:eastAsia="仿宋_GB2312"/>
          <w:sz w:val="32"/>
          <w:szCs w:val="32"/>
        </w:rPr>
        <w:t>截止2024年底该项目完成采购0.5吨垃圾箱34个，0.5吨垃圾车3辆。通过此项目开展提升城市环境卫生水平，推动垃圾分类工作常态化、长效化发展。</w:t>
      </w:r>
    </w:p>
    <w:p w14:paraId="11F47315">
      <w:pPr>
        <w:spacing w:line="560" w:lineRule="exact"/>
        <w:ind w:firstLine="420" w:firstLineChars="200"/>
      </w:pPr>
    </w:p>
    <w:p w14:paraId="69EF9DA1">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287F21C0">
      <w:pPr>
        <w:spacing w:line="600" w:lineRule="exact"/>
        <w:ind w:firstLine="640" w:firstLineChars="200"/>
        <w:outlineLvl w:val="0"/>
        <w:rPr>
          <w:rFonts w:eastAsia="仿宋_GB2312"/>
          <w:sz w:val="32"/>
          <w:szCs w:val="32"/>
        </w:rPr>
      </w:pPr>
      <w:r>
        <w:rPr>
          <w:rFonts w:eastAsia="仿宋_GB2312"/>
          <w:sz w:val="32"/>
          <w:szCs w:val="32"/>
        </w:rPr>
        <w:t>（1）资金投入情况</w:t>
      </w:r>
    </w:p>
    <w:p w14:paraId="303E8AAF">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151.86</w:t>
      </w:r>
      <w:r>
        <w:rPr>
          <w:rFonts w:eastAsia="仿宋_GB2312"/>
          <w:sz w:val="32"/>
          <w:szCs w:val="32"/>
        </w:rPr>
        <w:t>万元，全年预算数</w:t>
      </w:r>
      <w:r>
        <w:rPr>
          <w:rFonts w:hint="eastAsia" w:eastAsia="仿宋_GB2312"/>
          <w:sz w:val="32"/>
          <w:szCs w:val="32"/>
        </w:rPr>
        <w:t>18</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6A5B1D6F">
      <w:pPr>
        <w:spacing w:line="600" w:lineRule="exact"/>
        <w:ind w:firstLine="640" w:firstLineChars="200"/>
        <w:outlineLvl w:val="0"/>
        <w:rPr>
          <w:rFonts w:eastAsia="仿宋_GB2312"/>
          <w:sz w:val="32"/>
          <w:szCs w:val="32"/>
        </w:rPr>
      </w:pPr>
      <w:r>
        <w:rPr>
          <w:rFonts w:eastAsia="仿宋_GB2312"/>
          <w:sz w:val="32"/>
          <w:szCs w:val="32"/>
        </w:rPr>
        <w:t>（2）资金使用情况</w:t>
      </w:r>
    </w:p>
    <w:p w14:paraId="44851E90">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151.86</w:t>
      </w:r>
      <w:r>
        <w:rPr>
          <w:rFonts w:eastAsia="仿宋_GB2312"/>
          <w:sz w:val="32"/>
          <w:szCs w:val="32"/>
        </w:rPr>
        <w:t>万元，全年预算数</w:t>
      </w:r>
      <w:r>
        <w:rPr>
          <w:rFonts w:hint="eastAsia" w:eastAsia="仿宋_GB2312"/>
          <w:sz w:val="32"/>
          <w:szCs w:val="32"/>
        </w:rPr>
        <w:t>18</w:t>
      </w:r>
      <w:r>
        <w:rPr>
          <w:rFonts w:eastAsia="仿宋_GB2312"/>
          <w:sz w:val="32"/>
          <w:szCs w:val="32"/>
        </w:rPr>
        <w:t>万元，全年执行数</w:t>
      </w:r>
      <w:r>
        <w:rPr>
          <w:rFonts w:hint="eastAsia" w:eastAsia="仿宋_GB2312"/>
          <w:sz w:val="32"/>
          <w:szCs w:val="32"/>
        </w:rPr>
        <w:t>18</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支付部分</w:t>
      </w:r>
      <w:r>
        <w:rPr>
          <w:rFonts w:hint="eastAsia" w:eastAsia="方正仿宋_GBK"/>
          <w:sz w:val="32"/>
          <w:szCs w:val="32"/>
        </w:rPr>
        <w:t>5辆环卫车辆及34个垃圾箱</w:t>
      </w:r>
      <w:r>
        <w:rPr>
          <w:rFonts w:hint="eastAsia" w:eastAsia="仿宋_GB2312"/>
          <w:sz w:val="32"/>
          <w:szCs w:val="32"/>
        </w:rPr>
        <w:t>货款</w:t>
      </w:r>
      <w:r>
        <w:rPr>
          <w:rFonts w:eastAsia="仿宋_GB2312"/>
          <w:sz w:val="32"/>
          <w:szCs w:val="32"/>
        </w:rPr>
        <w:t>。</w:t>
      </w:r>
    </w:p>
    <w:p w14:paraId="41F26217">
      <w:pPr>
        <w:spacing w:line="560" w:lineRule="exact"/>
        <w:ind w:firstLine="643" w:firstLineChars="200"/>
        <w:rPr>
          <w:rFonts w:eastAsia="楷体_GB2312"/>
          <w:b/>
          <w:bCs/>
          <w:sz w:val="32"/>
          <w:szCs w:val="32"/>
        </w:rPr>
      </w:pPr>
      <w:r>
        <w:rPr>
          <w:rFonts w:eastAsia="楷体_GB2312"/>
          <w:b/>
          <w:bCs/>
          <w:sz w:val="32"/>
          <w:szCs w:val="32"/>
        </w:rPr>
        <w:t>（二）项目绩效目标</w:t>
      </w:r>
    </w:p>
    <w:p w14:paraId="0AA9D5CA">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7B5A29">
      <w:pPr>
        <w:spacing w:line="560" w:lineRule="exact"/>
        <w:ind w:firstLine="640" w:firstLineChars="200"/>
        <w:rPr>
          <w:rFonts w:eastAsia="仿宋_GB2312"/>
          <w:sz w:val="32"/>
          <w:szCs w:val="32"/>
        </w:rPr>
      </w:pPr>
      <w:r>
        <w:rPr>
          <w:rFonts w:hint="eastAsia" w:eastAsia="仿宋_GB2312"/>
          <w:sz w:val="32"/>
          <w:szCs w:val="32"/>
        </w:rPr>
        <w:t>通过购买垃圾车和垃圾箱，完善了垃圾分类投放，收集和运输设施，有望提高垃圾分类的准确率和效率，提升城市环境卫生水平，推动垃圾分类工作常态化，长效化发展。</w:t>
      </w:r>
    </w:p>
    <w:p w14:paraId="073E9E15">
      <w:pPr>
        <w:numPr>
          <w:ilvl w:val="0"/>
          <w:numId w:val="1"/>
        </w:numPr>
        <w:spacing w:line="560" w:lineRule="exact"/>
        <w:ind w:firstLine="640" w:firstLineChars="200"/>
        <w:rPr>
          <w:rFonts w:eastAsia="仿宋_GB2312"/>
          <w:sz w:val="32"/>
          <w:szCs w:val="32"/>
        </w:rPr>
      </w:pPr>
      <w:r>
        <w:rPr>
          <w:rFonts w:eastAsia="仿宋_GB2312"/>
          <w:sz w:val="32"/>
          <w:szCs w:val="32"/>
        </w:rPr>
        <w:t>阶段性目标</w:t>
      </w:r>
    </w:p>
    <w:p w14:paraId="08432E2D">
      <w:pPr>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1）前期准备：</w:t>
      </w:r>
      <w:r>
        <w:rPr>
          <w:rFonts w:hint="eastAsia" w:eastAsia="仿宋_GB2312"/>
          <w:sz w:val="32"/>
          <w:szCs w:val="32"/>
        </w:rPr>
        <w:t>我单位购买</w:t>
      </w:r>
      <w:r>
        <w:rPr>
          <w:rFonts w:hint="eastAsia" w:eastAsia="方正仿宋_GBK"/>
          <w:sz w:val="32"/>
          <w:szCs w:val="32"/>
        </w:rPr>
        <w:t>5辆环卫车辆及34个垃圾箱</w:t>
      </w:r>
      <w:r>
        <w:rPr>
          <w:rFonts w:hint="eastAsia" w:eastAsia="仿宋_GB2312"/>
          <w:sz w:val="32"/>
          <w:szCs w:val="32"/>
        </w:rPr>
        <w:t>，提升垃圾清运工作质量</w:t>
      </w:r>
      <w:r>
        <w:rPr>
          <w:rFonts w:eastAsia="仿宋_GB2312"/>
          <w:sz w:val="32"/>
          <w:szCs w:val="32"/>
        </w:rPr>
        <w:t>。</w:t>
      </w:r>
    </w:p>
    <w:p w14:paraId="144F1DB6">
      <w:pPr>
        <w:spacing w:line="560" w:lineRule="exact"/>
        <w:ind w:firstLine="640" w:firstLineChars="200"/>
        <w:rPr>
          <w:rFonts w:eastAsia="仿宋_GB2312"/>
          <w:sz w:val="32"/>
          <w:szCs w:val="32"/>
        </w:rPr>
      </w:pPr>
      <w:r>
        <w:rPr>
          <w:rFonts w:eastAsia="仿宋_GB2312"/>
          <w:sz w:val="32"/>
          <w:szCs w:val="32"/>
        </w:rPr>
        <w:t>（2）组织实施：资金一到位，</w:t>
      </w:r>
      <w:r>
        <w:rPr>
          <w:rFonts w:hint="eastAsia" w:eastAsia="仿宋_GB2312"/>
          <w:sz w:val="32"/>
          <w:szCs w:val="32"/>
        </w:rPr>
        <w:t>检查车辆是否合格</w:t>
      </w:r>
      <w:r>
        <w:rPr>
          <w:rFonts w:eastAsia="仿宋_GB2312"/>
          <w:sz w:val="32"/>
          <w:szCs w:val="32"/>
        </w:rPr>
        <w:t>。项目责任人按照项目实施方案要求</w:t>
      </w:r>
      <w:r>
        <w:rPr>
          <w:rFonts w:hint="eastAsia" w:eastAsia="仿宋_GB2312"/>
          <w:sz w:val="32"/>
          <w:szCs w:val="32"/>
        </w:rPr>
        <w:t>对车辆后续工作做好部署</w:t>
      </w:r>
      <w:r>
        <w:rPr>
          <w:rFonts w:eastAsia="仿宋_GB2312"/>
          <w:sz w:val="32"/>
          <w:szCs w:val="32"/>
        </w:rPr>
        <w:t>，提高项目质量及效率性。</w:t>
      </w:r>
    </w:p>
    <w:p w14:paraId="3A338CC9">
      <w:pPr>
        <w:spacing w:line="560" w:lineRule="exact"/>
        <w:rPr>
          <w:rFonts w:eastAsia="仿宋_GB2312"/>
          <w:sz w:val="32"/>
          <w:szCs w:val="32"/>
        </w:rPr>
      </w:pPr>
    </w:p>
    <w:p w14:paraId="66ACC14D">
      <w:pPr>
        <w:spacing w:line="560" w:lineRule="exact"/>
        <w:ind w:firstLine="640" w:firstLineChars="200"/>
        <w:rPr>
          <w:rFonts w:eastAsia="黑体"/>
          <w:sz w:val="32"/>
          <w:szCs w:val="32"/>
        </w:rPr>
      </w:pPr>
      <w:r>
        <w:rPr>
          <w:rFonts w:eastAsia="黑体"/>
          <w:sz w:val="32"/>
          <w:szCs w:val="32"/>
        </w:rPr>
        <w:t>二、绩效评价工作开展情况</w:t>
      </w:r>
    </w:p>
    <w:p w14:paraId="0C808F5A">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3B08242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425F7EFA">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49706FF">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10F45E19">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09CAA96C">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3ED23A86">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21BF98D">
      <w:pPr>
        <w:spacing w:line="560" w:lineRule="exact"/>
        <w:ind w:firstLine="640" w:firstLineChars="200"/>
        <w:rPr>
          <w:rFonts w:eastAsia="仿宋_GB2312"/>
          <w:sz w:val="32"/>
          <w:szCs w:val="32"/>
        </w:rPr>
      </w:pPr>
      <w:r>
        <w:rPr>
          <w:rFonts w:eastAsia="仿宋_GB2312"/>
          <w:sz w:val="32"/>
          <w:szCs w:val="32"/>
        </w:rPr>
        <w:t>2.绩效评价的目的</w:t>
      </w:r>
    </w:p>
    <w:p w14:paraId="26416C04">
      <w:pPr>
        <w:spacing w:line="560" w:lineRule="exact"/>
        <w:ind w:firstLine="640" w:firstLineChars="200"/>
        <w:rPr>
          <w:rFonts w:eastAsia="仿宋_GB2312"/>
          <w:sz w:val="32"/>
          <w:szCs w:val="32"/>
        </w:rPr>
      </w:pPr>
      <w:r>
        <w:rPr>
          <w:rFonts w:eastAsia="仿宋_GB2312"/>
          <w:sz w:val="32"/>
          <w:szCs w:val="32"/>
        </w:rPr>
        <w:t>（1）评估项目实施效果</w:t>
      </w:r>
    </w:p>
    <w:p w14:paraId="36D9AE78">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58070357">
      <w:pPr>
        <w:spacing w:line="560" w:lineRule="exact"/>
        <w:ind w:firstLine="640" w:firstLineChars="200"/>
        <w:rPr>
          <w:rFonts w:eastAsia="仿宋_GB2312"/>
          <w:sz w:val="32"/>
          <w:szCs w:val="32"/>
        </w:rPr>
      </w:pPr>
      <w:r>
        <w:rPr>
          <w:rFonts w:eastAsia="仿宋_GB2312"/>
          <w:sz w:val="32"/>
          <w:szCs w:val="32"/>
        </w:rPr>
        <w:t>（2）提升资源利用效率</w:t>
      </w:r>
    </w:p>
    <w:p w14:paraId="201800F7">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3E9CDD5">
      <w:pPr>
        <w:spacing w:line="560" w:lineRule="exact"/>
        <w:ind w:firstLine="640" w:firstLineChars="200"/>
        <w:rPr>
          <w:rFonts w:eastAsia="仿宋_GB2312"/>
          <w:sz w:val="32"/>
          <w:szCs w:val="32"/>
        </w:rPr>
      </w:pPr>
      <w:r>
        <w:rPr>
          <w:rFonts w:eastAsia="仿宋_GB2312"/>
          <w:sz w:val="32"/>
          <w:szCs w:val="32"/>
        </w:rPr>
        <w:t>（3）强化项目管理责任</w:t>
      </w:r>
    </w:p>
    <w:p w14:paraId="4B8A56DE">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15337178">
      <w:pPr>
        <w:spacing w:line="560" w:lineRule="exact"/>
        <w:ind w:firstLine="640" w:firstLineChars="200"/>
        <w:rPr>
          <w:rFonts w:eastAsia="仿宋_GB2312"/>
          <w:sz w:val="32"/>
          <w:szCs w:val="32"/>
        </w:rPr>
      </w:pPr>
      <w:r>
        <w:rPr>
          <w:rFonts w:eastAsia="仿宋_GB2312"/>
          <w:sz w:val="32"/>
          <w:szCs w:val="32"/>
        </w:rPr>
        <w:t>（4）为决策提供支持</w:t>
      </w:r>
    </w:p>
    <w:p w14:paraId="7194D4DE">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5B74567">
      <w:pPr>
        <w:spacing w:line="560" w:lineRule="exact"/>
        <w:ind w:firstLine="640" w:firstLineChars="200"/>
        <w:rPr>
          <w:rFonts w:eastAsia="仿宋_GB2312"/>
          <w:sz w:val="32"/>
          <w:szCs w:val="32"/>
        </w:rPr>
      </w:pPr>
      <w:r>
        <w:rPr>
          <w:rFonts w:eastAsia="仿宋_GB2312"/>
          <w:sz w:val="32"/>
          <w:szCs w:val="32"/>
        </w:rPr>
        <w:t>（5）促进项目持续改进</w:t>
      </w:r>
    </w:p>
    <w:p w14:paraId="12EE6AE5">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F878B03">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6DECD84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323285CC">
      <w:pPr>
        <w:spacing w:line="560" w:lineRule="exact"/>
        <w:ind w:firstLine="640" w:firstLineChars="200"/>
        <w:rPr>
          <w:rFonts w:eastAsia="仿宋_GB2312"/>
          <w:sz w:val="32"/>
          <w:szCs w:val="32"/>
        </w:rPr>
      </w:pPr>
      <w:r>
        <w:rPr>
          <w:rFonts w:eastAsia="仿宋_GB2312"/>
          <w:sz w:val="32"/>
          <w:szCs w:val="32"/>
        </w:rPr>
        <w:t>本项目预算绩效评价报告的评价对象是乌鲁木齐环境综合整治生活垃圾分类采购项目及其预算执行情况。该项目由</w:t>
      </w:r>
      <w:r>
        <w:rPr>
          <w:rFonts w:hint="eastAsia" w:eastAsia="仿宋_GB2312"/>
          <w:sz w:val="32"/>
          <w:szCs w:val="32"/>
        </w:rPr>
        <w:t>乌鲁木齐市沙依巴克区环卫清运队</w:t>
      </w:r>
      <w:r>
        <w:rPr>
          <w:rFonts w:eastAsia="仿宋_GB2312"/>
          <w:sz w:val="32"/>
          <w:szCs w:val="32"/>
        </w:rPr>
        <w:t>负责实施，旨在</w:t>
      </w:r>
      <w:r>
        <w:rPr>
          <w:rFonts w:hint="eastAsia" w:eastAsia="仿宋_GB2312"/>
          <w:sz w:val="32"/>
          <w:szCs w:val="32"/>
        </w:rPr>
        <w:t>通过购买垃圾车和垃圾箱，完善了垃圾分类投放，收集和运输设施，有望提高垃圾分类的准确率和效率，提升城市环境卫生水平，推动垃圾分类工作常态化，长效化发展</w:t>
      </w:r>
      <w:r>
        <w:rPr>
          <w:rFonts w:eastAsia="仿宋_GB2312"/>
          <w:sz w:val="32"/>
          <w:szCs w:val="32"/>
        </w:rPr>
        <w:t>。项目预算涵盖从</w:t>
      </w:r>
      <w:r>
        <w:rPr>
          <w:rFonts w:hint="eastAsia" w:eastAsia="仿宋_GB2312"/>
          <w:sz w:val="32"/>
          <w:szCs w:val="32"/>
        </w:rPr>
        <w:t>2024年1月1日</w:t>
      </w:r>
      <w:r>
        <w:rPr>
          <w:rFonts w:eastAsia="仿宋_GB2312"/>
          <w:sz w:val="32"/>
          <w:szCs w:val="32"/>
        </w:rPr>
        <w:t>至2024年1</w:t>
      </w:r>
      <w:r>
        <w:rPr>
          <w:rFonts w:hint="eastAsia" w:eastAsia="仿宋_GB2312"/>
          <w:sz w:val="32"/>
          <w:szCs w:val="32"/>
        </w:rPr>
        <w:t>2</w:t>
      </w:r>
      <w:r>
        <w:rPr>
          <w:rFonts w:eastAsia="仿宋_GB2312"/>
          <w:sz w:val="32"/>
          <w:szCs w:val="32"/>
        </w:rPr>
        <w:t>月</w:t>
      </w:r>
      <w:r>
        <w:rPr>
          <w:rFonts w:hint="eastAsia" w:eastAsia="仿宋_GB2312"/>
          <w:sz w:val="32"/>
          <w:szCs w:val="32"/>
        </w:rPr>
        <w:t>3</w:t>
      </w:r>
      <w:r>
        <w:rPr>
          <w:rFonts w:eastAsia="仿宋_GB2312"/>
          <w:sz w:val="32"/>
          <w:szCs w:val="32"/>
        </w:rPr>
        <w:t>1日全部资金投入与支出，涉及资金总额为</w:t>
      </w:r>
      <w:r>
        <w:rPr>
          <w:rFonts w:hint="eastAsia" w:eastAsia="仿宋_GB2312"/>
          <w:sz w:val="32"/>
          <w:szCs w:val="32"/>
        </w:rPr>
        <w:t>18</w:t>
      </w:r>
      <w:r>
        <w:rPr>
          <w:rFonts w:eastAsia="仿宋_GB2312"/>
          <w:sz w:val="32"/>
          <w:szCs w:val="32"/>
        </w:rPr>
        <w:t>万元。</w:t>
      </w:r>
    </w:p>
    <w:p w14:paraId="5743A0C6">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587BB893">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1D64C7C8">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3E50F81B">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434B0358">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2FCC1126">
      <w:pPr>
        <w:pStyle w:val="10"/>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社会影响：考察项目对社会方面的综合影响</w:t>
      </w:r>
      <w:r>
        <w:rPr>
          <w:rFonts w:hint="eastAsia" w:ascii="Times New Roman" w:hAnsi="Times New Roman" w:eastAsia="仿宋_GB2312"/>
          <w:b w:val="0"/>
          <w:bCs w:val="0"/>
        </w:rPr>
        <w:t>。</w:t>
      </w:r>
    </w:p>
    <w:p w14:paraId="42BAB1E6">
      <w:pPr>
        <w:spacing w:line="560" w:lineRule="exact"/>
        <w:ind w:firstLine="643" w:firstLineChars="200"/>
      </w:pPr>
      <w:r>
        <w:rPr>
          <w:rFonts w:eastAsia="楷体_GB2312"/>
          <w:b/>
          <w:bCs/>
          <w:sz w:val="32"/>
          <w:szCs w:val="32"/>
        </w:rPr>
        <w:t>（二）绩效评价原则、评价指标体系（详情见表1）、评价方法、评价标准。</w:t>
      </w:r>
    </w:p>
    <w:p w14:paraId="0F47AF42">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4C1B1D44">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473E8C93">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45A3B932">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35048C2E">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0A829276">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4E3972D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0CF85265">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2D7D9275">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45685AF6">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F765BA5">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0AA69F56">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353B6A47">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4368FCEF">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DBC402E">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29F6F902">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02BB827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6E88E6AB">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15062D5B">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2906B096">
      <w:pPr>
        <w:spacing w:line="560" w:lineRule="exact"/>
        <w:ind w:firstLine="708" w:firstLineChars="200"/>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hint="eastAsia" w:eastAsia="仿宋_GB2312"/>
          <w:spacing w:val="17"/>
          <w:sz w:val="32"/>
          <w:szCs w:val="32"/>
        </w:rPr>
        <w:t>使用原因：强调资金使用效率，符合财政资金绩效管理要求，直观反映项目的经济合理性。</w:t>
      </w:r>
      <w:r>
        <w:rPr>
          <w:rFonts w:eastAsia="仿宋_GB2312"/>
          <w:spacing w:val="17"/>
          <w:sz w:val="32"/>
          <w:szCs w:val="32"/>
        </w:rPr>
        <w:t xml:space="preserve"> </w:t>
      </w:r>
    </w:p>
    <w:p w14:paraId="00B12AA3">
      <w:pPr>
        <w:spacing w:line="560" w:lineRule="exact"/>
        <w:ind w:firstLine="708" w:firstLineChars="200"/>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r>
        <w:rPr>
          <w:rFonts w:hint="eastAsia" w:eastAsia="仿宋_GB2312"/>
          <w:spacing w:val="17"/>
          <w:sz w:val="32"/>
          <w:szCs w:val="32"/>
        </w:rPr>
        <w:t>使用原因：发现差距，推动绩效改进，验证项目实施的动态效果</w:t>
      </w:r>
    </w:p>
    <w:p w14:paraId="27BD4EE9">
      <w:pPr>
        <w:spacing w:line="560" w:lineRule="exact"/>
        <w:ind w:firstLine="708" w:firstLineChars="200"/>
        <w:rPr>
          <w:rFonts w:eastAsia="仿宋_GB2312"/>
          <w:spacing w:val="17"/>
          <w:sz w:val="32"/>
          <w:szCs w:val="32"/>
        </w:rPr>
      </w:pPr>
      <w:r>
        <w:rPr>
          <w:rFonts w:eastAsia="仿宋_GB2312"/>
          <w:spacing w:val="17"/>
          <w:sz w:val="32"/>
          <w:szCs w:val="32"/>
        </w:rPr>
        <w:t>（三）因素分析法。是指综合分析影响绩效目标实现、实施效果的内外部因素的方法。通过综合分析影响绩效目标实现、实施效果的内外因素，评价绩效目标实现程度。通过对</w:t>
      </w:r>
      <w:r>
        <w:rPr>
          <w:rFonts w:eastAsia="仿宋_GB2312"/>
          <w:sz w:val="32"/>
          <w:szCs w:val="32"/>
        </w:rPr>
        <w:t>项目</w:t>
      </w:r>
      <w:r>
        <w:rPr>
          <w:rFonts w:eastAsia="仿宋_GB2312"/>
          <w:spacing w:val="17"/>
          <w:sz w:val="32"/>
          <w:szCs w:val="32"/>
        </w:rPr>
        <w:t>的开展情况、项目产出数量、成本控制、资金拨付文件及自评报告等相关资料的收集和审核，综合分析各因素对绩效目标实现的影响。</w:t>
      </w:r>
    </w:p>
    <w:p w14:paraId="2489141E">
      <w:pPr>
        <w:spacing w:line="560" w:lineRule="exact"/>
        <w:ind w:firstLine="708" w:firstLineChars="200"/>
        <w:rPr>
          <w:rFonts w:eastAsia="仿宋_GB2312"/>
          <w:spacing w:val="17"/>
          <w:sz w:val="32"/>
          <w:szCs w:val="32"/>
        </w:rPr>
      </w:pPr>
    </w:p>
    <w:p w14:paraId="39D58F37">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50E3F7AD">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w:t>
      </w:r>
      <w:r>
        <w:rPr>
          <w:rFonts w:ascii="Times New Roman" w:hAnsi="Times New Roman" w:eastAsia="仿宋_GB2312"/>
          <w:b w:val="0"/>
          <w:bCs w:val="0"/>
        </w:rPr>
        <w:t>标准。</w:t>
      </w:r>
    </w:p>
    <w:p w14:paraId="54A17CF7">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（1）计划标准。指以预先制定的目标、计划、预算、定额等作为评价标准。</w:t>
      </w:r>
    </w:p>
    <w:p w14:paraId="5243F6C2">
      <w:pPr>
        <w:pStyle w:val="10"/>
        <w:numPr>
          <w:ilvl w:val="0"/>
          <w:numId w:val="3"/>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145E40F4">
      <w:pPr>
        <w:spacing w:line="560" w:lineRule="exact"/>
        <w:ind w:firstLine="640" w:firstLineChars="200"/>
        <w:rPr>
          <w:rFonts w:eastAsia="仿宋_GB2312"/>
          <w:sz w:val="32"/>
          <w:szCs w:val="32"/>
        </w:rPr>
      </w:pPr>
      <w:r>
        <w:rPr>
          <w:rFonts w:eastAsia="仿宋_GB2312"/>
          <w:sz w:val="32"/>
          <w:szCs w:val="32"/>
        </w:rPr>
        <w:t>（1）前期准备与规划</w:t>
      </w:r>
    </w:p>
    <w:p w14:paraId="7EEE8743">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财务专家、项目管理专业人员及相关领域技术骨干组成，确保从多角度、全方位对项目绩效进行评价。同时，明确了评价工作的目标、范围、重点及时间安排，制定了详细的工作计划，为评价工作的顺利开展奠定了坚实基础。</w:t>
      </w:r>
    </w:p>
    <w:p w14:paraId="1FC7FF24">
      <w:pPr>
        <w:spacing w:line="560" w:lineRule="exact"/>
        <w:ind w:firstLine="640" w:firstLineChars="200"/>
        <w:rPr>
          <w:rFonts w:eastAsia="仿宋_GB2312"/>
          <w:sz w:val="32"/>
          <w:szCs w:val="32"/>
        </w:rPr>
      </w:pPr>
      <w:r>
        <w:rPr>
          <w:rFonts w:eastAsia="仿宋_GB2312"/>
          <w:sz w:val="32"/>
          <w:szCs w:val="32"/>
        </w:rPr>
        <w:t>（2）指标体系构建</w:t>
      </w:r>
    </w:p>
    <w:p w14:paraId="5693CDD6">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7F4C68B3">
      <w:pPr>
        <w:spacing w:line="560" w:lineRule="exact"/>
        <w:ind w:firstLine="640" w:firstLineChars="200"/>
        <w:rPr>
          <w:rFonts w:eastAsia="仿宋_GB2312"/>
          <w:sz w:val="32"/>
          <w:szCs w:val="32"/>
        </w:rPr>
      </w:pPr>
      <w:r>
        <w:rPr>
          <w:rFonts w:eastAsia="仿宋_GB2312"/>
          <w:sz w:val="32"/>
          <w:szCs w:val="32"/>
        </w:rPr>
        <w:t>（3）数据收集与整理</w:t>
      </w:r>
    </w:p>
    <w:p w14:paraId="315992B0">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545D46EC">
      <w:pPr>
        <w:spacing w:line="560" w:lineRule="exact"/>
        <w:ind w:firstLine="640" w:firstLineChars="200"/>
        <w:rPr>
          <w:rFonts w:eastAsia="仿宋_GB2312"/>
          <w:sz w:val="32"/>
          <w:szCs w:val="32"/>
        </w:rPr>
      </w:pPr>
      <w:r>
        <w:rPr>
          <w:rFonts w:eastAsia="仿宋_GB2312"/>
          <w:sz w:val="32"/>
          <w:szCs w:val="32"/>
        </w:rPr>
        <w:t>（4）数据分析与评估</w:t>
      </w:r>
    </w:p>
    <w:p w14:paraId="1976B589">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A1F0E86">
      <w:pPr>
        <w:spacing w:line="560" w:lineRule="exact"/>
        <w:ind w:firstLine="640" w:firstLineChars="200"/>
        <w:rPr>
          <w:rFonts w:eastAsia="仿宋_GB2312"/>
          <w:sz w:val="32"/>
          <w:szCs w:val="32"/>
        </w:rPr>
      </w:pPr>
      <w:r>
        <w:rPr>
          <w:rFonts w:eastAsia="仿宋_GB2312"/>
          <w:sz w:val="32"/>
          <w:szCs w:val="32"/>
        </w:rPr>
        <w:t>（5）报告撰写与反馈</w:t>
      </w:r>
    </w:p>
    <w:p w14:paraId="147D2F02">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1810AD0">
      <w:pPr>
        <w:spacing w:line="560" w:lineRule="exact"/>
        <w:ind w:firstLine="640" w:firstLineChars="200"/>
        <w:rPr>
          <w:rFonts w:eastAsia="仿宋_GB2312"/>
          <w:sz w:val="32"/>
          <w:szCs w:val="32"/>
        </w:rPr>
      </w:pPr>
      <w:r>
        <w:rPr>
          <w:rFonts w:eastAsia="仿宋_GB2312"/>
          <w:sz w:val="32"/>
          <w:szCs w:val="32"/>
        </w:rPr>
        <w:t>（6）后续跟踪与改进</w:t>
      </w:r>
    </w:p>
    <w:p w14:paraId="6E88920B">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857B0F4">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14:paraId="272C24FC">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63938EB1">
      <w:pPr>
        <w:spacing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本项目的综合评价基于对项目各方面绩效的深入分析与评估。从项目目标的达成情况来看，乌鲁木齐环境综合整治生活垃圾分类采购项目在</w:t>
      </w:r>
      <w:r>
        <w:rPr>
          <w:rFonts w:hint="eastAsia" w:eastAsia="仿宋_GB2312"/>
          <w:sz w:val="32"/>
          <w:szCs w:val="32"/>
        </w:rPr>
        <w:t>通过购买垃圾车和垃圾箱，完善了垃圾分类投放，收集和运输设施，有望提高垃圾分类的准确率和效率，提升城市环境卫生水平，推动垃圾分类工作常态化，长效化发展</w:t>
      </w:r>
      <w:r>
        <w:rPr>
          <w:rFonts w:eastAsia="仿宋_GB2312"/>
          <w:sz w:val="32"/>
          <w:szCs w:val="32"/>
        </w:rPr>
        <w:t>、</w:t>
      </w:r>
      <w:r>
        <w:rPr>
          <w:rFonts w:hint="eastAsia" w:eastAsia="仿宋_GB2312"/>
          <w:sz w:val="32"/>
          <w:szCs w:val="32"/>
        </w:rPr>
        <w:t>购买34个0.5T垃圾箱</w:t>
      </w:r>
      <w:r>
        <w:rPr>
          <w:rFonts w:eastAsia="仿宋_GB2312"/>
          <w:sz w:val="32"/>
          <w:szCs w:val="32"/>
        </w:rPr>
        <w:t>1、</w:t>
      </w:r>
      <w:r>
        <w:rPr>
          <w:rFonts w:hint="eastAsia" w:eastAsia="仿宋_GB2312"/>
          <w:sz w:val="32"/>
          <w:szCs w:val="32"/>
        </w:rPr>
        <w:t>3辆0.5吨垃圾车</w:t>
      </w:r>
      <w:r>
        <w:rPr>
          <w:rFonts w:eastAsia="仿宋_GB2312"/>
          <w:sz w:val="32"/>
          <w:szCs w:val="32"/>
        </w:rPr>
        <w:t>等方面表现出色，达到了预期的标准与要求。同时，项目也在</w:t>
      </w:r>
      <w:r>
        <w:rPr>
          <w:rFonts w:hint="eastAsia" w:eastAsia="仿宋_GB2312"/>
          <w:sz w:val="32"/>
          <w:szCs w:val="32"/>
        </w:rPr>
        <w:t>环卫设备购置</w:t>
      </w:r>
      <w:r>
        <w:rPr>
          <w:rFonts w:eastAsia="仿宋_GB2312"/>
          <w:sz w:val="32"/>
          <w:szCs w:val="32"/>
        </w:rPr>
        <w:t>取得了显著的成效，如</w:t>
      </w:r>
      <w:r>
        <w:rPr>
          <w:rFonts w:hint="eastAsia" w:eastAsia="仿宋_GB2312"/>
          <w:sz w:val="32"/>
          <w:szCs w:val="32"/>
        </w:rPr>
        <w:t>购买34个0.5T垃圾箱</w:t>
      </w:r>
      <w:r>
        <w:rPr>
          <w:rFonts w:eastAsia="仿宋_GB2312"/>
          <w:sz w:val="32"/>
          <w:szCs w:val="32"/>
        </w:rPr>
        <w:t>1、</w:t>
      </w:r>
      <w:r>
        <w:rPr>
          <w:rFonts w:hint="eastAsia" w:eastAsia="仿宋_GB2312"/>
          <w:sz w:val="32"/>
          <w:szCs w:val="32"/>
        </w:rPr>
        <w:t>3辆0.5吨垃圾车</w:t>
      </w:r>
      <w:r>
        <w:rPr>
          <w:rFonts w:eastAsia="仿宋_GB2312"/>
          <w:sz w:val="32"/>
          <w:szCs w:val="32"/>
        </w:rPr>
        <w:t>等。</w:t>
      </w:r>
    </w:p>
    <w:p w14:paraId="2ED61084">
      <w:pPr>
        <w:spacing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乌鲁木齐市沙依巴克区环卫清运队</w:t>
      </w:r>
      <w:r>
        <w:rPr>
          <w:rFonts w:eastAsia="仿宋_GB2312"/>
          <w:sz w:val="32"/>
          <w:szCs w:val="32"/>
        </w:rPr>
        <w:t>通过有效的规划、组织与协调，项目得以顺利实施，并在预算与时间上保持了良好的控制。</w:t>
      </w:r>
    </w:p>
    <w:p w14:paraId="6544673A">
      <w:pPr>
        <w:spacing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hint="eastAsia" w:eastAsia="仿宋_GB2312"/>
          <w:sz w:val="32"/>
          <w:szCs w:val="32"/>
        </w:rPr>
        <w:t>有效提高垃圾分类率</w:t>
      </w:r>
      <w:r>
        <w:rPr>
          <w:rFonts w:eastAsia="仿宋_GB2312"/>
          <w:sz w:val="32"/>
          <w:szCs w:val="32"/>
        </w:rPr>
        <w:t>等方面的提升。</w:t>
      </w:r>
    </w:p>
    <w:p w14:paraId="0C38FCA8">
      <w:pPr>
        <w:spacing w:line="560" w:lineRule="exact"/>
        <w:ind w:firstLine="640" w:firstLineChars="200"/>
        <w:rPr>
          <w:rFonts w:eastAsia="仿宋_GB2312"/>
          <w:sz w:val="32"/>
          <w:szCs w:val="32"/>
        </w:rPr>
      </w:pPr>
      <w:r>
        <w:rPr>
          <w:rFonts w:eastAsia="仿宋_GB2312"/>
          <w:sz w:val="32"/>
          <w:szCs w:val="32"/>
        </w:rPr>
        <w:t>综上所述，乌鲁木齐环境综合整治生活垃圾分类采购项目在绩效评价中表现出色，达到了项目的预期目标，并在多个方面取得了显著的成效。</w:t>
      </w:r>
    </w:p>
    <w:p w14:paraId="014171AE">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46B2DFF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分，属于“优</w:t>
      </w:r>
      <w:r>
        <w:rPr>
          <w:rFonts w:hint="eastAsia" w:ascii="Times New Roman" w:hAnsi="Times New Roman" w:eastAsia="仿宋_GB2312"/>
          <w:b w:val="0"/>
          <w:bCs w:val="0"/>
        </w:rPr>
        <w:t>”</w:t>
      </w:r>
      <w:r>
        <w:rPr>
          <w:rFonts w:ascii="Times New Roman" w:hAnsi="Times New Roman" w:eastAsia="仿宋_GB2312"/>
          <w:b w:val="0"/>
          <w:bCs w:val="0"/>
        </w:rPr>
        <w:t xml:space="preserve">。其中，项目决策类指标权重为20分，得分为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57474366">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760" w:type="dxa"/>
        <w:jc w:val="center"/>
        <w:tblLayout w:type="fixed"/>
        <w:tblCellMar>
          <w:top w:w="0" w:type="dxa"/>
          <w:left w:w="108" w:type="dxa"/>
          <w:bottom w:w="0" w:type="dxa"/>
          <w:right w:w="108" w:type="dxa"/>
        </w:tblCellMar>
      </w:tblPr>
      <w:tblGrid>
        <w:gridCol w:w="2787"/>
        <w:gridCol w:w="1927"/>
        <w:gridCol w:w="2023"/>
        <w:gridCol w:w="2023"/>
      </w:tblGrid>
      <w:tr w14:paraId="69248538">
        <w:tblPrEx>
          <w:tblCellMar>
            <w:top w:w="0" w:type="dxa"/>
            <w:left w:w="108" w:type="dxa"/>
            <w:bottom w:w="0" w:type="dxa"/>
            <w:right w:w="108" w:type="dxa"/>
          </w:tblCellMar>
        </w:tblPrEx>
        <w:trPr>
          <w:trHeight w:val="90" w:hRule="atLeast"/>
          <w:tblHeader/>
          <w:jc w:val="center"/>
        </w:trPr>
        <w:tc>
          <w:tcPr>
            <w:tcW w:w="278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3F19398">
            <w:pPr>
              <w:jc w:val="center"/>
              <w:rPr>
                <w:rFonts w:eastAsia="仿宋_GB2312"/>
                <w:b/>
                <w:bCs/>
                <w:szCs w:val="21"/>
              </w:rPr>
            </w:pPr>
            <w:r>
              <w:rPr>
                <w:rFonts w:eastAsia="仿宋_GB2312"/>
                <w:b/>
                <w:bCs/>
                <w:szCs w:val="21"/>
              </w:rPr>
              <w:t>一级指标</w:t>
            </w:r>
          </w:p>
        </w:tc>
        <w:tc>
          <w:tcPr>
            <w:tcW w:w="192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5B80B81">
            <w:pPr>
              <w:jc w:val="center"/>
              <w:rPr>
                <w:rFonts w:eastAsia="仿宋_GB2312"/>
                <w:b/>
                <w:bCs/>
                <w:szCs w:val="21"/>
              </w:rPr>
            </w:pPr>
            <w:r>
              <w:rPr>
                <w:rFonts w:eastAsia="仿宋_GB2312"/>
                <w:b/>
                <w:bCs/>
                <w:szCs w:val="21"/>
              </w:rPr>
              <w:t>权重分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09E332C">
            <w:pPr>
              <w:jc w:val="center"/>
              <w:rPr>
                <w:rFonts w:eastAsia="仿宋_GB2312"/>
                <w:b/>
                <w:bCs/>
                <w:szCs w:val="21"/>
              </w:rPr>
            </w:pPr>
            <w:r>
              <w:rPr>
                <w:rFonts w:eastAsia="仿宋_GB2312"/>
                <w:b/>
                <w:bCs/>
                <w:szCs w:val="21"/>
              </w:rPr>
              <w:t>得分</w:t>
            </w:r>
          </w:p>
        </w:tc>
        <w:tc>
          <w:tcPr>
            <w:tcW w:w="2023"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101DFAA0">
            <w:pPr>
              <w:jc w:val="center"/>
              <w:rPr>
                <w:rFonts w:eastAsia="仿宋_GB2312"/>
                <w:b/>
                <w:bCs/>
                <w:szCs w:val="21"/>
              </w:rPr>
            </w:pPr>
            <w:r>
              <w:rPr>
                <w:rFonts w:hint="eastAsia" w:eastAsia="仿宋_GB2312"/>
                <w:b/>
                <w:bCs/>
                <w:szCs w:val="21"/>
              </w:rPr>
              <w:t>得分率</w:t>
            </w:r>
          </w:p>
        </w:tc>
      </w:tr>
      <w:tr w14:paraId="0C7CC890">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39179EEB">
            <w:pPr>
              <w:jc w:val="center"/>
              <w:rPr>
                <w:rFonts w:eastAsia="仿宋_GB2312"/>
                <w:szCs w:val="21"/>
              </w:rPr>
            </w:pPr>
            <w:r>
              <w:rPr>
                <w:rFonts w:eastAsia="仿宋_GB2312"/>
                <w:szCs w:val="21"/>
              </w:rPr>
              <w:t>项目决策</w:t>
            </w:r>
          </w:p>
        </w:tc>
        <w:tc>
          <w:tcPr>
            <w:tcW w:w="1927" w:type="dxa"/>
            <w:tcBorders>
              <w:top w:val="nil"/>
              <w:left w:val="nil"/>
              <w:bottom w:val="single" w:color="auto" w:sz="4" w:space="0"/>
              <w:right w:val="single" w:color="auto" w:sz="4" w:space="0"/>
            </w:tcBorders>
            <w:vAlign w:val="center"/>
          </w:tcPr>
          <w:p w14:paraId="5A387496">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42DD88D1">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47D68A19">
            <w:pPr>
              <w:jc w:val="center"/>
              <w:rPr>
                <w:rFonts w:eastAsia="仿宋_GB2312"/>
                <w:szCs w:val="21"/>
              </w:rPr>
            </w:pPr>
            <w:r>
              <w:rPr>
                <w:rFonts w:hint="eastAsia" w:eastAsia="仿宋_GB2312"/>
                <w:szCs w:val="21"/>
              </w:rPr>
              <w:t>100%</w:t>
            </w:r>
          </w:p>
        </w:tc>
      </w:tr>
      <w:tr w14:paraId="7735E288">
        <w:tblPrEx>
          <w:tblCellMar>
            <w:top w:w="0" w:type="dxa"/>
            <w:left w:w="108" w:type="dxa"/>
            <w:bottom w:w="0" w:type="dxa"/>
            <w:right w:w="108" w:type="dxa"/>
          </w:tblCellMar>
        </w:tblPrEx>
        <w:trPr>
          <w:trHeight w:val="415" w:hRule="atLeast"/>
          <w:jc w:val="center"/>
        </w:trPr>
        <w:tc>
          <w:tcPr>
            <w:tcW w:w="2787" w:type="dxa"/>
            <w:tcBorders>
              <w:top w:val="nil"/>
              <w:left w:val="single" w:color="auto" w:sz="4" w:space="0"/>
              <w:bottom w:val="single" w:color="auto" w:sz="4" w:space="0"/>
              <w:right w:val="single" w:color="auto" w:sz="4" w:space="0"/>
            </w:tcBorders>
            <w:vAlign w:val="center"/>
          </w:tcPr>
          <w:p w14:paraId="2A26E9DF">
            <w:pPr>
              <w:jc w:val="center"/>
              <w:rPr>
                <w:rFonts w:eastAsia="仿宋_GB2312"/>
                <w:szCs w:val="21"/>
              </w:rPr>
            </w:pPr>
            <w:r>
              <w:rPr>
                <w:rFonts w:eastAsia="仿宋_GB2312"/>
                <w:szCs w:val="21"/>
              </w:rPr>
              <w:t>项目过程</w:t>
            </w:r>
          </w:p>
        </w:tc>
        <w:tc>
          <w:tcPr>
            <w:tcW w:w="1927" w:type="dxa"/>
            <w:tcBorders>
              <w:top w:val="nil"/>
              <w:left w:val="nil"/>
              <w:bottom w:val="single" w:color="auto" w:sz="4" w:space="0"/>
              <w:right w:val="single" w:color="auto" w:sz="4" w:space="0"/>
            </w:tcBorders>
            <w:vAlign w:val="center"/>
          </w:tcPr>
          <w:p w14:paraId="31E6D446">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7F6A471C">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2B36FA87">
            <w:pPr>
              <w:jc w:val="center"/>
              <w:rPr>
                <w:rFonts w:eastAsia="仿宋_GB2312"/>
                <w:szCs w:val="21"/>
              </w:rPr>
            </w:pPr>
            <w:r>
              <w:rPr>
                <w:rFonts w:hint="eastAsia" w:eastAsia="仿宋_GB2312"/>
                <w:szCs w:val="21"/>
              </w:rPr>
              <w:t>100%</w:t>
            </w:r>
          </w:p>
        </w:tc>
      </w:tr>
      <w:tr w14:paraId="3847437A">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69408546">
            <w:pPr>
              <w:jc w:val="center"/>
              <w:rPr>
                <w:rFonts w:eastAsia="仿宋_GB2312"/>
                <w:szCs w:val="21"/>
              </w:rPr>
            </w:pPr>
            <w:r>
              <w:rPr>
                <w:rFonts w:eastAsia="仿宋_GB2312"/>
                <w:szCs w:val="21"/>
              </w:rPr>
              <w:t>项目产出</w:t>
            </w:r>
          </w:p>
        </w:tc>
        <w:tc>
          <w:tcPr>
            <w:tcW w:w="1927" w:type="dxa"/>
            <w:tcBorders>
              <w:top w:val="nil"/>
              <w:left w:val="nil"/>
              <w:bottom w:val="single" w:color="auto" w:sz="4" w:space="0"/>
              <w:right w:val="single" w:color="auto" w:sz="4" w:space="0"/>
            </w:tcBorders>
            <w:vAlign w:val="center"/>
          </w:tcPr>
          <w:p w14:paraId="6B45B0A9">
            <w:pPr>
              <w:jc w:val="center"/>
              <w:rPr>
                <w:rFonts w:eastAsia="仿宋_GB2312"/>
                <w:szCs w:val="21"/>
              </w:rPr>
            </w:pPr>
            <w:r>
              <w:rPr>
                <w:rFonts w:eastAsia="仿宋_GB2312"/>
                <w:szCs w:val="21"/>
              </w:rPr>
              <w:t>40</w:t>
            </w:r>
          </w:p>
        </w:tc>
        <w:tc>
          <w:tcPr>
            <w:tcW w:w="2023" w:type="dxa"/>
            <w:tcBorders>
              <w:top w:val="nil"/>
              <w:left w:val="nil"/>
              <w:bottom w:val="single" w:color="auto" w:sz="4" w:space="0"/>
              <w:right w:val="single" w:color="auto" w:sz="4" w:space="0"/>
            </w:tcBorders>
            <w:vAlign w:val="center"/>
          </w:tcPr>
          <w:p w14:paraId="6B972240">
            <w:pPr>
              <w:jc w:val="center"/>
              <w:rPr>
                <w:rFonts w:eastAsia="仿宋_GB2312"/>
                <w:szCs w:val="21"/>
              </w:rPr>
            </w:pPr>
            <w:r>
              <w:rPr>
                <w:rFonts w:hint="eastAsia" w:eastAsia="仿宋_GB2312"/>
                <w:szCs w:val="21"/>
              </w:rPr>
              <w:t>40</w:t>
            </w:r>
          </w:p>
        </w:tc>
        <w:tc>
          <w:tcPr>
            <w:tcW w:w="2023" w:type="dxa"/>
            <w:tcBorders>
              <w:top w:val="nil"/>
              <w:left w:val="nil"/>
              <w:bottom w:val="single" w:color="auto" w:sz="4" w:space="0"/>
              <w:right w:val="single" w:color="auto" w:sz="4" w:space="0"/>
            </w:tcBorders>
            <w:vAlign w:val="center"/>
          </w:tcPr>
          <w:p w14:paraId="2009EFF5">
            <w:pPr>
              <w:jc w:val="center"/>
              <w:rPr>
                <w:rFonts w:eastAsia="仿宋_GB2312"/>
                <w:szCs w:val="21"/>
              </w:rPr>
            </w:pPr>
            <w:r>
              <w:rPr>
                <w:rFonts w:hint="eastAsia" w:eastAsia="仿宋_GB2312"/>
                <w:szCs w:val="21"/>
              </w:rPr>
              <w:t>100%</w:t>
            </w:r>
          </w:p>
        </w:tc>
      </w:tr>
      <w:tr w14:paraId="6D051C63">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20F45F03">
            <w:pPr>
              <w:jc w:val="center"/>
              <w:rPr>
                <w:rFonts w:eastAsia="仿宋_GB2312"/>
                <w:szCs w:val="21"/>
              </w:rPr>
            </w:pPr>
            <w:r>
              <w:rPr>
                <w:rFonts w:eastAsia="仿宋_GB2312"/>
                <w:szCs w:val="21"/>
              </w:rPr>
              <w:t>项目效益</w:t>
            </w:r>
          </w:p>
        </w:tc>
        <w:tc>
          <w:tcPr>
            <w:tcW w:w="1927" w:type="dxa"/>
            <w:tcBorders>
              <w:top w:val="nil"/>
              <w:left w:val="nil"/>
              <w:bottom w:val="single" w:color="auto" w:sz="4" w:space="0"/>
              <w:right w:val="single" w:color="auto" w:sz="4" w:space="0"/>
            </w:tcBorders>
            <w:vAlign w:val="center"/>
          </w:tcPr>
          <w:p w14:paraId="59EDB8B3">
            <w:pPr>
              <w:jc w:val="center"/>
              <w:rPr>
                <w:rFonts w:eastAsia="仿宋_GB2312"/>
                <w:szCs w:val="21"/>
              </w:rPr>
            </w:pPr>
            <w:r>
              <w:rPr>
                <w:rFonts w:eastAsia="仿宋_GB2312"/>
                <w:szCs w:val="21"/>
              </w:rPr>
              <w:t>20</w:t>
            </w:r>
          </w:p>
        </w:tc>
        <w:tc>
          <w:tcPr>
            <w:tcW w:w="2023" w:type="dxa"/>
            <w:tcBorders>
              <w:top w:val="nil"/>
              <w:left w:val="nil"/>
              <w:bottom w:val="single" w:color="auto" w:sz="4" w:space="0"/>
              <w:right w:val="single" w:color="auto" w:sz="4" w:space="0"/>
            </w:tcBorders>
            <w:vAlign w:val="center"/>
          </w:tcPr>
          <w:p w14:paraId="0FD3973A">
            <w:pPr>
              <w:jc w:val="center"/>
              <w:rPr>
                <w:rFonts w:eastAsia="仿宋_GB2312"/>
                <w:szCs w:val="21"/>
              </w:rPr>
            </w:pPr>
            <w:r>
              <w:rPr>
                <w:rFonts w:hint="eastAsia" w:eastAsia="仿宋_GB2312"/>
                <w:szCs w:val="21"/>
              </w:rPr>
              <w:t>20</w:t>
            </w:r>
          </w:p>
        </w:tc>
        <w:tc>
          <w:tcPr>
            <w:tcW w:w="2023" w:type="dxa"/>
            <w:tcBorders>
              <w:top w:val="nil"/>
              <w:left w:val="nil"/>
              <w:bottom w:val="single" w:color="auto" w:sz="4" w:space="0"/>
              <w:right w:val="single" w:color="auto" w:sz="4" w:space="0"/>
            </w:tcBorders>
            <w:vAlign w:val="center"/>
          </w:tcPr>
          <w:p w14:paraId="435D4AA3">
            <w:pPr>
              <w:jc w:val="center"/>
              <w:rPr>
                <w:rFonts w:eastAsia="仿宋_GB2312"/>
                <w:szCs w:val="21"/>
              </w:rPr>
            </w:pPr>
            <w:r>
              <w:rPr>
                <w:rFonts w:hint="eastAsia" w:eastAsia="仿宋_GB2312"/>
                <w:szCs w:val="21"/>
              </w:rPr>
              <w:t>100%</w:t>
            </w:r>
          </w:p>
        </w:tc>
      </w:tr>
      <w:tr w14:paraId="30DDCDDF">
        <w:tblPrEx>
          <w:tblCellMar>
            <w:top w:w="0" w:type="dxa"/>
            <w:left w:w="108" w:type="dxa"/>
            <w:bottom w:w="0" w:type="dxa"/>
            <w:right w:w="108" w:type="dxa"/>
          </w:tblCellMar>
        </w:tblPrEx>
        <w:trPr>
          <w:trHeight w:val="340" w:hRule="atLeast"/>
          <w:jc w:val="center"/>
        </w:trPr>
        <w:tc>
          <w:tcPr>
            <w:tcW w:w="2787" w:type="dxa"/>
            <w:tcBorders>
              <w:top w:val="nil"/>
              <w:left w:val="single" w:color="auto" w:sz="4" w:space="0"/>
              <w:bottom w:val="single" w:color="auto" w:sz="4" w:space="0"/>
              <w:right w:val="single" w:color="auto" w:sz="4" w:space="0"/>
            </w:tcBorders>
            <w:vAlign w:val="center"/>
          </w:tcPr>
          <w:p w14:paraId="781F059C">
            <w:pPr>
              <w:jc w:val="center"/>
              <w:rPr>
                <w:rFonts w:eastAsia="仿宋_GB2312"/>
                <w:b/>
                <w:bCs/>
                <w:szCs w:val="21"/>
              </w:rPr>
            </w:pPr>
            <w:r>
              <w:rPr>
                <w:rFonts w:eastAsia="仿宋_GB2312"/>
                <w:b/>
                <w:bCs/>
                <w:szCs w:val="21"/>
              </w:rPr>
              <w:t>合计</w:t>
            </w:r>
          </w:p>
        </w:tc>
        <w:tc>
          <w:tcPr>
            <w:tcW w:w="1927" w:type="dxa"/>
            <w:tcBorders>
              <w:top w:val="nil"/>
              <w:left w:val="nil"/>
              <w:bottom w:val="single" w:color="auto" w:sz="4" w:space="0"/>
              <w:right w:val="single" w:color="auto" w:sz="4" w:space="0"/>
            </w:tcBorders>
            <w:vAlign w:val="center"/>
          </w:tcPr>
          <w:p w14:paraId="5927376B">
            <w:pPr>
              <w:jc w:val="center"/>
              <w:rPr>
                <w:rFonts w:eastAsia="仿宋_GB2312"/>
                <w:b/>
                <w:bCs/>
                <w:szCs w:val="21"/>
              </w:rPr>
            </w:pPr>
            <w:r>
              <w:rPr>
                <w:rFonts w:eastAsia="仿宋_GB2312"/>
                <w:b/>
                <w:bCs/>
                <w:szCs w:val="21"/>
              </w:rPr>
              <w:t>100</w:t>
            </w:r>
          </w:p>
        </w:tc>
        <w:tc>
          <w:tcPr>
            <w:tcW w:w="2023" w:type="dxa"/>
            <w:tcBorders>
              <w:top w:val="nil"/>
              <w:left w:val="nil"/>
              <w:bottom w:val="single" w:color="auto" w:sz="4" w:space="0"/>
              <w:right w:val="single" w:color="auto" w:sz="4" w:space="0"/>
            </w:tcBorders>
            <w:vAlign w:val="center"/>
          </w:tcPr>
          <w:p w14:paraId="5085E68D">
            <w:pPr>
              <w:jc w:val="center"/>
              <w:rPr>
                <w:rFonts w:eastAsia="仿宋_GB2312"/>
                <w:b/>
                <w:bCs/>
                <w:szCs w:val="21"/>
              </w:rPr>
            </w:pPr>
            <w:r>
              <w:rPr>
                <w:rFonts w:hint="eastAsia" w:eastAsia="仿宋_GB2312"/>
                <w:b/>
                <w:bCs/>
                <w:szCs w:val="21"/>
              </w:rPr>
              <w:t>100</w:t>
            </w:r>
          </w:p>
        </w:tc>
        <w:tc>
          <w:tcPr>
            <w:tcW w:w="2023" w:type="dxa"/>
            <w:tcBorders>
              <w:top w:val="nil"/>
              <w:left w:val="nil"/>
              <w:bottom w:val="single" w:color="auto" w:sz="4" w:space="0"/>
              <w:right w:val="single" w:color="auto" w:sz="4" w:space="0"/>
            </w:tcBorders>
            <w:vAlign w:val="center"/>
          </w:tcPr>
          <w:p w14:paraId="3BEA9187">
            <w:pPr>
              <w:jc w:val="center"/>
              <w:rPr>
                <w:rFonts w:eastAsia="仿宋_GB2312"/>
                <w:b/>
                <w:bCs/>
                <w:szCs w:val="21"/>
              </w:rPr>
            </w:pPr>
            <w:r>
              <w:rPr>
                <w:rFonts w:hint="eastAsia" w:eastAsia="仿宋_GB2312"/>
                <w:szCs w:val="21"/>
              </w:rPr>
              <w:t>100%</w:t>
            </w:r>
          </w:p>
        </w:tc>
      </w:tr>
    </w:tbl>
    <w:p w14:paraId="482FB815">
      <w:pPr>
        <w:spacing w:line="560" w:lineRule="exact"/>
        <w:ind w:firstLine="640" w:firstLineChars="200"/>
        <w:rPr>
          <w:rFonts w:eastAsia="黑体"/>
          <w:sz w:val="32"/>
          <w:szCs w:val="32"/>
        </w:rPr>
      </w:pPr>
      <w:r>
        <w:rPr>
          <w:rFonts w:eastAsia="黑体"/>
          <w:sz w:val="32"/>
          <w:szCs w:val="32"/>
        </w:rPr>
        <w:t>四、绩效评价指标分析</w:t>
      </w:r>
    </w:p>
    <w:p w14:paraId="69B5CFD3">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7EF2B574">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4028213F">
      <w:pPr>
        <w:pStyle w:val="19"/>
        <w:spacing w:line="560" w:lineRule="exact"/>
        <w:ind w:firstLine="640"/>
        <w:rPr>
          <w:rFonts w:eastAsia="仿宋_GB2312"/>
          <w:b/>
          <w:bCs/>
          <w:sz w:val="32"/>
          <w:szCs w:val="32"/>
        </w:rPr>
      </w:pPr>
      <w:r>
        <w:rPr>
          <w:rFonts w:eastAsia="仿宋_GB2312"/>
          <w:b/>
          <w:bCs/>
          <w:sz w:val="32"/>
          <w:szCs w:val="32"/>
        </w:rPr>
        <w:t>1.项目立项</w:t>
      </w:r>
    </w:p>
    <w:p w14:paraId="5E903C56">
      <w:pPr>
        <w:spacing w:line="600" w:lineRule="exact"/>
        <w:ind w:firstLine="640" w:firstLineChars="200"/>
        <w:outlineLvl w:val="0"/>
        <w:rPr>
          <w:rFonts w:eastAsia="仿宋_GB2312"/>
          <w:sz w:val="32"/>
          <w:szCs w:val="32"/>
        </w:rPr>
      </w:pPr>
      <w:r>
        <w:rPr>
          <w:rFonts w:eastAsia="仿宋_GB2312"/>
          <w:sz w:val="32"/>
          <w:szCs w:val="32"/>
        </w:rPr>
        <w:t>（1）立项依据充分性</w:t>
      </w:r>
    </w:p>
    <w:p w14:paraId="5E678FE6">
      <w:pPr>
        <w:spacing w:line="600" w:lineRule="exact"/>
        <w:ind w:firstLine="640" w:firstLineChars="200"/>
        <w:outlineLvl w:val="0"/>
        <w:rPr>
          <w:rFonts w:eastAsia="仿宋_GB2312"/>
          <w:sz w:val="32"/>
          <w:szCs w:val="32"/>
        </w:rPr>
      </w:pPr>
      <w:r>
        <w:rPr>
          <w:rFonts w:eastAsia="仿宋_GB2312"/>
          <w:sz w:val="32"/>
          <w:szCs w:val="32"/>
        </w:rPr>
        <w:t>该项目立项</w:t>
      </w:r>
      <w:r>
        <w:rPr>
          <w:rFonts w:hint="eastAsia" w:eastAsia="仿宋_GB2312"/>
          <w:sz w:val="32"/>
          <w:szCs w:val="32"/>
        </w:rPr>
        <w:t>根据《印发关于加快推进我市生活垃圾分类重点工作的实施方案的通知》（乌政协〔2019〕141号）和《关于申请垃圾分类项目资金的请示》（沙城执党〔2020〕2号）</w:t>
      </w:r>
      <w:r>
        <w:rPr>
          <w:rFonts w:eastAsia="仿宋_GB2312"/>
          <w:sz w:val="32"/>
          <w:szCs w:val="32"/>
        </w:rPr>
        <w:t>，符合行业规划要求，围绕本年度工作重点和工作计划制定经费预算，属于公共财政支持范围。本项目与部门内部其他相关项目不重复。部门发展规划及职能文件等归档完整。</w:t>
      </w:r>
    </w:p>
    <w:p w14:paraId="46085088">
      <w:pPr>
        <w:spacing w:line="600" w:lineRule="exact"/>
        <w:ind w:firstLine="640" w:firstLineChars="200"/>
        <w:outlineLvl w:val="0"/>
        <w:rPr>
          <w:rFonts w:eastAsia="仿宋_GB2312"/>
          <w:sz w:val="32"/>
          <w:szCs w:val="32"/>
        </w:rPr>
      </w:pPr>
      <w:r>
        <w:rPr>
          <w:rFonts w:eastAsia="仿宋_GB2312"/>
          <w:sz w:val="32"/>
          <w:szCs w:val="32"/>
        </w:rPr>
        <w:t>（2）立项程序规范性</w:t>
      </w:r>
    </w:p>
    <w:p w14:paraId="4806536A">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w:t>
      </w:r>
      <w:r>
        <w:rPr>
          <w:rFonts w:hint="eastAsia" w:eastAsia="仿宋_GB2312"/>
          <w:sz w:val="32"/>
          <w:szCs w:val="32"/>
        </w:rPr>
        <w:t>单位会议</w:t>
      </w:r>
      <w:r>
        <w:rPr>
          <w:rFonts w:eastAsia="仿宋_GB2312"/>
          <w:sz w:val="32"/>
          <w:szCs w:val="32"/>
        </w:rPr>
        <w:t>绩效评估、集体决策，保障了程序的规范性。</w:t>
      </w:r>
    </w:p>
    <w:p w14:paraId="35BAD377">
      <w:pPr>
        <w:pStyle w:val="19"/>
        <w:spacing w:line="560" w:lineRule="exact"/>
        <w:ind w:firstLine="640"/>
        <w:rPr>
          <w:rFonts w:eastAsia="仿宋_GB2312"/>
          <w:b/>
          <w:bCs/>
          <w:sz w:val="32"/>
          <w:szCs w:val="32"/>
        </w:rPr>
      </w:pPr>
      <w:r>
        <w:rPr>
          <w:rFonts w:eastAsia="仿宋_GB2312"/>
          <w:b/>
          <w:bCs/>
          <w:sz w:val="32"/>
          <w:szCs w:val="32"/>
        </w:rPr>
        <w:t>2.绩效目标</w:t>
      </w:r>
    </w:p>
    <w:p w14:paraId="5B4F3A6B">
      <w:pPr>
        <w:spacing w:line="600" w:lineRule="exact"/>
        <w:ind w:firstLine="640" w:firstLineChars="200"/>
        <w:outlineLvl w:val="0"/>
        <w:rPr>
          <w:rFonts w:eastAsia="仿宋_GB2312"/>
          <w:sz w:val="32"/>
          <w:szCs w:val="32"/>
        </w:rPr>
      </w:pPr>
      <w:r>
        <w:rPr>
          <w:rFonts w:eastAsia="仿宋_GB2312"/>
          <w:sz w:val="32"/>
          <w:szCs w:val="32"/>
        </w:rPr>
        <w:t>（1）绩效目标合理性</w:t>
      </w:r>
    </w:p>
    <w:p w14:paraId="098111F0">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3799C95A">
      <w:pPr>
        <w:spacing w:line="600" w:lineRule="exact"/>
        <w:ind w:firstLine="640" w:firstLineChars="200"/>
        <w:outlineLvl w:val="0"/>
        <w:rPr>
          <w:rFonts w:eastAsia="仿宋_GB2312"/>
          <w:sz w:val="32"/>
          <w:szCs w:val="32"/>
        </w:rPr>
      </w:pPr>
      <w:r>
        <w:rPr>
          <w:rFonts w:eastAsia="仿宋_GB2312"/>
          <w:sz w:val="32"/>
          <w:szCs w:val="32"/>
        </w:rPr>
        <w:t>（2）绩效指标明确性</w:t>
      </w:r>
    </w:p>
    <w:p w14:paraId="21CE5F22">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数量指标：指</w:t>
      </w:r>
      <w:r>
        <w:rPr>
          <w:rFonts w:eastAsia="仿宋_GB2312"/>
          <w:sz w:val="32"/>
          <w:szCs w:val="32"/>
          <w:lang w:eastAsia="zh-Hans"/>
        </w:rPr>
        <w:t>标1： 采购0.5吨垃圾箱 ，指标值：=34个 指标</w:t>
      </w:r>
      <w:r>
        <w:rPr>
          <w:rFonts w:hint="eastAsia" w:eastAsia="仿宋_GB2312"/>
          <w:sz w:val="32"/>
          <w:szCs w:val="32"/>
        </w:rPr>
        <w:t>2</w:t>
      </w:r>
      <w:r>
        <w:rPr>
          <w:rFonts w:eastAsia="仿宋_GB2312"/>
          <w:sz w:val="32"/>
          <w:szCs w:val="32"/>
          <w:lang w:eastAsia="zh-Hans"/>
        </w:rPr>
        <w:t>： 采购0.5吨垃圾</w:t>
      </w:r>
      <w:r>
        <w:rPr>
          <w:rFonts w:hint="eastAsia" w:eastAsia="仿宋_GB2312"/>
          <w:sz w:val="32"/>
          <w:szCs w:val="32"/>
        </w:rPr>
        <w:t>车</w:t>
      </w:r>
      <w:r>
        <w:rPr>
          <w:rFonts w:eastAsia="仿宋_GB2312"/>
          <w:sz w:val="32"/>
          <w:szCs w:val="32"/>
          <w:lang w:eastAsia="zh-Hans"/>
        </w:rPr>
        <w:t xml:space="preserve"> ，指标值</w:t>
      </w:r>
      <w:r>
        <w:rPr>
          <w:rFonts w:hint="eastAsia" w:eastAsia="仿宋_GB2312"/>
          <w:sz w:val="32"/>
          <w:szCs w:val="32"/>
        </w:rPr>
        <w:t>：=</w:t>
      </w:r>
      <w:r>
        <w:rPr>
          <w:rFonts w:eastAsia="仿宋_GB2312"/>
          <w:sz w:val="32"/>
          <w:szCs w:val="32"/>
          <w:lang w:eastAsia="zh-Hans"/>
        </w:rPr>
        <w:t>3</w:t>
      </w:r>
      <w:r>
        <w:rPr>
          <w:rFonts w:hint="eastAsia" w:eastAsia="仿宋_GB2312"/>
          <w:sz w:val="32"/>
          <w:szCs w:val="32"/>
        </w:rPr>
        <w:t>辆</w:t>
      </w:r>
      <w:r>
        <w:rPr>
          <w:rFonts w:eastAsia="仿宋_GB2312"/>
          <w:sz w:val="32"/>
          <w:szCs w:val="32"/>
          <w:lang w:eastAsia="zh-Hans"/>
        </w:rPr>
        <w:t xml:space="preserve"> </w:t>
      </w:r>
      <w:r>
        <w:rPr>
          <w:rFonts w:eastAsia="仿宋_GB2312"/>
          <w:sz w:val="32"/>
          <w:szCs w:val="32"/>
          <w:lang w:eastAsia="zh-Hans"/>
        </w:rPr>
        <w:fldChar w:fldCharType="begin"/>
      </w:r>
      <w:r>
        <w:rPr>
          <w:rFonts w:eastAsia="仿宋_GB2312"/>
          <w:sz w:val="32"/>
          <w:szCs w:val="32"/>
          <w:lang w:eastAsia="zh-Hans"/>
        </w:rPr>
        <w:instrText xml:space="preserve"> = 2 \* GB3 </w:instrText>
      </w:r>
      <w:r>
        <w:rPr>
          <w:rFonts w:eastAsia="仿宋_GB2312"/>
          <w:sz w:val="32"/>
          <w:szCs w:val="32"/>
          <w:lang w:eastAsia="zh-Hans"/>
        </w:rPr>
        <w:fldChar w:fldCharType="separate"/>
      </w:r>
      <w:r>
        <w:rPr>
          <w:rFonts w:eastAsia="仿宋_GB2312"/>
          <w:sz w:val="32"/>
          <w:szCs w:val="32"/>
          <w:lang w:eastAsia="zh-Hans"/>
        </w:rPr>
        <w:t>②</w:t>
      </w:r>
      <w:r>
        <w:rPr>
          <w:rFonts w:eastAsia="仿宋_GB2312"/>
          <w:sz w:val="32"/>
          <w:szCs w:val="32"/>
          <w:lang w:eastAsia="zh-Hans"/>
        </w:rPr>
        <w:fldChar w:fldCharType="end"/>
      </w:r>
      <w:r>
        <w:rPr>
          <w:rFonts w:eastAsia="仿宋_GB2312"/>
          <w:sz w:val="32"/>
          <w:szCs w:val="32"/>
          <w:lang w:eastAsia="zh-Hans"/>
        </w:rPr>
        <w:t>质量指标：采购设备合格率</w:t>
      </w:r>
      <w:r>
        <w:rPr>
          <w:rFonts w:hint="eastAsia" w:eastAsia="仿宋_GB2312"/>
          <w:sz w:val="32"/>
          <w:szCs w:val="32"/>
        </w:rPr>
        <w:t>，</w:t>
      </w:r>
      <w:r>
        <w:rPr>
          <w:rFonts w:hint="eastAsia" w:eastAsia="仿宋_GB2312"/>
          <w:sz w:val="32"/>
          <w:szCs w:val="32"/>
          <w:lang w:eastAsia="zh-Hans"/>
        </w:rPr>
        <w:t>指标值：=</w:t>
      </w:r>
      <w:r>
        <w:rPr>
          <w:rFonts w:hint="eastAsia" w:eastAsia="仿宋_GB2312"/>
          <w:sz w:val="32"/>
          <w:szCs w:val="32"/>
        </w:rPr>
        <w:t>100</w:t>
      </w:r>
      <w:r>
        <w:rPr>
          <w:rFonts w:hint="eastAsia" w:eastAsia="仿宋_GB2312"/>
          <w:sz w:val="32"/>
          <w:szCs w:val="32"/>
          <w:lang w:eastAsia="zh-Hans"/>
        </w:rPr>
        <w:t>%</w:t>
      </w:r>
      <w:r>
        <w:rPr>
          <w:rFonts w:hint="eastAsia" w:eastAsia="仿宋_GB2312"/>
          <w:sz w:val="32"/>
          <w:szCs w:val="32"/>
        </w:rPr>
        <w:t>。</w:t>
      </w:r>
      <w:r>
        <w:rPr>
          <w:rFonts w:eastAsia="仿宋_GB2312"/>
          <w:sz w:val="32"/>
          <w:szCs w:val="32"/>
          <w:lang w:eastAsia="zh-Hans"/>
        </w:rPr>
        <w:fldChar w:fldCharType="begin"/>
      </w:r>
      <w:r>
        <w:rPr>
          <w:rFonts w:eastAsia="仿宋_GB2312"/>
          <w:sz w:val="32"/>
          <w:szCs w:val="32"/>
          <w:lang w:eastAsia="zh-Hans"/>
        </w:rPr>
        <w:instrText xml:space="preserve"> = 3 \* GB3 </w:instrText>
      </w:r>
      <w:r>
        <w:rPr>
          <w:rFonts w:eastAsia="仿宋_GB2312"/>
          <w:sz w:val="32"/>
          <w:szCs w:val="32"/>
          <w:lang w:eastAsia="zh-Hans"/>
        </w:rPr>
        <w:fldChar w:fldCharType="separate"/>
      </w:r>
      <w:r>
        <w:rPr>
          <w:rFonts w:eastAsia="仿宋_GB2312"/>
          <w:sz w:val="32"/>
          <w:szCs w:val="32"/>
          <w:lang w:eastAsia="zh-Hans"/>
        </w:rPr>
        <w:t>③</w:t>
      </w:r>
      <w:r>
        <w:rPr>
          <w:rFonts w:eastAsia="仿宋_GB2312"/>
          <w:sz w:val="32"/>
          <w:szCs w:val="32"/>
          <w:lang w:eastAsia="zh-Hans"/>
        </w:rPr>
        <w:fldChar w:fldCharType="end"/>
      </w:r>
      <w:r>
        <w:rPr>
          <w:rFonts w:eastAsia="仿宋_GB2312"/>
          <w:sz w:val="32"/>
          <w:szCs w:val="32"/>
          <w:lang w:eastAsia="zh-Hans"/>
        </w:rPr>
        <w:t>时效指标：</w:t>
      </w:r>
      <w:r>
        <w:rPr>
          <w:rFonts w:hint="eastAsia" w:eastAsia="仿宋_GB2312"/>
          <w:sz w:val="32"/>
          <w:szCs w:val="32"/>
          <w:lang w:eastAsia="zh-Hans"/>
        </w:rPr>
        <w:t>垃圾分类宣传率，指标值：=</w:t>
      </w:r>
      <w:r>
        <w:rPr>
          <w:rFonts w:hint="eastAsia" w:eastAsia="仿宋_GB2312"/>
          <w:sz w:val="32"/>
          <w:szCs w:val="32"/>
        </w:rPr>
        <w:t>100</w:t>
      </w:r>
      <w:r>
        <w:rPr>
          <w:rFonts w:hint="eastAsia" w:eastAsia="仿宋_GB2312"/>
          <w:sz w:val="32"/>
          <w:szCs w:val="32"/>
          <w:lang w:eastAsia="zh-Hans"/>
        </w:rPr>
        <w:t>%</w:t>
      </w:r>
      <w:r>
        <w:rPr>
          <w:rFonts w:hint="eastAsia" w:eastAsia="仿宋_GB2312"/>
          <w:sz w:val="32"/>
          <w:szCs w:val="32"/>
        </w:rPr>
        <w:t>。</w:t>
      </w:r>
      <w:r>
        <w:rPr>
          <w:rFonts w:eastAsia="仿宋_GB2312"/>
          <w:sz w:val="32"/>
          <w:szCs w:val="32"/>
          <w:lang w:eastAsia="zh-Hans"/>
        </w:rPr>
        <w:fldChar w:fldCharType="begin"/>
      </w:r>
      <w:r>
        <w:rPr>
          <w:rFonts w:eastAsia="仿宋_GB2312"/>
          <w:sz w:val="32"/>
          <w:szCs w:val="32"/>
          <w:lang w:eastAsia="zh-Hans"/>
        </w:rPr>
        <w:instrText xml:space="preserve"> = 4 \* GB3 </w:instrText>
      </w:r>
      <w:r>
        <w:rPr>
          <w:rFonts w:eastAsia="仿宋_GB2312"/>
          <w:sz w:val="32"/>
          <w:szCs w:val="32"/>
          <w:lang w:eastAsia="zh-Hans"/>
        </w:rPr>
        <w:fldChar w:fldCharType="separate"/>
      </w:r>
      <w:r>
        <w:rPr>
          <w:rFonts w:eastAsia="仿宋_GB2312"/>
          <w:sz w:val="32"/>
          <w:szCs w:val="32"/>
          <w:lang w:eastAsia="zh-Hans"/>
        </w:rPr>
        <w:t>④</w:t>
      </w:r>
      <w:r>
        <w:rPr>
          <w:rFonts w:eastAsia="仿宋_GB2312"/>
          <w:sz w:val="32"/>
          <w:szCs w:val="32"/>
          <w:lang w:eastAsia="zh-Hans"/>
        </w:rPr>
        <w:fldChar w:fldCharType="end"/>
      </w:r>
      <w:r>
        <w:rPr>
          <w:rFonts w:eastAsia="仿宋_GB2312"/>
          <w:sz w:val="32"/>
          <w:szCs w:val="32"/>
          <w:lang w:eastAsia="zh-Hans"/>
        </w:rPr>
        <w:t>成本指标：指标1： 垃圾箱采购成本 ，指标值：=3</w:t>
      </w:r>
      <w:r>
        <w:rPr>
          <w:rFonts w:hint="eastAsia" w:eastAsia="仿宋_GB2312"/>
          <w:sz w:val="32"/>
          <w:szCs w:val="32"/>
        </w:rPr>
        <w:t>万</w:t>
      </w:r>
      <w:r>
        <w:rPr>
          <w:rFonts w:eastAsia="仿宋_GB2312"/>
          <w:sz w:val="32"/>
          <w:szCs w:val="32"/>
          <w:lang w:eastAsia="zh-Hans"/>
        </w:rPr>
        <w:t xml:space="preserve"> ，指标</w:t>
      </w:r>
      <w:r>
        <w:rPr>
          <w:rFonts w:hint="eastAsia" w:eastAsia="仿宋_GB2312"/>
          <w:sz w:val="32"/>
          <w:szCs w:val="32"/>
        </w:rPr>
        <w:t>2</w:t>
      </w:r>
      <w:r>
        <w:rPr>
          <w:rFonts w:eastAsia="仿宋_GB2312"/>
          <w:sz w:val="32"/>
          <w:szCs w:val="32"/>
          <w:lang w:eastAsia="zh-Hans"/>
        </w:rPr>
        <w:t>： 垃圾</w:t>
      </w:r>
      <w:r>
        <w:rPr>
          <w:rFonts w:hint="eastAsia" w:eastAsia="仿宋_GB2312"/>
          <w:sz w:val="32"/>
          <w:szCs w:val="32"/>
        </w:rPr>
        <w:t>车</w:t>
      </w:r>
      <w:r>
        <w:rPr>
          <w:rFonts w:eastAsia="仿宋_GB2312"/>
          <w:sz w:val="32"/>
          <w:szCs w:val="32"/>
          <w:lang w:eastAsia="zh-Hans"/>
        </w:rPr>
        <w:t>采购成本 ，指标值</w:t>
      </w:r>
      <w:r>
        <w:rPr>
          <w:rFonts w:hint="eastAsia" w:eastAsia="仿宋_GB2312"/>
          <w:sz w:val="32"/>
          <w:szCs w:val="32"/>
        </w:rPr>
        <w:t>：=15万</w:t>
      </w:r>
      <w:r>
        <w:rPr>
          <w:rFonts w:eastAsia="仿宋_GB2312"/>
          <w:sz w:val="32"/>
          <w:szCs w:val="32"/>
        </w:rPr>
        <w:t>，</w:t>
      </w:r>
      <w:r>
        <w:rPr>
          <w:rFonts w:hint="eastAsia" w:eastAsia="仿宋_GB2312"/>
          <w:sz w:val="32"/>
          <w:szCs w:val="32"/>
        </w:rPr>
        <w:t>社会效益指标：提高垃圾分类率，有效提高。满意度指标，满意度&gt;=95%。</w:t>
      </w:r>
      <w:r>
        <w:rPr>
          <w:rFonts w:eastAsia="仿宋_GB2312"/>
          <w:sz w:val="32"/>
          <w:szCs w:val="32"/>
        </w:rPr>
        <w:t>绩效目标与项目目标任务数相对应，绩效目标设定的绩效指标清晰、细化、可衡量。</w:t>
      </w:r>
    </w:p>
    <w:p w14:paraId="0524623D">
      <w:pPr>
        <w:pStyle w:val="19"/>
        <w:spacing w:line="560" w:lineRule="exact"/>
        <w:ind w:firstLine="640"/>
        <w:rPr>
          <w:rFonts w:eastAsia="仿宋_GB2312"/>
          <w:b/>
          <w:bCs/>
          <w:sz w:val="32"/>
          <w:szCs w:val="32"/>
        </w:rPr>
      </w:pPr>
      <w:r>
        <w:rPr>
          <w:rFonts w:eastAsia="仿宋_GB2312"/>
          <w:b/>
          <w:bCs/>
          <w:sz w:val="32"/>
          <w:szCs w:val="32"/>
        </w:rPr>
        <w:t>3.资金投入</w:t>
      </w:r>
    </w:p>
    <w:p w14:paraId="5FD96B31">
      <w:pPr>
        <w:spacing w:line="600" w:lineRule="exact"/>
        <w:ind w:firstLine="640" w:firstLineChars="200"/>
        <w:outlineLvl w:val="0"/>
        <w:rPr>
          <w:rFonts w:eastAsia="仿宋_GB2312"/>
          <w:sz w:val="32"/>
          <w:szCs w:val="32"/>
        </w:rPr>
      </w:pPr>
      <w:r>
        <w:rPr>
          <w:rFonts w:eastAsia="仿宋_GB2312"/>
          <w:sz w:val="32"/>
          <w:szCs w:val="32"/>
        </w:rPr>
        <w:t>（1）预算编制科学性</w:t>
      </w:r>
    </w:p>
    <w:p w14:paraId="32F21703">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C698A43">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7E9DA58">
      <w:pPr>
        <w:spacing w:line="600" w:lineRule="exact"/>
        <w:ind w:firstLine="640" w:firstLineChars="200"/>
        <w:outlineLvl w:val="0"/>
        <w:rPr>
          <w:rFonts w:eastAsia="仿宋_GB2312"/>
          <w:sz w:val="32"/>
          <w:szCs w:val="32"/>
        </w:rPr>
      </w:pPr>
      <w:r>
        <w:rPr>
          <w:rFonts w:eastAsia="仿宋_GB2312"/>
          <w:sz w:val="32"/>
          <w:szCs w:val="32"/>
        </w:rPr>
        <w:t>（2）资金分配合理性</w:t>
      </w:r>
    </w:p>
    <w:p w14:paraId="716A5009">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168D62F5">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491A03E1">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0613B565">
      <w:pPr>
        <w:pStyle w:val="10"/>
        <w:numPr>
          <w:ilvl w:val="0"/>
          <w:numId w:val="5"/>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3D229153">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722DE861">
      <w:pPr>
        <w:pStyle w:val="19"/>
        <w:spacing w:line="560" w:lineRule="exact"/>
        <w:ind w:firstLine="640"/>
        <w:rPr>
          <w:rFonts w:eastAsia="仿宋_GB2312"/>
          <w:b/>
          <w:bCs/>
          <w:sz w:val="32"/>
          <w:szCs w:val="32"/>
        </w:rPr>
      </w:pPr>
      <w:r>
        <w:rPr>
          <w:rFonts w:eastAsia="仿宋_GB2312"/>
          <w:b/>
          <w:bCs/>
          <w:sz w:val="32"/>
          <w:szCs w:val="32"/>
        </w:rPr>
        <w:t>1.资金管理</w:t>
      </w:r>
    </w:p>
    <w:p w14:paraId="6638B929">
      <w:pPr>
        <w:spacing w:line="600" w:lineRule="exact"/>
        <w:ind w:firstLine="640" w:firstLineChars="200"/>
        <w:outlineLvl w:val="0"/>
        <w:rPr>
          <w:rFonts w:eastAsia="仿宋_GB2312"/>
          <w:sz w:val="32"/>
          <w:szCs w:val="32"/>
        </w:rPr>
      </w:pPr>
      <w:r>
        <w:rPr>
          <w:rFonts w:eastAsia="仿宋_GB2312"/>
          <w:sz w:val="32"/>
          <w:szCs w:val="32"/>
        </w:rPr>
        <w:t>（1）资金到位率</w:t>
      </w:r>
    </w:p>
    <w:p w14:paraId="292457B3">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18</w:t>
      </w:r>
      <w:r>
        <w:rPr>
          <w:rFonts w:eastAsia="仿宋_GB2312"/>
          <w:sz w:val="32"/>
          <w:szCs w:val="32"/>
        </w:rPr>
        <w:t>万元，财政资金</w:t>
      </w:r>
      <w:r>
        <w:rPr>
          <w:rFonts w:hint="eastAsia" w:eastAsia="仿宋_GB2312"/>
          <w:sz w:val="32"/>
          <w:szCs w:val="32"/>
        </w:rPr>
        <w:t>于2024年4月15日</w:t>
      </w:r>
      <w:r>
        <w:rPr>
          <w:rFonts w:eastAsia="仿宋_GB2312"/>
          <w:sz w:val="32"/>
          <w:szCs w:val="32"/>
        </w:rPr>
        <w:t>及时足额到位，到位率</w:t>
      </w:r>
      <w:r>
        <w:rPr>
          <w:rFonts w:hint="eastAsia" w:eastAsia="仿宋_GB2312"/>
          <w:sz w:val="32"/>
          <w:szCs w:val="32"/>
        </w:rPr>
        <w:t>100</w:t>
      </w:r>
      <w:r>
        <w:rPr>
          <w:rFonts w:eastAsia="仿宋_GB2312"/>
          <w:sz w:val="32"/>
          <w:szCs w:val="32"/>
        </w:rPr>
        <w:t>%，预算资金按计划进度执行。</w:t>
      </w:r>
    </w:p>
    <w:p w14:paraId="724546E4">
      <w:pPr>
        <w:spacing w:line="600" w:lineRule="exact"/>
        <w:ind w:firstLine="640" w:firstLineChars="200"/>
        <w:outlineLvl w:val="0"/>
        <w:rPr>
          <w:rFonts w:eastAsia="仿宋_GB2312"/>
          <w:sz w:val="32"/>
          <w:szCs w:val="32"/>
        </w:rPr>
      </w:pPr>
      <w:r>
        <w:rPr>
          <w:rFonts w:eastAsia="仿宋_GB2312"/>
          <w:sz w:val="32"/>
          <w:szCs w:val="32"/>
        </w:rPr>
        <w:t>（2）预算执行率</w:t>
      </w:r>
    </w:p>
    <w:p w14:paraId="66BD8300">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18</w:t>
      </w:r>
      <w:r>
        <w:rPr>
          <w:rFonts w:eastAsia="仿宋_GB2312"/>
          <w:sz w:val="32"/>
          <w:szCs w:val="32"/>
        </w:rPr>
        <w:t>万元，</w:t>
      </w:r>
      <w:r>
        <w:rPr>
          <w:rFonts w:hint="eastAsia" w:eastAsia="仿宋_GB2312"/>
          <w:sz w:val="32"/>
          <w:szCs w:val="32"/>
        </w:rPr>
        <w:t>主要用于支付34个垃圾箱货款3万元，5辆环卫车15万元，</w:t>
      </w:r>
      <w:r>
        <w:rPr>
          <w:rFonts w:eastAsia="仿宋_GB2312"/>
          <w:sz w:val="32"/>
          <w:szCs w:val="32"/>
        </w:rPr>
        <w:t>预算执行率为</w:t>
      </w:r>
      <w:r>
        <w:rPr>
          <w:rFonts w:hint="eastAsia" w:eastAsia="仿宋_GB2312"/>
          <w:sz w:val="32"/>
          <w:szCs w:val="32"/>
        </w:rPr>
        <w:t>100</w:t>
      </w:r>
      <w:r>
        <w:rPr>
          <w:rFonts w:eastAsia="仿宋_GB2312"/>
          <w:sz w:val="32"/>
          <w:szCs w:val="32"/>
        </w:rPr>
        <w:t>%。</w:t>
      </w:r>
    </w:p>
    <w:p w14:paraId="0F577FAE">
      <w:pPr>
        <w:spacing w:line="600" w:lineRule="exact"/>
        <w:ind w:firstLine="640" w:firstLineChars="200"/>
        <w:outlineLvl w:val="0"/>
        <w:rPr>
          <w:rFonts w:eastAsia="仿宋_GB2312"/>
          <w:sz w:val="32"/>
          <w:szCs w:val="32"/>
        </w:rPr>
      </w:pPr>
      <w:r>
        <w:rPr>
          <w:rFonts w:eastAsia="仿宋_GB2312"/>
          <w:sz w:val="32"/>
          <w:szCs w:val="32"/>
        </w:rPr>
        <w:t>（3）资金使用合规性</w:t>
      </w:r>
    </w:p>
    <w:p w14:paraId="2AC9E02C">
      <w:pPr>
        <w:spacing w:line="560" w:lineRule="exact"/>
        <w:ind w:firstLine="640" w:firstLineChars="200"/>
        <w:rPr>
          <w:rFonts w:eastAsia="仿宋_GB2312"/>
          <w:sz w:val="32"/>
          <w:szCs w:val="32"/>
        </w:rPr>
      </w:pPr>
      <w:r>
        <w:rPr>
          <w:rFonts w:eastAsia="仿宋_GB2312"/>
          <w:sz w:val="32"/>
          <w:szCs w:val="32"/>
        </w:rPr>
        <w:t>本项目的资金使用严格遵循了</w:t>
      </w:r>
      <w:r>
        <w:rPr>
          <w:rFonts w:hint="eastAsia" w:ascii="仿宋_GB2312" w:eastAsia="仿宋_GB2312"/>
          <w:sz w:val="32"/>
          <w:szCs w:val="32"/>
        </w:rPr>
        <w:t>《沙区环卫清运队预算绩效管理工作实施办法》，《沙区环卫清运队财务管理制度》《沙区环卫清运队固定资产管理制度》</w:t>
      </w:r>
      <w:r>
        <w:rPr>
          <w:rFonts w:eastAsia="仿宋_GB2312"/>
          <w:sz w:val="32"/>
          <w:szCs w:val="32"/>
        </w:rPr>
        <w:t>，确保了资金的合规性与安全性。在资金使用过程中，我们建立了完善的财务管理体系，对资金的流动进行了全程监控与记录。</w:t>
      </w:r>
    </w:p>
    <w:p w14:paraId="1DA9C709">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5456FF3">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3E4824A">
      <w:pPr>
        <w:pStyle w:val="19"/>
        <w:spacing w:line="560" w:lineRule="exact"/>
        <w:ind w:firstLine="640"/>
        <w:rPr>
          <w:rFonts w:eastAsia="仿宋_GB2312"/>
          <w:b/>
          <w:bCs/>
          <w:sz w:val="32"/>
          <w:szCs w:val="32"/>
        </w:rPr>
      </w:pPr>
      <w:r>
        <w:rPr>
          <w:rFonts w:eastAsia="仿宋_GB2312"/>
          <w:b/>
          <w:bCs/>
          <w:sz w:val="32"/>
          <w:szCs w:val="32"/>
        </w:rPr>
        <w:t>2.组织实施</w:t>
      </w:r>
    </w:p>
    <w:p w14:paraId="10670F87">
      <w:pPr>
        <w:spacing w:line="600" w:lineRule="exact"/>
        <w:ind w:firstLine="640" w:firstLineChars="200"/>
        <w:outlineLvl w:val="0"/>
        <w:rPr>
          <w:rFonts w:eastAsia="仿宋_GB2312"/>
          <w:sz w:val="32"/>
          <w:szCs w:val="32"/>
        </w:rPr>
      </w:pPr>
      <w:r>
        <w:rPr>
          <w:rFonts w:eastAsia="仿宋_GB2312"/>
          <w:sz w:val="32"/>
          <w:szCs w:val="32"/>
        </w:rPr>
        <w:t>（1）管理制度健全性</w:t>
      </w:r>
    </w:p>
    <w:p w14:paraId="5CCB5BD3">
      <w:pPr>
        <w:spacing w:line="560" w:lineRule="exact"/>
        <w:ind w:firstLine="640" w:firstLineChars="200"/>
        <w:rPr>
          <w:rFonts w:eastAsia="仿宋_GB2312"/>
          <w:sz w:val="32"/>
          <w:szCs w:val="32"/>
        </w:rPr>
      </w:pPr>
      <w:r>
        <w:rPr>
          <w:rFonts w:eastAsia="仿宋_GB2312"/>
          <w:sz w:val="32"/>
          <w:szCs w:val="32"/>
        </w:rPr>
        <w:t>本项目</w:t>
      </w:r>
      <w:r>
        <w:rPr>
          <w:rFonts w:hint="eastAsia" w:eastAsia="仿宋_GB2312"/>
          <w:sz w:val="32"/>
          <w:szCs w:val="32"/>
        </w:rPr>
        <w:t>依据单位制定</w:t>
      </w:r>
      <w:r>
        <w:rPr>
          <w:rFonts w:hint="eastAsia" w:ascii="仿宋_GB2312" w:eastAsia="仿宋_GB2312"/>
          <w:sz w:val="32"/>
          <w:szCs w:val="32"/>
        </w:rPr>
        <w:t>《沙区环卫清运队预算绩效管理工作实施办法》，《沙区环卫清运队财务管理制度》《沙区环卫清运队固定资产管理制度》等</w:t>
      </w:r>
      <w:r>
        <w:rPr>
          <w:rFonts w:eastAsia="仿宋_GB2312"/>
          <w:sz w:val="32"/>
          <w:szCs w:val="32"/>
        </w:rPr>
        <w:t>完善、健全的管理制度体系，为项目的成功实施提供了坚实的制度保障。项目管理制度的制定紧密结合了项目的特点与实际情况，涵盖了项目的策划、组织、实施、监控与收尾等各个环节。</w:t>
      </w:r>
    </w:p>
    <w:p w14:paraId="008E86D2">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6D6DF9B">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2C4D3BCA">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29FB8AC7">
      <w:pPr>
        <w:spacing w:line="600" w:lineRule="exact"/>
        <w:ind w:firstLine="640" w:firstLineChars="200"/>
        <w:outlineLvl w:val="0"/>
        <w:rPr>
          <w:rFonts w:eastAsia="仿宋_GB2312"/>
          <w:sz w:val="32"/>
          <w:szCs w:val="32"/>
        </w:rPr>
      </w:pPr>
      <w:r>
        <w:rPr>
          <w:rFonts w:eastAsia="仿宋_GB2312"/>
          <w:sz w:val="32"/>
          <w:szCs w:val="32"/>
        </w:rPr>
        <w:t>（2）制度执行有效性</w:t>
      </w:r>
    </w:p>
    <w:p w14:paraId="3207B854">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6D3745A8">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7C782162">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27A5A769">
      <w:pPr>
        <w:pStyle w:val="12"/>
        <w:numPr>
          <w:ilvl w:val="0"/>
          <w:numId w:val="5"/>
        </w:numPr>
        <w:spacing w:line="560" w:lineRule="exact"/>
        <w:ind w:firstLine="643" w:firstLineChars="0"/>
        <w:rPr>
          <w:rFonts w:eastAsia="楷体_GB2312"/>
          <w:b/>
          <w:bCs/>
          <w:sz w:val="32"/>
          <w:szCs w:val="32"/>
        </w:rPr>
      </w:pPr>
      <w:r>
        <w:rPr>
          <w:rFonts w:eastAsia="楷体_GB2312"/>
          <w:b/>
          <w:bCs/>
          <w:sz w:val="32"/>
          <w:szCs w:val="32"/>
        </w:rPr>
        <w:t>项目产出情况</w:t>
      </w:r>
    </w:p>
    <w:p w14:paraId="191435E6">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6</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3764685C">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220466EB">
      <w:pPr>
        <w:spacing w:line="600" w:lineRule="exact"/>
        <w:ind w:firstLine="640" w:firstLineChars="200"/>
        <w:outlineLvl w:val="0"/>
        <w:rPr>
          <w:rFonts w:eastAsia="仿宋_GB2312"/>
          <w:sz w:val="32"/>
          <w:szCs w:val="32"/>
        </w:rPr>
      </w:pPr>
      <w:r>
        <w:rPr>
          <w:rFonts w:eastAsia="仿宋_GB2312"/>
          <w:sz w:val="32"/>
          <w:szCs w:val="32"/>
        </w:rPr>
        <w:t>指标1： 采购0.5吨垃圾箱 ，指标值：=34个 ，实际完成值：34个，指标完成率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，通过政府采购，中标单位为乌鲁木齐市华盛全通商贸有限公司，采购0.5吨垃圾箱34个。</w:t>
      </w:r>
    </w:p>
    <w:p w14:paraId="1DED0284">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 采购0.5吨垃圾</w:t>
      </w:r>
      <w:r>
        <w:rPr>
          <w:rFonts w:hint="eastAsia" w:eastAsia="仿宋_GB2312"/>
          <w:sz w:val="32"/>
          <w:szCs w:val="32"/>
        </w:rPr>
        <w:t>车</w:t>
      </w:r>
      <w:r>
        <w:rPr>
          <w:rFonts w:eastAsia="仿宋_GB2312"/>
          <w:sz w:val="32"/>
          <w:szCs w:val="32"/>
        </w:rPr>
        <w:t xml:space="preserve"> ，指标值</w:t>
      </w:r>
      <w:r>
        <w:rPr>
          <w:rFonts w:hint="eastAsia" w:eastAsia="仿宋_GB2312"/>
          <w:sz w:val="32"/>
          <w:szCs w:val="32"/>
        </w:rPr>
        <w:t>：=</w:t>
      </w:r>
      <w:r>
        <w:rPr>
          <w:rFonts w:eastAsia="仿宋_GB2312"/>
          <w:sz w:val="32"/>
          <w:szCs w:val="32"/>
        </w:rPr>
        <w:t>3</w:t>
      </w:r>
      <w:r>
        <w:rPr>
          <w:rFonts w:hint="eastAsia" w:eastAsia="仿宋_GB2312"/>
          <w:sz w:val="32"/>
          <w:szCs w:val="32"/>
        </w:rPr>
        <w:t>辆</w:t>
      </w:r>
      <w:r>
        <w:rPr>
          <w:rFonts w:eastAsia="仿宋_GB2312"/>
          <w:sz w:val="32"/>
          <w:szCs w:val="32"/>
        </w:rPr>
        <w:t xml:space="preserve"> ，实际完成值</w:t>
      </w:r>
      <w:r>
        <w:rPr>
          <w:rFonts w:hint="eastAsia" w:eastAsia="仿宋_GB2312"/>
          <w:sz w:val="32"/>
          <w:szCs w:val="32"/>
        </w:rPr>
        <w:t>：</w:t>
      </w:r>
      <w:r>
        <w:rPr>
          <w:rFonts w:eastAsia="仿宋_GB2312"/>
          <w:sz w:val="32"/>
          <w:szCs w:val="32"/>
        </w:rPr>
        <w:t>3</w:t>
      </w:r>
      <w:r>
        <w:rPr>
          <w:rFonts w:hint="eastAsia" w:eastAsia="仿宋_GB2312"/>
          <w:sz w:val="32"/>
          <w:szCs w:val="32"/>
        </w:rPr>
        <w:t>辆</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通过政府采购，中标单位为重庆耐德新明和有限公司，采购0.5吨垃圾车3辆</w:t>
      </w:r>
    </w:p>
    <w:p w14:paraId="28863DD3">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质量指标：采购设备合格率</w:t>
      </w:r>
      <w:r>
        <w:rPr>
          <w:rFonts w:hint="eastAsia" w:eastAsia="仿宋_GB2312"/>
          <w:sz w:val="32"/>
          <w:szCs w:val="32"/>
        </w:rPr>
        <w:t>，</w:t>
      </w:r>
      <w:r>
        <w:rPr>
          <w:rFonts w:hint="eastAsia" w:ascii="仿宋_GB2312" w:hAnsi="仿宋_GB2312" w:eastAsia="仿宋_GB2312" w:cs="仿宋_GB2312"/>
          <w:sz w:val="32"/>
          <w:szCs w:val="32"/>
        </w:rPr>
        <w:t>指标值：=100%，实际完成值：100%，指标完成率100%。垃圾箱及垃圾车到位后，由专人进行验收，填写验收回执，设备合格。</w:t>
      </w:r>
    </w:p>
    <w:p w14:paraId="40FE8026">
      <w:pPr>
        <w:spacing w:line="600" w:lineRule="exact"/>
        <w:ind w:firstLine="640" w:firstLineChars="200"/>
        <w:outlineLvl w:val="0"/>
        <w:rPr>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r>
        <w:rPr>
          <w:rFonts w:hint="eastAsia" w:ascii="仿宋_GB2312" w:hAnsi="仿宋_GB2312" w:eastAsia="仿宋_GB2312" w:cs="仿宋_GB2312"/>
          <w:sz w:val="32"/>
          <w:szCs w:val="32"/>
        </w:rPr>
        <w:t>垃圾分类宣传率，指标值：=100%，实际完成值：100%，指标完成率100%。</w:t>
      </w:r>
      <w:r>
        <w:rPr>
          <w:rFonts w:hint="eastAsia"/>
          <w:sz w:val="32"/>
          <w:szCs w:val="32"/>
        </w:rPr>
        <w:t>通过社区公告栏、主题活动等多种方式进行宣传。</w:t>
      </w:r>
    </w:p>
    <w:p w14:paraId="7E8709FE">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1D974D76">
      <w:pPr>
        <w:spacing w:line="600" w:lineRule="exact"/>
        <w:ind w:firstLine="640" w:firstLineChars="200"/>
        <w:outlineLvl w:val="0"/>
        <w:rPr>
          <w:rFonts w:eastAsia="仿宋_GB2312"/>
          <w:sz w:val="32"/>
          <w:szCs w:val="32"/>
        </w:rPr>
      </w:pPr>
      <w:r>
        <w:rPr>
          <w:rFonts w:eastAsia="仿宋_GB2312"/>
          <w:sz w:val="32"/>
          <w:szCs w:val="32"/>
        </w:rPr>
        <w:t>指标1： 垃圾箱采购成本 ，指标值：=3</w:t>
      </w:r>
      <w:r>
        <w:rPr>
          <w:rFonts w:hint="eastAsia" w:eastAsia="仿宋_GB2312"/>
          <w:sz w:val="32"/>
          <w:szCs w:val="32"/>
        </w:rPr>
        <w:t>万</w:t>
      </w:r>
      <w:r>
        <w:rPr>
          <w:rFonts w:eastAsia="仿宋_GB2312"/>
          <w:sz w:val="32"/>
          <w:szCs w:val="32"/>
        </w:rPr>
        <w:t xml:space="preserve"> ，实际完成值：3</w:t>
      </w:r>
      <w:r>
        <w:rPr>
          <w:rFonts w:hint="eastAsia" w:eastAsia="仿宋_GB2312"/>
          <w:sz w:val="32"/>
          <w:szCs w:val="32"/>
        </w:rPr>
        <w:t>万</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根据合同约定，及时向区财政局申请相关款项，并于2024年10月将资金支付给乌鲁木齐市华盛全通商贸有限公司。</w:t>
      </w:r>
    </w:p>
    <w:p w14:paraId="508368D4">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 垃圾</w:t>
      </w:r>
      <w:r>
        <w:rPr>
          <w:rFonts w:hint="eastAsia" w:eastAsia="仿宋_GB2312"/>
          <w:sz w:val="32"/>
          <w:szCs w:val="32"/>
        </w:rPr>
        <w:t>车</w:t>
      </w:r>
      <w:r>
        <w:rPr>
          <w:rFonts w:eastAsia="仿宋_GB2312"/>
          <w:sz w:val="32"/>
          <w:szCs w:val="32"/>
        </w:rPr>
        <w:t>采购成本 ，指标值</w:t>
      </w:r>
      <w:r>
        <w:rPr>
          <w:rFonts w:hint="eastAsia" w:eastAsia="仿宋_GB2312"/>
          <w:sz w:val="32"/>
          <w:szCs w:val="32"/>
        </w:rPr>
        <w:t>：=15万</w:t>
      </w:r>
      <w:r>
        <w:rPr>
          <w:rFonts w:eastAsia="仿宋_GB2312"/>
          <w:sz w:val="32"/>
          <w:szCs w:val="32"/>
        </w:rPr>
        <w:t xml:space="preserve"> ，实际完成值</w:t>
      </w:r>
      <w:r>
        <w:rPr>
          <w:rFonts w:hint="eastAsia" w:eastAsia="仿宋_GB2312"/>
          <w:sz w:val="32"/>
          <w:szCs w:val="32"/>
        </w:rPr>
        <w:t>：15万</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根据合同约定，及时向区财政局申请相关款项，并于2024年10月将资金支付给重庆耐德新明和有限公司。</w:t>
      </w:r>
    </w:p>
    <w:p w14:paraId="5C59795C">
      <w:pPr>
        <w:pStyle w:val="12"/>
        <w:numPr>
          <w:ilvl w:val="0"/>
          <w:numId w:val="5"/>
        </w:numPr>
        <w:spacing w:line="560" w:lineRule="exact"/>
        <w:ind w:firstLine="643" w:firstLineChars="0"/>
        <w:rPr>
          <w:rFonts w:eastAsia="楷体_GB2312"/>
          <w:b/>
          <w:bCs/>
          <w:sz w:val="32"/>
          <w:szCs w:val="32"/>
        </w:rPr>
      </w:pPr>
      <w:r>
        <w:rPr>
          <w:rFonts w:eastAsia="楷体_GB2312"/>
          <w:b/>
          <w:bCs/>
          <w:sz w:val="32"/>
          <w:szCs w:val="32"/>
        </w:rPr>
        <w:t>项目效益情况</w:t>
      </w:r>
    </w:p>
    <w:p w14:paraId="6F91B149">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434B28D1">
      <w:pPr>
        <w:spacing w:line="600" w:lineRule="exact"/>
        <w:ind w:firstLine="640" w:firstLineChars="200"/>
        <w:outlineLvl w:val="0"/>
        <w:rPr>
          <w:rFonts w:eastAsia="仿宋_GB2312"/>
          <w:sz w:val="32"/>
          <w:szCs w:val="32"/>
        </w:rPr>
      </w:pPr>
      <w:r>
        <w:rPr>
          <w:rFonts w:eastAsia="仿宋_GB2312"/>
          <w:sz w:val="32"/>
          <w:szCs w:val="32"/>
        </w:rPr>
        <w:t>实施效益</w:t>
      </w:r>
    </w:p>
    <w:p w14:paraId="3569B7F6">
      <w:pPr>
        <w:spacing w:line="600" w:lineRule="exact"/>
        <w:ind w:firstLine="640" w:firstLineChars="200"/>
        <w:outlineLvl w:val="0"/>
        <w:rPr>
          <w:rFonts w:eastAsia="仿宋_GB2312"/>
          <w:sz w:val="32"/>
          <w:szCs w:val="32"/>
        </w:rPr>
      </w:pPr>
      <w:r>
        <w:rPr>
          <w:rFonts w:eastAsia="仿宋_GB2312"/>
          <w:sz w:val="32"/>
          <w:szCs w:val="32"/>
        </w:rPr>
        <w:t>①经济效益指标：</w:t>
      </w:r>
    </w:p>
    <w:p w14:paraId="33C330A2">
      <w:pPr>
        <w:spacing w:line="600" w:lineRule="exact"/>
        <w:ind w:firstLine="640" w:firstLineChars="200"/>
        <w:outlineLvl w:val="0"/>
        <w:rPr>
          <w:rFonts w:eastAsia="仿宋_GB2312"/>
          <w:sz w:val="32"/>
          <w:szCs w:val="32"/>
        </w:rPr>
      </w:pPr>
      <w:r>
        <w:rPr>
          <w:rFonts w:hint="eastAsia" w:eastAsia="仿宋_GB2312"/>
          <w:sz w:val="32"/>
          <w:szCs w:val="32"/>
        </w:rPr>
        <w:t>2024年该项目未设置此条指标</w:t>
      </w:r>
    </w:p>
    <w:p w14:paraId="622D8FA4">
      <w:pPr>
        <w:spacing w:line="600" w:lineRule="exact"/>
        <w:ind w:firstLine="640" w:firstLineChars="200"/>
        <w:outlineLvl w:val="0"/>
        <w:rPr>
          <w:rFonts w:eastAsia="仿宋_GB2312"/>
          <w:sz w:val="32"/>
          <w:szCs w:val="32"/>
        </w:rPr>
      </w:pPr>
      <w:r>
        <w:rPr>
          <w:rFonts w:eastAsia="仿宋_GB2312"/>
          <w:sz w:val="32"/>
          <w:szCs w:val="32"/>
        </w:rPr>
        <w:t>②社会效益指标：提高垃圾分类率</w:t>
      </w:r>
      <w:r>
        <w:rPr>
          <w:rFonts w:hint="eastAsia" w:eastAsia="仿宋_GB2312"/>
          <w:sz w:val="32"/>
          <w:szCs w:val="32"/>
        </w:rPr>
        <w:t>,</w:t>
      </w:r>
      <w:r>
        <w:rPr>
          <w:rFonts w:eastAsia="仿宋_GB2312"/>
          <w:sz w:val="32"/>
          <w:szCs w:val="32"/>
        </w:rPr>
        <w:t>指标值：</w:t>
      </w:r>
      <w:r>
        <w:rPr>
          <w:rFonts w:hint="eastAsia" w:eastAsia="仿宋_GB2312"/>
          <w:sz w:val="32"/>
          <w:szCs w:val="32"/>
        </w:rPr>
        <w:t>有效提高</w:t>
      </w:r>
      <w:r>
        <w:rPr>
          <w:rFonts w:eastAsia="仿宋_GB2312"/>
          <w:sz w:val="32"/>
          <w:szCs w:val="32"/>
        </w:rPr>
        <w:t xml:space="preserve"> ，实际完成值：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 xml:space="preserve"> </w:t>
      </w:r>
      <w:r>
        <w:rPr>
          <w:rFonts w:hint="eastAsia" w:eastAsia="仿宋_GB2312"/>
          <w:sz w:val="32"/>
          <w:szCs w:val="32"/>
        </w:rPr>
        <w:t>%。通过基础设施升级，实现可回收物，橱余垃圾、有害垃圾、其他垃圾（四分类）专车专运，避免混装混运现象。</w:t>
      </w:r>
    </w:p>
    <w:p w14:paraId="08EC69C9">
      <w:pPr>
        <w:spacing w:line="600" w:lineRule="exact"/>
        <w:ind w:firstLine="640" w:firstLineChars="200"/>
        <w:outlineLvl w:val="0"/>
        <w:rPr>
          <w:rFonts w:eastAsia="仿宋_GB2312"/>
          <w:sz w:val="32"/>
          <w:szCs w:val="32"/>
        </w:rPr>
      </w:pPr>
      <w:r>
        <w:rPr>
          <w:rFonts w:eastAsia="仿宋_GB2312"/>
          <w:sz w:val="32"/>
          <w:szCs w:val="32"/>
        </w:rPr>
        <w:t>③生态效益指标：</w:t>
      </w:r>
    </w:p>
    <w:p w14:paraId="70A30A60">
      <w:pPr>
        <w:spacing w:line="600" w:lineRule="exact"/>
        <w:ind w:firstLine="640" w:firstLineChars="200"/>
        <w:outlineLvl w:val="0"/>
        <w:rPr>
          <w:rFonts w:eastAsia="仿宋_GB2312"/>
          <w:sz w:val="32"/>
          <w:szCs w:val="32"/>
        </w:rPr>
      </w:pPr>
      <w:r>
        <w:rPr>
          <w:rFonts w:hint="eastAsia" w:eastAsia="仿宋_GB2312"/>
          <w:sz w:val="32"/>
          <w:szCs w:val="32"/>
        </w:rPr>
        <w:t>2024年该项目未设置此条指标</w:t>
      </w:r>
    </w:p>
    <w:p w14:paraId="39D1F438">
      <w:pPr>
        <w:spacing w:line="600" w:lineRule="exact"/>
        <w:ind w:left="420" w:leftChars="200"/>
        <w:outlineLvl w:val="0"/>
      </w:pPr>
      <w:r>
        <w:rPr>
          <w:rFonts w:hint="eastAsia" w:eastAsia="仿宋_GB2312"/>
          <w:sz w:val="32"/>
          <w:szCs w:val="32"/>
        </w:rPr>
        <w:t>2.</w:t>
      </w:r>
      <w:r>
        <w:rPr>
          <w:rFonts w:eastAsia="仿宋_GB2312"/>
          <w:sz w:val="32"/>
          <w:szCs w:val="32"/>
        </w:rPr>
        <w:t>满意度</w:t>
      </w:r>
    </w:p>
    <w:p w14:paraId="4692DF30">
      <w:pPr>
        <w:spacing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满意度指标：</w:t>
      </w:r>
    </w:p>
    <w:p w14:paraId="0B88FBEC">
      <w:pPr>
        <w:spacing w:line="600" w:lineRule="exact"/>
        <w:ind w:firstLine="960" w:firstLineChars="300"/>
        <w:outlineLvl w:val="0"/>
        <w:rPr>
          <w:rFonts w:eastAsia="仿宋_GB2312"/>
          <w:sz w:val="32"/>
          <w:szCs w:val="32"/>
        </w:rPr>
      </w:pPr>
      <w:r>
        <w:rPr>
          <w:rFonts w:hint="eastAsia" w:ascii="仿宋_GB2312" w:hAnsi="仿宋_GB2312" w:eastAsia="仿宋_GB2312" w:cs="仿宋_GB2312"/>
          <w:sz w:val="32"/>
          <w:szCs w:val="32"/>
        </w:rPr>
        <w:t>指标1：居民满意度，指标值:≥95%，实际完成值：95%，指标完成率100%。</w:t>
      </w:r>
      <w:r>
        <w:rPr>
          <w:rFonts w:hint="eastAsia" w:eastAsia="仿宋_GB2312"/>
          <w:sz w:val="32"/>
          <w:szCs w:val="32"/>
        </w:rPr>
        <w:t>通过设置问卷调查的方法进行考评评价，共计调查样本总量为 50个样本，有效调查问卷 30份，其中，统计“居民满意度”的平均值为 95 %。</w:t>
      </w:r>
    </w:p>
    <w:p w14:paraId="21354B27">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1490D669">
      <w:pPr>
        <w:pStyle w:val="19"/>
        <w:spacing w:line="560" w:lineRule="exact"/>
        <w:ind w:firstLine="640"/>
        <w:rPr>
          <w:sz w:val="32"/>
          <w:szCs w:val="32"/>
        </w:rPr>
      </w:pPr>
      <w:r>
        <w:rPr>
          <w:rFonts w:eastAsia="方正仿宋_GBK"/>
          <w:sz w:val="32"/>
          <w:szCs w:val="32"/>
        </w:rPr>
        <w:t>乌鲁木齐环境综合整治生活垃圾分类采购项目</w:t>
      </w:r>
      <w:r>
        <w:rPr>
          <w:rFonts w:hint="eastAsia" w:eastAsia="方正仿宋_GBK"/>
          <w:sz w:val="32"/>
          <w:szCs w:val="32"/>
        </w:rPr>
        <w:t>,</w:t>
      </w:r>
      <w:r>
        <w:rPr>
          <w:rFonts w:eastAsia="方正仿宋_GBK"/>
          <w:sz w:val="32"/>
          <w:szCs w:val="32"/>
        </w:rPr>
        <w:t>项目年初预算</w:t>
      </w:r>
      <w:r>
        <w:rPr>
          <w:rFonts w:hint="eastAsia" w:eastAsia="方正仿宋_GBK"/>
          <w:sz w:val="32"/>
          <w:szCs w:val="32"/>
        </w:rPr>
        <w:t>151.86</w:t>
      </w:r>
      <w:r>
        <w:rPr>
          <w:rFonts w:eastAsia="方正仿宋_GBK"/>
          <w:sz w:val="32"/>
          <w:szCs w:val="32"/>
        </w:rPr>
        <w:t>万元，全年预算</w:t>
      </w:r>
      <w:r>
        <w:rPr>
          <w:rFonts w:hint="eastAsia" w:eastAsia="方正仿宋_GBK"/>
          <w:sz w:val="32"/>
          <w:szCs w:val="32"/>
        </w:rPr>
        <w:t>18</w:t>
      </w:r>
      <w:r>
        <w:rPr>
          <w:rFonts w:eastAsia="方正仿宋_GBK"/>
          <w:sz w:val="32"/>
          <w:szCs w:val="32"/>
        </w:rPr>
        <w:t>万元，实际支出</w:t>
      </w:r>
      <w:r>
        <w:rPr>
          <w:rFonts w:hint="eastAsia" w:eastAsia="方正仿宋_GBK"/>
          <w:sz w:val="32"/>
          <w:szCs w:val="32"/>
        </w:rPr>
        <w:t>18</w:t>
      </w:r>
      <w:r>
        <w:rPr>
          <w:rFonts w:eastAsia="方正仿宋_GBK"/>
          <w:sz w:val="32"/>
          <w:szCs w:val="32"/>
        </w:rPr>
        <w:t>万元，预算执行率为</w:t>
      </w:r>
      <w:r>
        <w:rPr>
          <w:rFonts w:hint="eastAsia" w:eastAsia="方正仿宋_GBK"/>
          <w:sz w:val="32"/>
          <w:szCs w:val="32"/>
        </w:rPr>
        <w:t>100</w:t>
      </w:r>
      <w:r>
        <w:rPr>
          <w:rFonts w:eastAsia="方正仿宋_GBK"/>
          <w:sz w:val="32"/>
          <w:szCs w:val="32"/>
        </w:rPr>
        <w:t>%，项目绩效指标总体完成率为</w:t>
      </w:r>
      <w:r>
        <w:rPr>
          <w:rFonts w:hint="eastAsia" w:eastAsia="方正仿宋_GBK"/>
          <w:sz w:val="32"/>
          <w:szCs w:val="32"/>
        </w:rPr>
        <w:t>100</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hint="eastAsia" w:eastAsia="方正仿宋_GBK"/>
          <w:sz w:val="32"/>
          <w:szCs w:val="32"/>
        </w:rPr>
        <w:t>0</w:t>
      </w:r>
      <w:r>
        <w:rPr>
          <w:rFonts w:eastAsia="方正仿宋_GBK"/>
          <w:sz w:val="32"/>
          <w:szCs w:val="32"/>
        </w:rPr>
        <w:t>%</w:t>
      </w:r>
      <w:r>
        <w:rPr>
          <w:rFonts w:hint="eastAsia"/>
        </w:rPr>
        <w:t>。</w:t>
      </w:r>
    </w:p>
    <w:p w14:paraId="137E3950">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6C696A42">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231E48A9">
      <w:pPr>
        <w:spacing w:line="560" w:lineRule="exact"/>
        <w:ind w:firstLine="640" w:firstLineChars="200"/>
        <w:rPr>
          <w:rFonts w:eastAsia="仿宋_GB2312"/>
          <w:sz w:val="32"/>
          <w:szCs w:val="32"/>
        </w:rPr>
      </w:pPr>
      <w:r>
        <w:rPr>
          <w:rFonts w:eastAsia="仿宋_GB2312"/>
          <w:sz w:val="32"/>
          <w:szCs w:val="32"/>
        </w:rPr>
        <w:t>一是建立健全管理制度</w:t>
      </w:r>
      <w:r>
        <w:rPr>
          <w:rFonts w:hint="eastAsia" w:eastAsia="仿宋_GB2312"/>
          <w:sz w:val="32"/>
          <w:szCs w:val="32"/>
        </w:rPr>
        <w:t>，</w:t>
      </w:r>
      <w:r>
        <w:rPr>
          <w:rFonts w:eastAsia="仿宋_GB2312"/>
          <w:sz w:val="32"/>
          <w:szCs w:val="32"/>
        </w:rPr>
        <w:t>为确保项目顺利进行，提前做好项目规划，将所列计划再三审核。项目资金使用过程中，严格落实把关，按照项目资金使用范围做好审核工作，让项目资金落于实处</w:t>
      </w:r>
      <w:r>
        <w:rPr>
          <w:rFonts w:hint="eastAsia" w:eastAsia="仿宋_GB2312"/>
          <w:sz w:val="32"/>
          <w:szCs w:val="32"/>
        </w:rPr>
        <w:t>，集中用于环境综合整治。建立完善环境综合整治工作机制，确保项目顺利实施</w:t>
      </w:r>
      <w:r>
        <w:rPr>
          <w:rFonts w:eastAsia="仿宋_GB2312"/>
          <w:sz w:val="32"/>
          <w:szCs w:val="32"/>
        </w:rPr>
        <w:t xml:space="preserve">。 </w:t>
      </w:r>
    </w:p>
    <w:p w14:paraId="5BD63769">
      <w:pPr>
        <w:spacing w:line="560" w:lineRule="exact"/>
        <w:ind w:firstLine="640" w:firstLineChars="200"/>
        <w:rPr>
          <w:rFonts w:eastAsia="仿宋_GB2312"/>
          <w:sz w:val="32"/>
          <w:szCs w:val="32"/>
        </w:rPr>
      </w:pPr>
      <w:r>
        <w:rPr>
          <w:rFonts w:eastAsia="仿宋_GB2312"/>
          <w:sz w:val="32"/>
          <w:szCs w:val="32"/>
        </w:rPr>
        <w:t>二是加强项目监督与评估，通过定期检查等方式，确保项目实施效果与预期目标一致。及时发现</w:t>
      </w:r>
      <w:r>
        <w:rPr>
          <w:rFonts w:hint="eastAsia" w:eastAsia="仿宋_GB2312"/>
          <w:sz w:val="32"/>
          <w:szCs w:val="32"/>
        </w:rPr>
        <w:t>及时</w:t>
      </w:r>
      <w:r>
        <w:rPr>
          <w:rFonts w:eastAsia="仿宋_GB2312"/>
          <w:sz w:val="32"/>
          <w:szCs w:val="32"/>
        </w:rPr>
        <w:t xml:space="preserve">纠正问题，确保项目顺利进行。  </w:t>
      </w:r>
    </w:p>
    <w:p w14:paraId="4418A3F1">
      <w:pPr>
        <w:spacing w:line="560" w:lineRule="exact"/>
        <w:ind w:firstLine="640" w:firstLineChars="200"/>
        <w:rPr>
          <w:rFonts w:eastAsia="仿宋_GB2312"/>
          <w:sz w:val="32"/>
          <w:szCs w:val="32"/>
        </w:rPr>
      </w:pPr>
      <w:r>
        <w:rPr>
          <w:rFonts w:eastAsia="仿宋_GB2312"/>
          <w:sz w:val="32"/>
          <w:szCs w:val="32"/>
        </w:rPr>
        <w:t xml:space="preserve">这些经验及做法为我们今后的城市维护费用项目管理提供了有益借鉴，我们将继续完善和优化，为城市的美好明天贡献更多力量。 </w:t>
      </w:r>
    </w:p>
    <w:p w14:paraId="00562481">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03C31513">
      <w:pPr>
        <w:spacing w:line="600" w:lineRule="exact"/>
        <w:ind w:firstLine="640" w:firstLineChars="200"/>
        <w:outlineLvl w:val="0"/>
        <w:rPr>
          <w:rFonts w:eastAsia="仿宋_GB2312"/>
          <w:sz w:val="32"/>
          <w:szCs w:val="32"/>
        </w:rPr>
      </w:pPr>
      <w:r>
        <w:rPr>
          <w:rFonts w:eastAsia="仿宋_GB2312"/>
          <w:sz w:val="32"/>
          <w:szCs w:val="32"/>
        </w:rPr>
        <w:t>1.</w:t>
      </w:r>
      <w:r>
        <w:rPr>
          <w:rFonts w:hint="eastAsia" w:eastAsia="仿宋_GB2312"/>
          <w:sz w:val="32"/>
          <w:szCs w:val="32"/>
        </w:rPr>
        <w:t>人员培训体系不完善</w:t>
      </w:r>
      <w:r>
        <w:rPr>
          <w:rFonts w:eastAsia="仿宋_GB2312"/>
          <w:sz w:val="32"/>
          <w:szCs w:val="32"/>
        </w:rPr>
        <w:t>。</w:t>
      </w:r>
      <w:r>
        <w:rPr>
          <w:rFonts w:hint="eastAsia" w:eastAsia="仿宋_GB2312"/>
          <w:sz w:val="32"/>
          <w:szCs w:val="32"/>
        </w:rPr>
        <w:t>项目执行人员缺乏必要培训，只是与技能更新不及时，影响项目执行效果和</w:t>
      </w:r>
      <w:r>
        <w:rPr>
          <w:rFonts w:eastAsia="仿宋_GB2312"/>
          <w:sz w:val="32"/>
          <w:szCs w:val="32"/>
        </w:rPr>
        <w:t>评价质量。</w:t>
      </w:r>
    </w:p>
    <w:p w14:paraId="6E0C33D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科室沟通协作障碍。</w:t>
      </w:r>
      <w:r>
        <w:rPr>
          <w:rFonts w:eastAsia="仿宋_GB2312"/>
          <w:sz w:val="32"/>
          <w:szCs w:val="32"/>
        </w:rPr>
        <w:t>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r>
        <w:rPr>
          <w:rFonts w:hint="eastAsia" w:eastAsia="仿宋_GB2312"/>
          <w:sz w:val="32"/>
          <w:szCs w:val="32"/>
        </w:rPr>
        <w:t>，信息传达不及时，部门职责界定不清晰</w:t>
      </w:r>
      <w:r>
        <w:rPr>
          <w:rFonts w:eastAsia="仿宋_GB2312"/>
          <w:sz w:val="32"/>
          <w:szCs w:val="32"/>
        </w:rPr>
        <w:t>。</w:t>
      </w:r>
    </w:p>
    <w:p w14:paraId="652CF729">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0912BAF0">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2E9A30E7">
      <w:pPr>
        <w:spacing w:line="560" w:lineRule="exact"/>
        <w:ind w:firstLine="640" w:firstLineChars="200"/>
        <w:rPr>
          <w:rFonts w:eastAsia="仿宋_GB2312"/>
          <w:sz w:val="32"/>
          <w:szCs w:val="32"/>
        </w:rPr>
      </w:pPr>
      <w:r>
        <w:rPr>
          <w:rFonts w:eastAsia="仿宋_GB2312"/>
          <w:sz w:val="32"/>
          <w:szCs w:val="32"/>
        </w:rPr>
        <w:t>2.专门设定对绩效工作人员定职、定岗、定责等相关制度措施，</w:t>
      </w:r>
      <w:r>
        <w:rPr>
          <w:rFonts w:hint="eastAsia" w:eastAsia="仿宋_GB2312"/>
          <w:sz w:val="32"/>
          <w:szCs w:val="32"/>
        </w:rPr>
        <w:t>定期召开项目协调会，明确各科室职责边界，</w:t>
      </w:r>
      <w:r>
        <w:rPr>
          <w:rFonts w:eastAsia="仿宋_GB2312"/>
          <w:sz w:val="32"/>
          <w:szCs w:val="32"/>
        </w:rPr>
        <w:t>进一步提升我单位绩效管理工作业务水平，扎实做好绩效管理工作。</w:t>
      </w:r>
    </w:p>
    <w:p w14:paraId="6C52CBBB">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F5EBF84">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1、项目支出政策和路径设计科学，符合实际需要</w:t>
      </w:r>
    </w:p>
    <w:p w14:paraId="30E60B16">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2、项目安排准确，未发现背离项目立项初衷的情况</w:t>
      </w:r>
    </w:p>
    <w:p w14:paraId="0444268F">
      <w:pPr>
        <w:pStyle w:val="13"/>
        <w:spacing w:after="0" w:line="560" w:lineRule="exact"/>
        <w:ind w:left="0" w:leftChars="0" w:firstLine="640"/>
        <w:rPr>
          <w:rFonts w:ascii="Times New Roman" w:hAnsi="Times New Roman" w:eastAsia="仿宋_GB2312"/>
          <w:sz w:val="32"/>
          <w:szCs w:val="32"/>
        </w:rPr>
      </w:pPr>
      <w:r>
        <w:rPr>
          <w:rFonts w:hint="eastAsia" w:ascii="Times New Roman" w:hAnsi="Times New Roman" w:eastAsia="仿宋_GB2312"/>
          <w:sz w:val="32"/>
          <w:szCs w:val="32"/>
        </w:rPr>
        <w:t>3、项目的申报、审核机制完善</w:t>
      </w:r>
    </w:p>
    <w:p w14:paraId="4587EE14">
      <w:pPr>
        <w:spacing w:line="600" w:lineRule="exact"/>
        <w:ind w:firstLine="640" w:firstLineChars="200"/>
        <w:rPr>
          <w:rFonts w:eastAsia="仿宋_GB2312"/>
          <w:sz w:val="32"/>
          <w:szCs w:val="32"/>
        </w:rPr>
      </w:pPr>
      <w:r>
        <w:rPr>
          <w:rFonts w:hint="eastAsia" w:eastAsia="仿宋_GB2312"/>
          <w:sz w:val="32"/>
          <w:szCs w:val="32"/>
        </w:rPr>
        <w:t>4、未发现虚假行为和骗取财政资金的问题</w:t>
      </w:r>
    </w:p>
    <w:p w14:paraId="7A747D0A">
      <w:pPr>
        <w:spacing w:line="600" w:lineRule="exact"/>
        <w:rPr>
          <w:rFonts w:eastAsia="黑体"/>
          <w:sz w:val="32"/>
          <w:szCs w:val="32"/>
        </w:rPr>
      </w:pPr>
    </w:p>
    <w:p w14:paraId="61EDF499">
      <w:pPr>
        <w:spacing w:line="600" w:lineRule="exact"/>
        <w:rPr>
          <w:rFonts w:eastAsia="黑体"/>
          <w:sz w:val="32"/>
          <w:szCs w:val="32"/>
        </w:rPr>
      </w:pPr>
      <w:r>
        <w:rPr>
          <w:rFonts w:hint="eastAsia" w:eastAsia="黑体"/>
          <w:sz w:val="32"/>
          <w:szCs w:val="32"/>
        </w:rPr>
        <w:t>附件1</w:t>
      </w:r>
    </w:p>
    <w:p w14:paraId="00CD771D">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乌鲁木齐环境综合整治生活垃圾分类采购项目绩效评价指标体系及综合评分表</w:t>
      </w:r>
      <w:bookmarkEnd w:id="1"/>
      <w:bookmarkEnd w:id="2"/>
    </w:p>
    <w:tbl>
      <w:tblPr>
        <w:tblStyle w:val="14"/>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9"/>
        <w:gridCol w:w="728"/>
        <w:gridCol w:w="774"/>
        <w:gridCol w:w="1196"/>
        <w:gridCol w:w="3449"/>
        <w:gridCol w:w="924"/>
        <w:gridCol w:w="964"/>
      </w:tblGrid>
      <w:tr w14:paraId="4C2A3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2" w:type="dxa"/>
            <w:shd w:val="clear" w:color="auto" w:fill="FFFFFF"/>
            <w:vAlign w:val="center"/>
          </w:tcPr>
          <w:p w14:paraId="655F4BBB">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1000" w:type="dxa"/>
            <w:shd w:val="clear" w:color="auto" w:fill="FFFFFF"/>
            <w:vAlign w:val="center"/>
          </w:tcPr>
          <w:p w14:paraId="13E9279E">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1071" w:type="dxa"/>
            <w:shd w:val="clear" w:color="auto" w:fill="FFFFFF"/>
            <w:vAlign w:val="center"/>
          </w:tcPr>
          <w:p w14:paraId="72A19FCD">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1725" w:type="dxa"/>
            <w:shd w:val="clear" w:color="auto" w:fill="FFFFFF"/>
            <w:vAlign w:val="center"/>
          </w:tcPr>
          <w:p w14:paraId="3D7C7FA6">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5216" w:type="dxa"/>
            <w:shd w:val="clear" w:color="auto" w:fill="FFFFFF"/>
            <w:vAlign w:val="center"/>
          </w:tcPr>
          <w:p w14:paraId="6C39C6AA">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1304" w:type="dxa"/>
            <w:shd w:val="clear" w:color="auto" w:fill="FFFFFF"/>
            <w:vAlign w:val="center"/>
          </w:tcPr>
          <w:p w14:paraId="7F874CE8">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1365" w:type="dxa"/>
            <w:shd w:val="clear" w:color="auto" w:fill="FFFFFF"/>
            <w:vAlign w:val="center"/>
          </w:tcPr>
          <w:p w14:paraId="049E68E1">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5ECD8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2" w:type="dxa"/>
            <w:vMerge w:val="restart"/>
            <w:shd w:val="clear" w:color="auto" w:fill="FFFFFF"/>
            <w:vAlign w:val="center"/>
          </w:tcPr>
          <w:p w14:paraId="0ABF0DDD">
            <w:pPr>
              <w:widowControl/>
              <w:spacing w:line="0" w:lineRule="atLeast"/>
              <w:jc w:val="center"/>
              <w:rPr>
                <w:rFonts w:eastAsia="仿宋_GB2312"/>
                <w:kern w:val="0"/>
                <w:sz w:val="18"/>
                <w:szCs w:val="18"/>
              </w:rPr>
            </w:pPr>
          </w:p>
          <w:p w14:paraId="5E837E9F">
            <w:pPr>
              <w:widowControl/>
              <w:spacing w:line="0" w:lineRule="atLeast"/>
              <w:jc w:val="center"/>
              <w:rPr>
                <w:rFonts w:eastAsia="仿宋_GB2312"/>
                <w:kern w:val="0"/>
                <w:sz w:val="18"/>
                <w:szCs w:val="18"/>
              </w:rPr>
            </w:pPr>
          </w:p>
          <w:p w14:paraId="759D8176">
            <w:pPr>
              <w:widowControl/>
              <w:spacing w:line="0" w:lineRule="atLeast"/>
              <w:jc w:val="center"/>
              <w:rPr>
                <w:rFonts w:eastAsia="仿宋_GB2312"/>
                <w:kern w:val="0"/>
                <w:sz w:val="18"/>
                <w:szCs w:val="18"/>
              </w:rPr>
            </w:pPr>
          </w:p>
          <w:p w14:paraId="367C74B1">
            <w:pPr>
              <w:widowControl/>
              <w:spacing w:line="0" w:lineRule="atLeast"/>
              <w:jc w:val="center"/>
              <w:rPr>
                <w:rFonts w:eastAsia="仿宋_GB2312"/>
                <w:kern w:val="0"/>
                <w:sz w:val="18"/>
                <w:szCs w:val="18"/>
              </w:rPr>
            </w:pPr>
          </w:p>
          <w:p w14:paraId="5F9588A2">
            <w:pPr>
              <w:widowControl/>
              <w:spacing w:line="0" w:lineRule="atLeast"/>
              <w:jc w:val="center"/>
              <w:rPr>
                <w:rFonts w:eastAsia="仿宋_GB2312"/>
                <w:kern w:val="0"/>
                <w:sz w:val="18"/>
                <w:szCs w:val="18"/>
              </w:rPr>
            </w:pPr>
          </w:p>
          <w:p w14:paraId="06A7A2FF">
            <w:pPr>
              <w:widowControl/>
              <w:spacing w:line="0" w:lineRule="atLeast"/>
              <w:jc w:val="center"/>
              <w:rPr>
                <w:rFonts w:eastAsia="仿宋_GB2312"/>
                <w:kern w:val="0"/>
                <w:sz w:val="18"/>
                <w:szCs w:val="18"/>
              </w:rPr>
            </w:pPr>
          </w:p>
          <w:p w14:paraId="6824B294">
            <w:pPr>
              <w:widowControl/>
              <w:spacing w:line="0" w:lineRule="atLeast"/>
              <w:jc w:val="center"/>
              <w:rPr>
                <w:rFonts w:eastAsia="仿宋_GB2312"/>
                <w:kern w:val="0"/>
                <w:sz w:val="18"/>
                <w:szCs w:val="18"/>
              </w:rPr>
            </w:pPr>
            <w:r>
              <w:rPr>
                <w:rFonts w:eastAsia="仿宋_GB2312"/>
                <w:kern w:val="0"/>
                <w:sz w:val="18"/>
                <w:szCs w:val="18"/>
              </w:rPr>
              <w:t>决策　</w:t>
            </w:r>
          </w:p>
        </w:tc>
        <w:tc>
          <w:tcPr>
            <w:tcW w:w="1000" w:type="dxa"/>
            <w:vMerge w:val="restart"/>
            <w:shd w:val="clear" w:color="auto" w:fill="FFFFFF"/>
            <w:vAlign w:val="center"/>
          </w:tcPr>
          <w:p w14:paraId="62E3BC78">
            <w:pPr>
              <w:widowControl/>
              <w:spacing w:line="0" w:lineRule="atLeast"/>
              <w:jc w:val="center"/>
              <w:rPr>
                <w:rFonts w:eastAsia="仿宋_GB2312"/>
                <w:kern w:val="0"/>
                <w:sz w:val="18"/>
                <w:szCs w:val="18"/>
              </w:rPr>
            </w:pPr>
            <w:r>
              <w:rPr>
                <w:rFonts w:eastAsia="仿宋_GB2312"/>
                <w:kern w:val="0"/>
                <w:sz w:val="18"/>
                <w:szCs w:val="18"/>
              </w:rPr>
              <w:t>项目立项　</w:t>
            </w:r>
          </w:p>
        </w:tc>
        <w:tc>
          <w:tcPr>
            <w:tcW w:w="1071" w:type="dxa"/>
            <w:shd w:val="clear" w:color="auto" w:fill="FFFFFF"/>
            <w:vAlign w:val="center"/>
          </w:tcPr>
          <w:p w14:paraId="55C2263A">
            <w:pPr>
              <w:widowControl/>
              <w:spacing w:line="0" w:lineRule="atLeast"/>
              <w:jc w:val="center"/>
              <w:rPr>
                <w:rFonts w:eastAsia="仿宋_GB2312"/>
                <w:kern w:val="0"/>
                <w:sz w:val="18"/>
                <w:szCs w:val="18"/>
              </w:rPr>
            </w:pPr>
            <w:r>
              <w:rPr>
                <w:rFonts w:eastAsia="仿宋_GB2312"/>
                <w:kern w:val="0"/>
                <w:sz w:val="18"/>
                <w:szCs w:val="18"/>
              </w:rPr>
              <w:t>立项依据</w:t>
            </w:r>
          </w:p>
          <w:p w14:paraId="144168B9">
            <w:pPr>
              <w:widowControl/>
              <w:spacing w:line="0" w:lineRule="atLeast"/>
              <w:jc w:val="center"/>
              <w:rPr>
                <w:rFonts w:eastAsia="仿宋_GB2312"/>
                <w:kern w:val="0"/>
                <w:sz w:val="18"/>
                <w:szCs w:val="18"/>
              </w:rPr>
            </w:pPr>
            <w:r>
              <w:rPr>
                <w:rFonts w:eastAsia="仿宋_GB2312"/>
                <w:kern w:val="0"/>
                <w:sz w:val="18"/>
                <w:szCs w:val="18"/>
              </w:rPr>
              <w:t>充分性</w:t>
            </w:r>
          </w:p>
        </w:tc>
        <w:tc>
          <w:tcPr>
            <w:tcW w:w="1725" w:type="dxa"/>
            <w:shd w:val="clear" w:color="auto" w:fill="FFFFFF"/>
            <w:vAlign w:val="center"/>
          </w:tcPr>
          <w:p w14:paraId="2C5B3908">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42A7A7BF">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1304" w:type="dxa"/>
            <w:shd w:val="clear" w:color="auto" w:fill="FFFFFF"/>
            <w:vAlign w:val="center"/>
          </w:tcPr>
          <w:p w14:paraId="34DB1AF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54A526C7">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A1988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0D996798">
            <w:pPr>
              <w:spacing w:line="0" w:lineRule="atLeast"/>
              <w:jc w:val="center"/>
              <w:rPr>
                <w:rFonts w:eastAsia="仿宋_GB2312"/>
                <w:kern w:val="0"/>
                <w:sz w:val="18"/>
                <w:szCs w:val="18"/>
              </w:rPr>
            </w:pPr>
          </w:p>
        </w:tc>
        <w:tc>
          <w:tcPr>
            <w:tcW w:w="1000" w:type="dxa"/>
            <w:vMerge w:val="continue"/>
            <w:shd w:val="clear" w:color="auto" w:fill="FFFFFF"/>
            <w:vAlign w:val="center"/>
          </w:tcPr>
          <w:p w14:paraId="5127E64B">
            <w:pPr>
              <w:widowControl/>
              <w:spacing w:line="0" w:lineRule="atLeast"/>
              <w:jc w:val="center"/>
              <w:rPr>
                <w:rFonts w:eastAsia="仿宋_GB2312"/>
                <w:kern w:val="0"/>
                <w:sz w:val="18"/>
                <w:szCs w:val="18"/>
              </w:rPr>
            </w:pPr>
          </w:p>
        </w:tc>
        <w:tc>
          <w:tcPr>
            <w:tcW w:w="1071" w:type="dxa"/>
            <w:shd w:val="clear" w:color="auto" w:fill="FFFFFF"/>
            <w:vAlign w:val="center"/>
          </w:tcPr>
          <w:p w14:paraId="02BAAE4E">
            <w:pPr>
              <w:widowControl/>
              <w:spacing w:line="0" w:lineRule="atLeast"/>
              <w:jc w:val="center"/>
              <w:rPr>
                <w:rFonts w:eastAsia="仿宋_GB2312"/>
                <w:kern w:val="0"/>
                <w:sz w:val="18"/>
                <w:szCs w:val="18"/>
              </w:rPr>
            </w:pPr>
            <w:r>
              <w:rPr>
                <w:rFonts w:eastAsia="仿宋_GB2312"/>
                <w:kern w:val="0"/>
                <w:sz w:val="18"/>
                <w:szCs w:val="18"/>
              </w:rPr>
              <w:t>立项程序</w:t>
            </w:r>
          </w:p>
          <w:p w14:paraId="4EBD9EC2">
            <w:pPr>
              <w:widowControl/>
              <w:spacing w:line="0" w:lineRule="atLeast"/>
              <w:jc w:val="center"/>
              <w:rPr>
                <w:rFonts w:eastAsia="仿宋_GB2312"/>
                <w:kern w:val="0"/>
                <w:sz w:val="18"/>
                <w:szCs w:val="18"/>
              </w:rPr>
            </w:pPr>
            <w:r>
              <w:rPr>
                <w:rFonts w:eastAsia="仿宋_GB2312"/>
                <w:kern w:val="0"/>
                <w:sz w:val="18"/>
                <w:szCs w:val="18"/>
              </w:rPr>
              <w:t>规范性</w:t>
            </w:r>
          </w:p>
        </w:tc>
        <w:tc>
          <w:tcPr>
            <w:tcW w:w="1725" w:type="dxa"/>
            <w:shd w:val="clear" w:color="auto" w:fill="FFFFFF"/>
            <w:vAlign w:val="center"/>
          </w:tcPr>
          <w:p w14:paraId="5B8049B3">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5216" w:type="dxa"/>
            <w:shd w:val="clear" w:color="auto" w:fill="FFFFFF"/>
            <w:vAlign w:val="center"/>
          </w:tcPr>
          <w:p w14:paraId="639844F9">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1304" w:type="dxa"/>
            <w:shd w:val="clear" w:color="auto" w:fill="FFFFFF"/>
            <w:vAlign w:val="center"/>
          </w:tcPr>
          <w:p w14:paraId="639AE257">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auto" w:fill="FFFFFF"/>
            <w:vAlign w:val="center"/>
          </w:tcPr>
          <w:p w14:paraId="47EA144C">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52E96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2" w:type="dxa"/>
            <w:vMerge w:val="continue"/>
            <w:shd w:val="clear" w:color="auto" w:fill="FFFFFF"/>
            <w:vAlign w:val="center"/>
          </w:tcPr>
          <w:p w14:paraId="409BDE09">
            <w:pPr>
              <w:spacing w:line="0" w:lineRule="atLeast"/>
              <w:jc w:val="center"/>
              <w:rPr>
                <w:rFonts w:eastAsia="仿宋_GB2312"/>
                <w:kern w:val="0"/>
                <w:sz w:val="18"/>
                <w:szCs w:val="18"/>
              </w:rPr>
            </w:pPr>
          </w:p>
        </w:tc>
        <w:tc>
          <w:tcPr>
            <w:tcW w:w="1000" w:type="dxa"/>
            <w:vMerge w:val="restart"/>
            <w:shd w:val="clear" w:color="auto" w:fill="FFFFFF"/>
            <w:vAlign w:val="center"/>
          </w:tcPr>
          <w:p w14:paraId="36A1CCD2">
            <w:pPr>
              <w:widowControl/>
              <w:spacing w:line="0" w:lineRule="atLeast"/>
              <w:jc w:val="center"/>
              <w:rPr>
                <w:rFonts w:eastAsia="仿宋_GB2312"/>
                <w:kern w:val="0"/>
                <w:sz w:val="18"/>
                <w:szCs w:val="18"/>
              </w:rPr>
            </w:pPr>
            <w:r>
              <w:rPr>
                <w:rFonts w:eastAsia="仿宋_GB2312"/>
                <w:kern w:val="0"/>
                <w:sz w:val="18"/>
                <w:szCs w:val="18"/>
              </w:rPr>
              <w:t>绩效目标　</w:t>
            </w:r>
          </w:p>
        </w:tc>
        <w:tc>
          <w:tcPr>
            <w:tcW w:w="1071" w:type="dxa"/>
            <w:shd w:val="clear" w:color="auto" w:fill="FFFFFF"/>
            <w:vAlign w:val="center"/>
          </w:tcPr>
          <w:p w14:paraId="783B6E0D">
            <w:pPr>
              <w:widowControl/>
              <w:spacing w:line="0" w:lineRule="atLeast"/>
              <w:jc w:val="center"/>
              <w:rPr>
                <w:rFonts w:eastAsia="仿宋_GB2312"/>
                <w:kern w:val="0"/>
                <w:sz w:val="18"/>
                <w:szCs w:val="18"/>
              </w:rPr>
            </w:pPr>
            <w:r>
              <w:rPr>
                <w:rFonts w:eastAsia="仿宋_GB2312"/>
                <w:kern w:val="0"/>
                <w:sz w:val="18"/>
                <w:szCs w:val="18"/>
              </w:rPr>
              <w:t>绩效目标</w:t>
            </w:r>
          </w:p>
          <w:p w14:paraId="1AF9D9CB">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000000" w:fill="FFFFFF"/>
            <w:vAlign w:val="center"/>
          </w:tcPr>
          <w:p w14:paraId="7E24F7F7">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6B49B9E9">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066E112A">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1304" w:type="dxa"/>
            <w:shd w:val="clear" w:color="000000" w:fill="FFFFFF"/>
            <w:vAlign w:val="center"/>
          </w:tcPr>
          <w:p w14:paraId="479532E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41CF908E">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3B6197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2" w:type="dxa"/>
            <w:vMerge w:val="continue"/>
            <w:shd w:val="clear" w:color="auto" w:fill="FFFFFF"/>
            <w:vAlign w:val="center"/>
          </w:tcPr>
          <w:p w14:paraId="5ED409BC">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07866A9C">
            <w:pPr>
              <w:widowControl/>
              <w:spacing w:line="0" w:lineRule="atLeast"/>
              <w:jc w:val="center"/>
              <w:rPr>
                <w:rFonts w:eastAsia="仿宋_GB2312"/>
                <w:kern w:val="0"/>
                <w:sz w:val="18"/>
                <w:szCs w:val="18"/>
              </w:rPr>
            </w:pPr>
          </w:p>
        </w:tc>
        <w:tc>
          <w:tcPr>
            <w:tcW w:w="1071" w:type="dxa"/>
            <w:shd w:val="clear" w:color="auto" w:fill="FFFFFF"/>
            <w:vAlign w:val="center"/>
          </w:tcPr>
          <w:p w14:paraId="4AB49912">
            <w:pPr>
              <w:widowControl/>
              <w:spacing w:line="0" w:lineRule="atLeast"/>
              <w:jc w:val="center"/>
              <w:rPr>
                <w:rFonts w:eastAsia="仿宋_GB2312"/>
                <w:kern w:val="0"/>
                <w:sz w:val="18"/>
                <w:szCs w:val="18"/>
              </w:rPr>
            </w:pPr>
            <w:r>
              <w:rPr>
                <w:rFonts w:eastAsia="仿宋_GB2312"/>
                <w:kern w:val="0"/>
                <w:sz w:val="18"/>
                <w:szCs w:val="18"/>
              </w:rPr>
              <w:t>绩效指标</w:t>
            </w:r>
          </w:p>
          <w:p w14:paraId="0D611C70">
            <w:pPr>
              <w:widowControl/>
              <w:spacing w:line="0" w:lineRule="atLeast"/>
              <w:jc w:val="center"/>
              <w:rPr>
                <w:rFonts w:eastAsia="仿宋_GB2312"/>
                <w:kern w:val="0"/>
                <w:sz w:val="18"/>
                <w:szCs w:val="18"/>
              </w:rPr>
            </w:pPr>
            <w:r>
              <w:rPr>
                <w:rFonts w:eastAsia="仿宋_GB2312"/>
                <w:kern w:val="0"/>
                <w:sz w:val="18"/>
                <w:szCs w:val="18"/>
              </w:rPr>
              <w:t>明确性</w:t>
            </w:r>
          </w:p>
        </w:tc>
        <w:tc>
          <w:tcPr>
            <w:tcW w:w="1725" w:type="dxa"/>
            <w:shd w:val="clear" w:color="000000" w:fill="FFFFFF"/>
            <w:vAlign w:val="center"/>
          </w:tcPr>
          <w:p w14:paraId="618CA072">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6AF4123F">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1304" w:type="dxa"/>
            <w:shd w:val="clear" w:color="000000" w:fill="FFFFFF"/>
            <w:vAlign w:val="center"/>
          </w:tcPr>
          <w:p w14:paraId="306CFD1D">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shd w:val="clear" w:color="000000" w:fill="FFFFFF"/>
            <w:vAlign w:val="center"/>
          </w:tcPr>
          <w:p w14:paraId="60370FAF">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4F4BE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2" w:type="dxa"/>
            <w:vMerge w:val="continue"/>
            <w:shd w:val="clear" w:color="auto" w:fill="FFFFFF"/>
            <w:vAlign w:val="center"/>
          </w:tcPr>
          <w:p w14:paraId="2A06644F">
            <w:pPr>
              <w:spacing w:line="0" w:lineRule="atLeast"/>
              <w:jc w:val="center"/>
              <w:rPr>
                <w:rFonts w:eastAsia="仿宋_GB2312"/>
                <w:kern w:val="0"/>
                <w:sz w:val="18"/>
                <w:szCs w:val="18"/>
              </w:rPr>
            </w:pPr>
          </w:p>
        </w:tc>
        <w:tc>
          <w:tcPr>
            <w:tcW w:w="1000" w:type="dxa"/>
            <w:vMerge w:val="restart"/>
            <w:shd w:val="clear" w:color="auto" w:fill="FFFFFF"/>
            <w:vAlign w:val="center"/>
          </w:tcPr>
          <w:p w14:paraId="5242E4D8">
            <w:pPr>
              <w:widowControl/>
              <w:spacing w:line="0" w:lineRule="atLeast"/>
              <w:jc w:val="center"/>
              <w:rPr>
                <w:rFonts w:eastAsia="仿宋_GB2312"/>
                <w:kern w:val="0"/>
                <w:sz w:val="18"/>
                <w:szCs w:val="18"/>
              </w:rPr>
            </w:pPr>
            <w:r>
              <w:rPr>
                <w:rFonts w:eastAsia="仿宋_GB2312"/>
                <w:kern w:val="0"/>
                <w:sz w:val="18"/>
                <w:szCs w:val="18"/>
              </w:rPr>
              <w:t>资金投入</w:t>
            </w:r>
          </w:p>
          <w:p w14:paraId="6B520A82">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456A077A">
            <w:pPr>
              <w:widowControl/>
              <w:spacing w:line="0" w:lineRule="atLeast"/>
              <w:jc w:val="center"/>
              <w:rPr>
                <w:rFonts w:eastAsia="仿宋_GB2312"/>
                <w:kern w:val="0"/>
                <w:sz w:val="18"/>
                <w:szCs w:val="18"/>
              </w:rPr>
            </w:pPr>
            <w:r>
              <w:rPr>
                <w:rFonts w:eastAsia="仿宋_GB2312"/>
                <w:kern w:val="0"/>
                <w:sz w:val="18"/>
                <w:szCs w:val="18"/>
              </w:rPr>
              <w:t>预算编制</w:t>
            </w:r>
          </w:p>
          <w:p w14:paraId="0FAD9CAE">
            <w:pPr>
              <w:widowControl/>
              <w:spacing w:line="0" w:lineRule="atLeast"/>
              <w:jc w:val="center"/>
              <w:rPr>
                <w:rFonts w:eastAsia="仿宋_GB2312"/>
                <w:kern w:val="0"/>
                <w:sz w:val="18"/>
                <w:szCs w:val="18"/>
              </w:rPr>
            </w:pPr>
            <w:r>
              <w:rPr>
                <w:rFonts w:eastAsia="仿宋_GB2312"/>
                <w:kern w:val="0"/>
                <w:sz w:val="18"/>
                <w:szCs w:val="18"/>
              </w:rPr>
              <w:t>科学性</w:t>
            </w:r>
          </w:p>
        </w:tc>
        <w:tc>
          <w:tcPr>
            <w:tcW w:w="1725" w:type="dxa"/>
            <w:shd w:val="clear" w:color="auto" w:fill="FFFFFF"/>
            <w:vAlign w:val="center"/>
          </w:tcPr>
          <w:p w14:paraId="12606C05">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181CC71F">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1304" w:type="dxa"/>
            <w:shd w:val="clear" w:color="auto" w:fill="FFFFFF"/>
            <w:vAlign w:val="center"/>
          </w:tcPr>
          <w:p w14:paraId="230FB8C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2D3116F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56473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2" w:type="dxa"/>
            <w:vMerge w:val="continue"/>
            <w:shd w:val="clear" w:color="auto" w:fill="FFFFFF"/>
            <w:vAlign w:val="center"/>
          </w:tcPr>
          <w:p w14:paraId="2CF21F45">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5FA66DAF">
            <w:pPr>
              <w:widowControl/>
              <w:spacing w:line="0" w:lineRule="atLeast"/>
              <w:jc w:val="center"/>
              <w:rPr>
                <w:rFonts w:eastAsia="仿宋_GB2312"/>
                <w:kern w:val="0"/>
                <w:sz w:val="18"/>
                <w:szCs w:val="18"/>
              </w:rPr>
            </w:pPr>
          </w:p>
        </w:tc>
        <w:tc>
          <w:tcPr>
            <w:tcW w:w="1071" w:type="dxa"/>
            <w:shd w:val="clear" w:color="auto" w:fill="FFFFFF"/>
            <w:vAlign w:val="center"/>
          </w:tcPr>
          <w:p w14:paraId="0ECAC7B1">
            <w:pPr>
              <w:widowControl/>
              <w:spacing w:line="0" w:lineRule="atLeast"/>
              <w:jc w:val="center"/>
              <w:rPr>
                <w:rFonts w:eastAsia="仿宋_GB2312"/>
                <w:kern w:val="0"/>
                <w:sz w:val="18"/>
                <w:szCs w:val="18"/>
              </w:rPr>
            </w:pPr>
            <w:r>
              <w:rPr>
                <w:rFonts w:eastAsia="仿宋_GB2312"/>
                <w:kern w:val="0"/>
                <w:sz w:val="18"/>
                <w:szCs w:val="18"/>
              </w:rPr>
              <w:t>资金分配</w:t>
            </w:r>
          </w:p>
          <w:p w14:paraId="145B811C">
            <w:pPr>
              <w:widowControl/>
              <w:spacing w:line="0" w:lineRule="atLeast"/>
              <w:jc w:val="center"/>
              <w:rPr>
                <w:rFonts w:eastAsia="仿宋_GB2312"/>
                <w:kern w:val="0"/>
                <w:sz w:val="18"/>
                <w:szCs w:val="18"/>
              </w:rPr>
            </w:pPr>
            <w:r>
              <w:rPr>
                <w:rFonts w:eastAsia="仿宋_GB2312"/>
                <w:kern w:val="0"/>
                <w:sz w:val="18"/>
                <w:szCs w:val="18"/>
              </w:rPr>
              <w:t>合理性</w:t>
            </w:r>
          </w:p>
        </w:tc>
        <w:tc>
          <w:tcPr>
            <w:tcW w:w="1725" w:type="dxa"/>
            <w:shd w:val="clear" w:color="auto" w:fill="FFFFFF"/>
            <w:vAlign w:val="center"/>
          </w:tcPr>
          <w:p w14:paraId="1574BE4E">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AB5737A">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1304" w:type="dxa"/>
            <w:shd w:val="clear" w:color="auto" w:fill="FFFFFF"/>
            <w:vAlign w:val="center"/>
          </w:tcPr>
          <w:p w14:paraId="5E1BF18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710E8D14">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3E0DB5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2" w:type="dxa"/>
            <w:vMerge w:val="restart"/>
            <w:shd w:val="clear" w:color="auto" w:fill="FFFFFF"/>
            <w:vAlign w:val="center"/>
          </w:tcPr>
          <w:p w14:paraId="050EE831">
            <w:pPr>
              <w:spacing w:line="0" w:lineRule="atLeast"/>
              <w:jc w:val="center"/>
              <w:rPr>
                <w:rFonts w:eastAsia="仿宋_GB2312"/>
                <w:kern w:val="0"/>
                <w:sz w:val="18"/>
                <w:szCs w:val="18"/>
              </w:rPr>
            </w:pPr>
          </w:p>
          <w:p w14:paraId="27EE415F">
            <w:pPr>
              <w:spacing w:line="0" w:lineRule="atLeast"/>
              <w:jc w:val="center"/>
              <w:rPr>
                <w:rFonts w:eastAsia="仿宋_GB2312"/>
                <w:kern w:val="0"/>
                <w:sz w:val="18"/>
                <w:szCs w:val="18"/>
              </w:rPr>
            </w:pPr>
          </w:p>
          <w:p w14:paraId="7A4E9B5F">
            <w:pPr>
              <w:spacing w:line="0" w:lineRule="atLeast"/>
              <w:jc w:val="center"/>
              <w:rPr>
                <w:rFonts w:eastAsia="仿宋_GB2312"/>
                <w:kern w:val="0"/>
                <w:sz w:val="18"/>
                <w:szCs w:val="18"/>
              </w:rPr>
            </w:pPr>
          </w:p>
          <w:p w14:paraId="34AB7EC1">
            <w:pPr>
              <w:spacing w:line="0" w:lineRule="atLeast"/>
              <w:jc w:val="center"/>
              <w:rPr>
                <w:rFonts w:eastAsia="仿宋_GB2312"/>
                <w:kern w:val="0"/>
                <w:sz w:val="18"/>
                <w:szCs w:val="18"/>
              </w:rPr>
            </w:pPr>
          </w:p>
          <w:p w14:paraId="322A73AD">
            <w:pPr>
              <w:spacing w:line="0" w:lineRule="atLeast"/>
              <w:jc w:val="center"/>
              <w:rPr>
                <w:rFonts w:eastAsia="仿宋_GB2312"/>
                <w:kern w:val="0"/>
                <w:sz w:val="18"/>
                <w:szCs w:val="18"/>
              </w:rPr>
            </w:pPr>
          </w:p>
          <w:p w14:paraId="21A48B37">
            <w:pPr>
              <w:spacing w:line="0" w:lineRule="atLeast"/>
              <w:jc w:val="center"/>
              <w:rPr>
                <w:rFonts w:eastAsia="仿宋_GB2312"/>
                <w:kern w:val="0"/>
                <w:sz w:val="18"/>
                <w:szCs w:val="18"/>
              </w:rPr>
            </w:pPr>
          </w:p>
          <w:p w14:paraId="407D8EE1">
            <w:pPr>
              <w:spacing w:line="0" w:lineRule="atLeast"/>
              <w:jc w:val="center"/>
              <w:rPr>
                <w:rFonts w:eastAsia="仿宋_GB2312"/>
                <w:kern w:val="0"/>
                <w:sz w:val="18"/>
                <w:szCs w:val="18"/>
              </w:rPr>
            </w:pPr>
          </w:p>
          <w:p w14:paraId="2BDF15AC">
            <w:pPr>
              <w:spacing w:line="0" w:lineRule="atLeast"/>
              <w:jc w:val="center"/>
              <w:rPr>
                <w:rFonts w:eastAsia="仿宋_GB2312"/>
                <w:kern w:val="0"/>
                <w:sz w:val="18"/>
                <w:szCs w:val="18"/>
              </w:rPr>
            </w:pPr>
          </w:p>
          <w:p w14:paraId="284F2959">
            <w:pPr>
              <w:spacing w:line="0" w:lineRule="atLeast"/>
              <w:jc w:val="center"/>
              <w:rPr>
                <w:rFonts w:eastAsia="仿宋_GB2312"/>
                <w:kern w:val="0"/>
                <w:sz w:val="18"/>
                <w:szCs w:val="18"/>
              </w:rPr>
            </w:pPr>
          </w:p>
          <w:p w14:paraId="7FF20834">
            <w:pPr>
              <w:spacing w:line="0" w:lineRule="atLeast"/>
              <w:jc w:val="center"/>
              <w:rPr>
                <w:rFonts w:eastAsia="仿宋_GB2312"/>
                <w:kern w:val="0"/>
                <w:sz w:val="18"/>
                <w:szCs w:val="18"/>
              </w:rPr>
            </w:pPr>
          </w:p>
          <w:p w14:paraId="0331C109">
            <w:pPr>
              <w:spacing w:line="0" w:lineRule="atLeast"/>
              <w:jc w:val="center"/>
              <w:rPr>
                <w:rFonts w:eastAsia="仿宋_GB2312"/>
                <w:kern w:val="0"/>
                <w:sz w:val="18"/>
                <w:szCs w:val="18"/>
              </w:rPr>
            </w:pPr>
          </w:p>
          <w:p w14:paraId="26C7196A">
            <w:pPr>
              <w:spacing w:line="0" w:lineRule="atLeast"/>
              <w:jc w:val="center"/>
              <w:rPr>
                <w:rFonts w:eastAsia="仿宋_GB2312"/>
                <w:kern w:val="0"/>
                <w:sz w:val="18"/>
                <w:szCs w:val="18"/>
              </w:rPr>
            </w:pPr>
          </w:p>
          <w:p w14:paraId="3F26B241">
            <w:pPr>
              <w:spacing w:line="0" w:lineRule="atLeast"/>
              <w:jc w:val="center"/>
              <w:rPr>
                <w:rFonts w:eastAsia="仿宋_GB2312"/>
                <w:kern w:val="0"/>
                <w:sz w:val="18"/>
                <w:szCs w:val="18"/>
              </w:rPr>
            </w:pPr>
          </w:p>
          <w:p w14:paraId="4A9141AD">
            <w:pPr>
              <w:spacing w:line="0" w:lineRule="atLeast"/>
              <w:jc w:val="center"/>
              <w:rPr>
                <w:rFonts w:eastAsia="仿宋_GB2312"/>
                <w:kern w:val="0"/>
                <w:sz w:val="18"/>
                <w:szCs w:val="18"/>
              </w:rPr>
            </w:pPr>
          </w:p>
          <w:p w14:paraId="4191706D">
            <w:pPr>
              <w:spacing w:line="0" w:lineRule="atLeast"/>
              <w:jc w:val="center"/>
              <w:rPr>
                <w:rFonts w:eastAsia="仿宋_GB2312"/>
                <w:kern w:val="0"/>
                <w:sz w:val="18"/>
                <w:szCs w:val="18"/>
              </w:rPr>
            </w:pPr>
          </w:p>
          <w:p w14:paraId="0392D2A1">
            <w:pPr>
              <w:spacing w:line="0" w:lineRule="atLeast"/>
              <w:jc w:val="center"/>
              <w:rPr>
                <w:rFonts w:eastAsia="仿宋_GB2312"/>
                <w:kern w:val="0"/>
                <w:sz w:val="18"/>
                <w:szCs w:val="18"/>
              </w:rPr>
            </w:pPr>
            <w:r>
              <w:rPr>
                <w:rFonts w:eastAsia="仿宋_GB2312"/>
                <w:kern w:val="0"/>
                <w:sz w:val="18"/>
                <w:szCs w:val="18"/>
              </w:rPr>
              <w:t>过程</w:t>
            </w:r>
          </w:p>
          <w:p w14:paraId="32A7137A">
            <w:pPr>
              <w:widowControl/>
              <w:spacing w:line="0" w:lineRule="atLeast"/>
              <w:jc w:val="center"/>
              <w:rPr>
                <w:rFonts w:eastAsia="仿宋_GB2312"/>
                <w:kern w:val="0"/>
                <w:sz w:val="18"/>
                <w:szCs w:val="18"/>
              </w:rPr>
            </w:pPr>
            <w:r>
              <w:rPr>
                <w:rFonts w:eastAsia="仿宋_GB2312"/>
                <w:kern w:val="0"/>
                <w:sz w:val="18"/>
                <w:szCs w:val="18"/>
              </w:rPr>
              <w:t>　　</w:t>
            </w:r>
          </w:p>
        </w:tc>
        <w:tc>
          <w:tcPr>
            <w:tcW w:w="1000" w:type="dxa"/>
            <w:vMerge w:val="restart"/>
            <w:shd w:val="clear" w:color="auto" w:fill="FFFFFF"/>
            <w:vAlign w:val="center"/>
          </w:tcPr>
          <w:p w14:paraId="4EA2F082">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5BF1861D">
            <w:pPr>
              <w:widowControl/>
              <w:spacing w:line="0" w:lineRule="atLeast"/>
              <w:jc w:val="center"/>
              <w:rPr>
                <w:rFonts w:eastAsia="仿宋_GB2312"/>
                <w:kern w:val="0"/>
                <w:sz w:val="18"/>
                <w:szCs w:val="18"/>
              </w:rPr>
            </w:pPr>
            <w:r>
              <w:rPr>
                <w:rFonts w:eastAsia="仿宋_GB2312"/>
                <w:kern w:val="0"/>
                <w:sz w:val="18"/>
                <w:szCs w:val="18"/>
              </w:rPr>
              <w:t>资金到位率</w:t>
            </w:r>
          </w:p>
        </w:tc>
        <w:tc>
          <w:tcPr>
            <w:tcW w:w="1725" w:type="dxa"/>
            <w:shd w:val="clear" w:color="000000" w:fill="FFFFFF"/>
            <w:vAlign w:val="center"/>
          </w:tcPr>
          <w:p w14:paraId="5BB2ED09">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7A3C5EB0">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79097FC5">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C778FE4">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1304" w:type="dxa"/>
            <w:shd w:val="clear" w:color="000000" w:fill="FFFFFF"/>
            <w:vAlign w:val="center"/>
          </w:tcPr>
          <w:p w14:paraId="11D80A4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80E0CCC">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6713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2" w:type="dxa"/>
            <w:vMerge w:val="continue"/>
            <w:shd w:val="clear" w:color="auto" w:fill="FFFFFF"/>
            <w:vAlign w:val="center"/>
          </w:tcPr>
          <w:p w14:paraId="2F07C61E">
            <w:pPr>
              <w:spacing w:line="0" w:lineRule="atLeast"/>
              <w:jc w:val="center"/>
              <w:rPr>
                <w:rFonts w:eastAsia="仿宋_GB2312"/>
                <w:kern w:val="0"/>
                <w:sz w:val="18"/>
                <w:szCs w:val="18"/>
              </w:rPr>
            </w:pPr>
          </w:p>
        </w:tc>
        <w:tc>
          <w:tcPr>
            <w:tcW w:w="1000" w:type="dxa"/>
            <w:vMerge w:val="continue"/>
            <w:shd w:val="clear" w:color="auto" w:fill="FFFFFF"/>
            <w:vAlign w:val="center"/>
          </w:tcPr>
          <w:p w14:paraId="58484204">
            <w:pPr>
              <w:spacing w:line="0" w:lineRule="atLeast"/>
              <w:jc w:val="center"/>
              <w:rPr>
                <w:rFonts w:eastAsia="仿宋_GB2312"/>
                <w:kern w:val="0"/>
                <w:sz w:val="18"/>
                <w:szCs w:val="18"/>
              </w:rPr>
            </w:pPr>
          </w:p>
        </w:tc>
        <w:tc>
          <w:tcPr>
            <w:tcW w:w="1071" w:type="dxa"/>
            <w:shd w:val="clear" w:color="auto" w:fill="FFFFFF"/>
            <w:vAlign w:val="center"/>
          </w:tcPr>
          <w:p w14:paraId="67197A7A">
            <w:pPr>
              <w:widowControl/>
              <w:spacing w:line="0" w:lineRule="atLeast"/>
              <w:jc w:val="center"/>
              <w:rPr>
                <w:rFonts w:eastAsia="仿宋_GB2312"/>
                <w:kern w:val="0"/>
                <w:sz w:val="18"/>
                <w:szCs w:val="18"/>
              </w:rPr>
            </w:pPr>
            <w:r>
              <w:rPr>
                <w:rFonts w:eastAsia="仿宋_GB2312"/>
                <w:kern w:val="0"/>
                <w:sz w:val="18"/>
                <w:szCs w:val="18"/>
              </w:rPr>
              <w:t>预算执行率</w:t>
            </w:r>
          </w:p>
        </w:tc>
        <w:tc>
          <w:tcPr>
            <w:tcW w:w="1725" w:type="dxa"/>
            <w:shd w:val="clear" w:color="auto" w:fill="FFFFFF"/>
            <w:vAlign w:val="center"/>
          </w:tcPr>
          <w:p w14:paraId="577C9128">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5216" w:type="dxa"/>
            <w:shd w:val="clear" w:color="auto" w:fill="FFFFFF"/>
            <w:vAlign w:val="center"/>
          </w:tcPr>
          <w:p w14:paraId="60D98884">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1304" w:type="dxa"/>
            <w:shd w:val="clear" w:color="auto" w:fill="FFFFFF"/>
            <w:vAlign w:val="center"/>
          </w:tcPr>
          <w:p w14:paraId="145719C1">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auto" w:fill="FFFFFF"/>
            <w:vAlign w:val="center"/>
          </w:tcPr>
          <w:p w14:paraId="6C83C6D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3CC9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1056BFE8">
            <w:pPr>
              <w:spacing w:line="0" w:lineRule="atLeast"/>
              <w:jc w:val="center"/>
              <w:rPr>
                <w:rFonts w:eastAsia="仿宋_GB2312"/>
                <w:kern w:val="0"/>
                <w:sz w:val="18"/>
                <w:szCs w:val="18"/>
              </w:rPr>
            </w:pPr>
          </w:p>
        </w:tc>
        <w:tc>
          <w:tcPr>
            <w:tcW w:w="1000" w:type="dxa"/>
            <w:shd w:val="clear" w:color="auto" w:fill="FFFFFF"/>
            <w:vAlign w:val="center"/>
          </w:tcPr>
          <w:p w14:paraId="6B0CEBC3">
            <w:pPr>
              <w:widowControl/>
              <w:spacing w:line="0" w:lineRule="atLeast"/>
              <w:jc w:val="center"/>
              <w:rPr>
                <w:rFonts w:eastAsia="仿宋_GB2312"/>
                <w:kern w:val="0"/>
                <w:sz w:val="18"/>
                <w:szCs w:val="18"/>
              </w:rPr>
            </w:pPr>
            <w:r>
              <w:rPr>
                <w:rFonts w:eastAsia="仿宋_GB2312"/>
                <w:kern w:val="0"/>
                <w:sz w:val="18"/>
                <w:szCs w:val="18"/>
              </w:rPr>
              <w:t>资金管理</w:t>
            </w:r>
          </w:p>
        </w:tc>
        <w:tc>
          <w:tcPr>
            <w:tcW w:w="1071" w:type="dxa"/>
            <w:shd w:val="clear" w:color="auto" w:fill="FFFFFF"/>
            <w:vAlign w:val="center"/>
          </w:tcPr>
          <w:p w14:paraId="69BD98CA">
            <w:pPr>
              <w:widowControl/>
              <w:spacing w:line="0" w:lineRule="atLeast"/>
              <w:jc w:val="center"/>
              <w:rPr>
                <w:rFonts w:eastAsia="仿宋_GB2312"/>
                <w:kern w:val="0"/>
                <w:sz w:val="18"/>
                <w:szCs w:val="18"/>
              </w:rPr>
            </w:pPr>
            <w:r>
              <w:rPr>
                <w:rFonts w:eastAsia="仿宋_GB2312"/>
                <w:kern w:val="0"/>
                <w:sz w:val="18"/>
                <w:szCs w:val="18"/>
              </w:rPr>
              <w:t>资金使用</w:t>
            </w:r>
          </w:p>
          <w:p w14:paraId="299B6E74">
            <w:pPr>
              <w:widowControl/>
              <w:spacing w:line="0" w:lineRule="atLeast"/>
              <w:jc w:val="center"/>
              <w:rPr>
                <w:rFonts w:eastAsia="仿宋_GB2312"/>
                <w:kern w:val="0"/>
                <w:sz w:val="18"/>
                <w:szCs w:val="18"/>
              </w:rPr>
            </w:pPr>
            <w:r>
              <w:rPr>
                <w:rFonts w:eastAsia="仿宋_GB2312"/>
                <w:kern w:val="0"/>
                <w:sz w:val="18"/>
                <w:szCs w:val="18"/>
              </w:rPr>
              <w:t>合规性</w:t>
            </w:r>
          </w:p>
        </w:tc>
        <w:tc>
          <w:tcPr>
            <w:tcW w:w="1725" w:type="dxa"/>
            <w:shd w:val="clear" w:color="000000" w:fill="FFFFFF"/>
            <w:vAlign w:val="center"/>
          </w:tcPr>
          <w:p w14:paraId="4AE90F4A">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69FC57BB">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1304" w:type="dxa"/>
            <w:shd w:val="clear" w:color="000000" w:fill="FFFFFF"/>
            <w:vAlign w:val="center"/>
          </w:tcPr>
          <w:p w14:paraId="10BE9693">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7AA33F9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F97F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2" w:type="dxa"/>
            <w:vMerge w:val="continue"/>
            <w:shd w:val="clear" w:color="auto" w:fill="FFFFFF"/>
            <w:vAlign w:val="center"/>
          </w:tcPr>
          <w:p w14:paraId="3A9A8CB2">
            <w:pPr>
              <w:spacing w:line="0" w:lineRule="atLeast"/>
              <w:jc w:val="center"/>
              <w:rPr>
                <w:rFonts w:eastAsia="仿宋_GB2312"/>
                <w:kern w:val="0"/>
                <w:sz w:val="18"/>
                <w:szCs w:val="18"/>
              </w:rPr>
            </w:pPr>
          </w:p>
        </w:tc>
        <w:tc>
          <w:tcPr>
            <w:tcW w:w="1000" w:type="dxa"/>
            <w:vMerge w:val="restart"/>
            <w:shd w:val="clear" w:color="auto" w:fill="FFFFFF"/>
            <w:vAlign w:val="center"/>
          </w:tcPr>
          <w:p w14:paraId="5614523E">
            <w:pPr>
              <w:widowControl/>
              <w:spacing w:line="0" w:lineRule="atLeast"/>
              <w:jc w:val="center"/>
              <w:rPr>
                <w:rFonts w:eastAsia="仿宋_GB2312"/>
                <w:kern w:val="0"/>
                <w:sz w:val="18"/>
                <w:szCs w:val="18"/>
              </w:rPr>
            </w:pPr>
            <w:r>
              <w:rPr>
                <w:rFonts w:eastAsia="仿宋_GB2312"/>
                <w:kern w:val="0"/>
                <w:sz w:val="18"/>
                <w:szCs w:val="18"/>
              </w:rPr>
              <w:t>组织实施</w:t>
            </w:r>
          </w:p>
          <w:p w14:paraId="64A3FC99">
            <w:pPr>
              <w:spacing w:line="0" w:lineRule="atLeast"/>
              <w:jc w:val="center"/>
              <w:rPr>
                <w:rFonts w:eastAsia="仿宋_GB2312"/>
                <w:kern w:val="0"/>
                <w:sz w:val="18"/>
                <w:szCs w:val="18"/>
              </w:rPr>
            </w:pPr>
            <w:r>
              <w:rPr>
                <w:rFonts w:eastAsia="仿宋_GB2312"/>
                <w:kern w:val="0"/>
                <w:sz w:val="18"/>
                <w:szCs w:val="18"/>
              </w:rPr>
              <w:t>　</w:t>
            </w:r>
          </w:p>
        </w:tc>
        <w:tc>
          <w:tcPr>
            <w:tcW w:w="1071" w:type="dxa"/>
            <w:shd w:val="clear" w:color="auto" w:fill="FFFFFF"/>
            <w:vAlign w:val="center"/>
          </w:tcPr>
          <w:p w14:paraId="021E5EE4">
            <w:pPr>
              <w:widowControl/>
              <w:spacing w:line="0" w:lineRule="atLeast"/>
              <w:jc w:val="center"/>
              <w:rPr>
                <w:rFonts w:eastAsia="仿宋_GB2312"/>
                <w:kern w:val="0"/>
                <w:sz w:val="18"/>
                <w:szCs w:val="18"/>
              </w:rPr>
            </w:pPr>
            <w:r>
              <w:rPr>
                <w:rFonts w:eastAsia="仿宋_GB2312"/>
                <w:kern w:val="0"/>
                <w:sz w:val="18"/>
                <w:szCs w:val="18"/>
              </w:rPr>
              <w:t>管理制度</w:t>
            </w:r>
          </w:p>
          <w:p w14:paraId="622AF41E">
            <w:pPr>
              <w:widowControl/>
              <w:spacing w:line="0" w:lineRule="atLeast"/>
              <w:jc w:val="center"/>
              <w:rPr>
                <w:rFonts w:eastAsia="仿宋_GB2312"/>
                <w:kern w:val="0"/>
                <w:sz w:val="18"/>
                <w:szCs w:val="18"/>
              </w:rPr>
            </w:pPr>
            <w:r>
              <w:rPr>
                <w:rFonts w:eastAsia="仿宋_GB2312"/>
                <w:kern w:val="0"/>
                <w:sz w:val="18"/>
                <w:szCs w:val="18"/>
              </w:rPr>
              <w:t>健全性</w:t>
            </w:r>
          </w:p>
        </w:tc>
        <w:tc>
          <w:tcPr>
            <w:tcW w:w="1725" w:type="dxa"/>
            <w:shd w:val="clear" w:color="000000" w:fill="FFFFFF"/>
            <w:vAlign w:val="center"/>
          </w:tcPr>
          <w:p w14:paraId="24E411F2">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C9142BC">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1304" w:type="dxa"/>
            <w:shd w:val="clear" w:color="000000" w:fill="FFFFFF"/>
            <w:vAlign w:val="center"/>
          </w:tcPr>
          <w:p w14:paraId="4BBA0D9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3BA9791C">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7C1E4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2" w:type="dxa"/>
            <w:vMerge w:val="continue"/>
            <w:shd w:val="clear" w:color="auto" w:fill="FFFFFF"/>
            <w:vAlign w:val="center"/>
          </w:tcPr>
          <w:p w14:paraId="336BF8C8">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5033EEB1">
            <w:pPr>
              <w:widowControl/>
              <w:spacing w:line="0" w:lineRule="atLeast"/>
              <w:jc w:val="center"/>
              <w:rPr>
                <w:rFonts w:eastAsia="仿宋_GB2312"/>
                <w:kern w:val="0"/>
                <w:sz w:val="18"/>
                <w:szCs w:val="18"/>
              </w:rPr>
            </w:pPr>
          </w:p>
        </w:tc>
        <w:tc>
          <w:tcPr>
            <w:tcW w:w="1071" w:type="dxa"/>
            <w:shd w:val="clear" w:color="auto" w:fill="FFFFFF"/>
            <w:vAlign w:val="center"/>
          </w:tcPr>
          <w:p w14:paraId="7358D490">
            <w:pPr>
              <w:widowControl/>
              <w:spacing w:line="0" w:lineRule="atLeast"/>
              <w:jc w:val="center"/>
              <w:rPr>
                <w:rFonts w:eastAsia="仿宋_GB2312"/>
                <w:kern w:val="0"/>
                <w:sz w:val="18"/>
                <w:szCs w:val="18"/>
              </w:rPr>
            </w:pPr>
            <w:r>
              <w:rPr>
                <w:rFonts w:eastAsia="仿宋_GB2312"/>
                <w:kern w:val="0"/>
                <w:sz w:val="18"/>
                <w:szCs w:val="18"/>
              </w:rPr>
              <w:t>制度执行</w:t>
            </w:r>
          </w:p>
          <w:p w14:paraId="31DF9778">
            <w:pPr>
              <w:widowControl/>
              <w:spacing w:line="0" w:lineRule="atLeast"/>
              <w:jc w:val="center"/>
              <w:rPr>
                <w:rFonts w:eastAsia="仿宋_GB2312"/>
                <w:kern w:val="0"/>
                <w:sz w:val="18"/>
                <w:szCs w:val="18"/>
              </w:rPr>
            </w:pPr>
            <w:r>
              <w:rPr>
                <w:rFonts w:eastAsia="仿宋_GB2312"/>
                <w:kern w:val="0"/>
                <w:sz w:val="18"/>
                <w:szCs w:val="18"/>
              </w:rPr>
              <w:t>有效性</w:t>
            </w:r>
          </w:p>
        </w:tc>
        <w:tc>
          <w:tcPr>
            <w:tcW w:w="1725" w:type="dxa"/>
            <w:shd w:val="clear" w:color="000000" w:fill="FFFFFF"/>
            <w:vAlign w:val="center"/>
          </w:tcPr>
          <w:p w14:paraId="69C29382">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5216" w:type="dxa"/>
            <w:shd w:val="clear" w:color="000000" w:fill="FFFFFF"/>
            <w:vAlign w:val="center"/>
          </w:tcPr>
          <w:p w14:paraId="68A1D5EA">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1304" w:type="dxa"/>
            <w:shd w:val="clear" w:color="000000" w:fill="FFFFFF"/>
            <w:vAlign w:val="center"/>
          </w:tcPr>
          <w:p w14:paraId="23985D3B">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shd w:val="clear" w:color="000000" w:fill="FFFFFF"/>
            <w:vAlign w:val="center"/>
          </w:tcPr>
          <w:p w14:paraId="273D7781">
            <w:pPr>
              <w:widowControl/>
              <w:spacing w:line="0" w:lineRule="atLeast"/>
              <w:jc w:val="center"/>
              <w:rPr>
                <w:b/>
                <w:bCs/>
                <w:kern w:val="0"/>
                <w:sz w:val="18"/>
                <w:szCs w:val="18"/>
              </w:rPr>
            </w:pPr>
            <w:r>
              <w:rPr>
                <w:rFonts w:hint="eastAsia"/>
              </w:rPr>
              <w:t>4</w:t>
            </w:r>
          </w:p>
        </w:tc>
      </w:tr>
      <w:tr w14:paraId="37C65B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2" w:type="dxa"/>
            <w:vMerge w:val="restart"/>
            <w:shd w:val="clear" w:color="auto" w:fill="FFFFFF"/>
            <w:vAlign w:val="center"/>
          </w:tcPr>
          <w:p w14:paraId="306BEDE2">
            <w:pPr>
              <w:widowControl/>
              <w:spacing w:line="0" w:lineRule="atLeast"/>
              <w:jc w:val="center"/>
              <w:rPr>
                <w:rFonts w:eastAsia="仿宋_GB2312"/>
                <w:kern w:val="0"/>
                <w:sz w:val="18"/>
                <w:szCs w:val="18"/>
              </w:rPr>
            </w:pPr>
            <w:r>
              <w:rPr>
                <w:rFonts w:eastAsia="仿宋_GB2312"/>
                <w:kern w:val="0"/>
                <w:sz w:val="18"/>
                <w:szCs w:val="18"/>
              </w:rPr>
              <w:t>产出</w:t>
            </w:r>
          </w:p>
        </w:tc>
        <w:tc>
          <w:tcPr>
            <w:tcW w:w="1000" w:type="dxa"/>
            <w:shd w:val="clear" w:color="auto" w:fill="FFFFFF"/>
            <w:vAlign w:val="center"/>
          </w:tcPr>
          <w:p w14:paraId="3791B777">
            <w:pPr>
              <w:widowControl/>
              <w:spacing w:line="0" w:lineRule="atLeast"/>
              <w:jc w:val="center"/>
              <w:rPr>
                <w:rFonts w:eastAsia="仿宋_GB2312"/>
                <w:kern w:val="0"/>
                <w:sz w:val="18"/>
                <w:szCs w:val="18"/>
              </w:rPr>
            </w:pPr>
            <w:r>
              <w:rPr>
                <w:rFonts w:eastAsia="仿宋_GB2312"/>
                <w:kern w:val="0"/>
                <w:sz w:val="18"/>
                <w:szCs w:val="18"/>
              </w:rPr>
              <w:t>产出数量</w:t>
            </w:r>
          </w:p>
        </w:tc>
        <w:tc>
          <w:tcPr>
            <w:tcW w:w="1071" w:type="dxa"/>
            <w:shd w:val="clear" w:color="auto" w:fill="FFFFFF"/>
            <w:vAlign w:val="center"/>
          </w:tcPr>
          <w:p w14:paraId="6C382B31">
            <w:pPr>
              <w:widowControl/>
              <w:spacing w:line="0" w:lineRule="atLeast"/>
              <w:jc w:val="center"/>
              <w:rPr>
                <w:rFonts w:eastAsia="仿宋_GB2312"/>
                <w:kern w:val="0"/>
                <w:sz w:val="18"/>
                <w:szCs w:val="18"/>
              </w:rPr>
            </w:pPr>
            <w:r>
              <w:rPr>
                <w:rFonts w:eastAsia="仿宋_GB2312"/>
                <w:kern w:val="0"/>
                <w:sz w:val="18"/>
                <w:szCs w:val="18"/>
              </w:rPr>
              <w:t>实际完成率</w:t>
            </w:r>
          </w:p>
        </w:tc>
        <w:tc>
          <w:tcPr>
            <w:tcW w:w="1725" w:type="dxa"/>
            <w:shd w:val="clear" w:color="000000" w:fill="FFFFFF"/>
            <w:vAlign w:val="center"/>
          </w:tcPr>
          <w:p w14:paraId="41DDE445">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788B1370">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1304" w:type="dxa"/>
            <w:shd w:val="clear" w:color="000000" w:fill="FFFFFF"/>
            <w:vAlign w:val="center"/>
          </w:tcPr>
          <w:p w14:paraId="0A75B0DE">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600EEDD1">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3F554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1002" w:type="dxa"/>
            <w:vMerge w:val="continue"/>
            <w:shd w:val="clear" w:color="auto" w:fill="FFFFFF"/>
            <w:vAlign w:val="center"/>
          </w:tcPr>
          <w:p w14:paraId="4FAFDDB0">
            <w:pPr>
              <w:widowControl/>
              <w:spacing w:line="0" w:lineRule="atLeast"/>
              <w:jc w:val="center"/>
              <w:rPr>
                <w:rFonts w:eastAsia="仿宋_GB2312"/>
                <w:kern w:val="0"/>
                <w:sz w:val="18"/>
                <w:szCs w:val="18"/>
              </w:rPr>
            </w:pPr>
          </w:p>
        </w:tc>
        <w:tc>
          <w:tcPr>
            <w:tcW w:w="1000" w:type="dxa"/>
            <w:shd w:val="clear" w:color="auto" w:fill="FFFFFF"/>
            <w:vAlign w:val="center"/>
          </w:tcPr>
          <w:p w14:paraId="28D893A3">
            <w:pPr>
              <w:widowControl/>
              <w:spacing w:line="0" w:lineRule="atLeast"/>
              <w:jc w:val="center"/>
              <w:rPr>
                <w:rFonts w:eastAsia="仿宋_GB2312"/>
                <w:kern w:val="0"/>
                <w:sz w:val="18"/>
                <w:szCs w:val="18"/>
              </w:rPr>
            </w:pPr>
            <w:r>
              <w:rPr>
                <w:rFonts w:eastAsia="仿宋_GB2312"/>
                <w:kern w:val="0"/>
                <w:sz w:val="18"/>
                <w:szCs w:val="18"/>
              </w:rPr>
              <w:t>产出质量</w:t>
            </w:r>
          </w:p>
        </w:tc>
        <w:tc>
          <w:tcPr>
            <w:tcW w:w="1071" w:type="dxa"/>
            <w:shd w:val="clear" w:color="auto" w:fill="FFFFFF"/>
            <w:vAlign w:val="center"/>
          </w:tcPr>
          <w:p w14:paraId="17A4A0DF">
            <w:pPr>
              <w:widowControl/>
              <w:spacing w:line="0" w:lineRule="atLeast"/>
              <w:jc w:val="center"/>
              <w:rPr>
                <w:rFonts w:eastAsia="仿宋_GB2312"/>
                <w:kern w:val="0"/>
                <w:sz w:val="18"/>
                <w:szCs w:val="18"/>
              </w:rPr>
            </w:pPr>
            <w:r>
              <w:rPr>
                <w:rFonts w:eastAsia="仿宋_GB2312"/>
                <w:kern w:val="0"/>
                <w:sz w:val="18"/>
                <w:szCs w:val="18"/>
              </w:rPr>
              <w:t>质量达标率</w:t>
            </w:r>
          </w:p>
        </w:tc>
        <w:tc>
          <w:tcPr>
            <w:tcW w:w="1725" w:type="dxa"/>
            <w:shd w:val="clear" w:color="000000" w:fill="FFFFFF"/>
            <w:vAlign w:val="center"/>
          </w:tcPr>
          <w:p w14:paraId="21BC3785">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4CAABF1C">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4D726E3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4" w:type="dxa"/>
            <w:shd w:val="clear" w:color="000000" w:fill="FFFFFF"/>
            <w:vAlign w:val="center"/>
          </w:tcPr>
          <w:p w14:paraId="39F9F92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45D9606F">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702EF9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2" w:type="dxa"/>
            <w:vMerge w:val="continue"/>
            <w:shd w:val="clear" w:color="auto" w:fill="FFFFFF"/>
            <w:vAlign w:val="center"/>
          </w:tcPr>
          <w:p w14:paraId="4661E417">
            <w:pPr>
              <w:spacing w:line="0" w:lineRule="atLeast"/>
              <w:jc w:val="center"/>
              <w:rPr>
                <w:rFonts w:eastAsia="仿宋_GB2312"/>
                <w:kern w:val="0"/>
                <w:sz w:val="18"/>
                <w:szCs w:val="18"/>
              </w:rPr>
            </w:pPr>
          </w:p>
        </w:tc>
        <w:tc>
          <w:tcPr>
            <w:tcW w:w="1000" w:type="dxa"/>
            <w:shd w:val="clear" w:color="auto" w:fill="FFFFFF"/>
            <w:vAlign w:val="center"/>
          </w:tcPr>
          <w:p w14:paraId="34780ED0">
            <w:pPr>
              <w:spacing w:line="0" w:lineRule="atLeast"/>
              <w:jc w:val="center"/>
              <w:rPr>
                <w:rFonts w:eastAsia="仿宋_GB2312"/>
                <w:kern w:val="0"/>
                <w:sz w:val="18"/>
                <w:szCs w:val="18"/>
              </w:rPr>
            </w:pPr>
            <w:r>
              <w:rPr>
                <w:rFonts w:eastAsia="仿宋_GB2312"/>
                <w:kern w:val="0"/>
                <w:sz w:val="18"/>
                <w:szCs w:val="18"/>
              </w:rPr>
              <w:t>产出时效</w:t>
            </w:r>
          </w:p>
        </w:tc>
        <w:tc>
          <w:tcPr>
            <w:tcW w:w="1071" w:type="dxa"/>
            <w:shd w:val="clear" w:color="auto" w:fill="FFFFFF"/>
            <w:vAlign w:val="center"/>
          </w:tcPr>
          <w:p w14:paraId="7CDD0DD6">
            <w:pPr>
              <w:widowControl/>
              <w:spacing w:line="0" w:lineRule="atLeast"/>
              <w:jc w:val="center"/>
              <w:rPr>
                <w:rFonts w:eastAsia="仿宋_GB2312"/>
                <w:kern w:val="0"/>
                <w:sz w:val="18"/>
                <w:szCs w:val="18"/>
              </w:rPr>
            </w:pPr>
            <w:r>
              <w:rPr>
                <w:rFonts w:eastAsia="仿宋_GB2312"/>
                <w:kern w:val="0"/>
                <w:sz w:val="18"/>
                <w:szCs w:val="18"/>
              </w:rPr>
              <w:t>完成及时性</w:t>
            </w:r>
          </w:p>
        </w:tc>
        <w:tc>
          <w:tcPr>
            <w:tcW w:w="1725" w:type="dxa"/>
            <w:shd w:val="clear" w:color="000000" w:fill="FFFFFF"/>
            <w:vAlign w:val="center"/>
          </w:tcPr>
          <w:p w14:paraId="4768C77F">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5216" w:type="dxa"/>
            <w:shd w:val="clear" w:color="000000" w:fill="FFFFFF"/>
            <w:vAlign w:val="center"/>
          </w:tcPr>
          <w:p w14:paraId="19BA3D9D">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1304" w:type="dxa"/>
            <w:shd w:val="clear" w:color="000000" w:fill="FFFFFF"/>
            <w:vAlign w:val="center"/>
          </w:tcPr>
          <w:p w14:paraId="18DA67C9">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0DCC42E5">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783D9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2" w:type="dxa"/>
            <w:vMerge w:val="continue"/>
            <w:shd w:val="clear" w:color="auto" w:fill="FFFFFF"/>
            <w:vAlign w:val="center"/>
          </w:tcPr>
          <w:p w14:paraId="552660B7">
            <w:pPr>
              <w:widowControl/>
              <w:spacing w:line="0" w:lineRule="atLeast"/>
              <w:jc w:val="center"/>
              <w:rPr>
                <w:rFonts w:eastAsia="仿宋_GB2312"/>
                <w:kern w:val="0"/>
                <w:sz w:val="18"/>
                <w:szCs w:val="18"/>
              </w:rPr>
            </w:pPr>
          </w:p>
        </w:tc>
        <w:tc>
          <w:tcPr>
            <w:tcW w:w="1000" w:type="dxa"/>
            <w:shd w:val="clear" w:color="auto" w:fill="FFFFFF"/>
            <w:vAlign w:val="center"/>
          </w:tcPr>
          <w:p w14:paraId="3C5935C1">
            <w:pPr>
              <w:widowControl/>
              <w:spacing w:line="0" w:lineRule="atLeast"/>
              <w:jc w:val="center"/>
              <w:rPr>
                <w:rFonts w:eastAsia="仿宋_GB2312"/>
                <w:kern w:val="0"/>
                <w:sz w:val="18"/>
                <w:szCs w:val="18"/>
              </w:rPr>
            </w:pPr>
            <w:r>
              <w:rPr>
                <w:rFonts w:eastAsia="仿宋_GB2312"/>
                <w:kern w:val="0"/>
                <w:sz w:val="18"/>
                <w:szCs w:val="18"/>
              </w:rPr>
              <w:t>产出成本</w:t>
            </w:r>
          </w:p>
        </w:tc>
        <w:tc>
          <w:tcPr>
            <w:tcW w:w="1071" w:type="dxa"/>
            <w:shd w:val="clear" w:color="auto" w:fill="FFFFFF"/>
            <w:vAlign w:val="center"/>
          </w:tcPr>
          <w:p w14:paraId="45700ED2">
            <w:pPr>
              <w:widowControl/>
              <w:spacing w:line="0" w:lineRule="atLeast"/>
              <w:jc w:val="center"/>
              <w:rPr>
                <w:rFonts w:eastAsia="仿宋_GB2312"/>
                <w:kern w:val="0"/>
                <w:sz w:val="18"/>
                <w:szCs w:val="18"/>
              </w:rPr>
            </w:pPr>
            <w:r>
              <w:rPr>
                <w:rFonts w:eastAsia="仿宋_GB2312"/>
                <w:kern w:val="0"/>
                <w:sz w:val="18"/>
                <w:szCs w:val="18"/>
              </w:rPr>
              <w:t>成本节约率</w:t>
            </w:r>
          </w:p>
        </w:tc>
        <w:tc>
          <w:tcPr>
            <w:tcW w:w="1725" w:type="dxa"/>
            <w:shd w:val="clear" w:color="000000" w:fill="FFFFFF"/>
            <w:vAlign w:val="center"/>
          </w:tcPr>
          <w:p w14:paraId="76F562BB">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3ED994F9">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1304" w:type="dxa"/>
            <w:shd w:val="clear" w:color="000000" w:fill="FFFFFF"/>
            <w:vAlign w:val="center"/>
          </w:tcPr>
          <w:p w14:paraId="3C34E3CF">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4143D63">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21AA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2" w:type="dxa"/>
            <w:vMerge w:val="restart"/>
            <w:shd w:val="clear" w:color="auto" w:fill="FFFFFF"/>
            <w:vAlign w:val="center"/>
          </w:tcPr>
          <w:p w14:paraId="084966B3">
            <w:pPr>
              <w:widowControl/>
              <w:spacing w:line="0" w:lineRule="atLeast"/>
              <w:jc w:val="center"/>
              <w:rPr>
                <w:rFonts w:eastAsia="仿宋_GB2312"/>
                <w:kern w:val="0"/>
                <w:sz w:val="18"/>
                <w:szCs w:val="18"/>
              </w:rPr>
            </w:pPr>
            <w:r>
              <w:rPr>
                <w:rFonts w:eastAsia="仿宋_GB2312"/>
                <w:kern w:val="0"/>
                <w:sz w:val="18"/>
                <w:szCs w:val="18"/>
              </w:rPr>
              <w:t>效益　</w:t>
            </w:r>
          </w:p>
        </w:tc>
        <w:tc>
          <w:tcPr>
            <w:tcW w:w="1000" w:type="dxa"/>
            <w:vMerge w:val="restart"/>
            <w:shd w:val="clear" w:color="auto" w:fill="FFFFFF"/>
            <w:vAlign w:val="center"/>
          </w:tcPr>
          <w:p w14:paraId="02F5A717">
            <w:pPr>
              <w:widowControl/>
              <w:spacing w:line="0" w:lineRule="atLeast"/>
              <w:jc w:val="center"/>
              <w:rPr>
                <w:rFonts w:eastAsia="仿宋_GB2312"/>
                <w:kern w:val="0"/>
                <w:sz w:val="18"/>
                <w:szCs w:val="18"/>
              </w:rPr>
            </w:pPr>
            <w:r>
              <w:rPr>
                <w:rFonts w:eastAsia="仿宋_GB2312"/>
                <w:kern w:val="0"/>
                <w:sz w:val="18"/>
                <w:szCs w:val="18"/>
              </w:rPr>
              <w:t>项目效益　</w:t>
            </w:r>
          </w:p>
        </w:tc>
        <w:tc>
          <w:tcPr>
            <w:tcW w:w="1071" w:type="dxa"/>
            <w:shd w:val="clear" w:color="auto" w:fill="FFFFFF"/>
            <w:vAlign w:val="center"/>
          </w:tcPr>
          <w:p w14:paraId="2517CA77">
            <w:pPr>
              <w:widowControl/>
              <w:spacing w:line="0" w:lineRule="atLeast"/>
              <w:jc w:val="center"/>
              <w:rPr>
                <w:rFonts w:eastAsia="仿宋_GB2312"/>
                <w:kern w:val="0"/>
                <w:sz w:val="18"/>
                <w:szCs w:val="18"/>
              </w:rPr>
            </w:pPr>
            <w:r>
              <w:rPr>
                <w:rFonts w:eastAsia="仿宋_GB2312"/>
                <w:kern w:val="0"/>
                <w:sz w:val="18"/>
                <w:szCs w:val="18"/>
              </w:rPr>
              <w:t>实施效益</w:t>
            </w:r>
          </w:p>
        </w:tc>
        <w:tc>
          <w:tcPr>
            <w:tcW w:w="1725" w:type="dxa"/>
            <w:shd w:val="clear" w:color="auto" w:fill="FFFFFF"/>
            <w:vAlign w:val="center"/>
          </w:tcPr>
          <w:p w14:paraId="1CBEF80C">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5216" w:type="dxa"/>
            <w:shd w:val="clear" w:color="auto" w:fill="FFFFFF"/>
            <w:vAlign w:val="center"/>
          </w:tcPr>
          <w:p w14:paraId="653EB368">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1304" w:type="dxa"/>
            <w:shd w:val="clear" w:color="auto" w:fill="FFFFFF"/>
            <w:vAlign w:val="center"/>
          </w:tcPr>
          <w:p w14:paraId="31758ED3">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auto" w:fill="FFFFFF"/>
            <w:vAlign w:val="center"/>
          </w:tcPr>
          <w:p w14:paraId="05F4F9AA">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4367B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2" w:type="dxa"/>
            <w:vMerge w:val="continue"/>
            <w:shd w:val="clear" w:color="auto" w:fill="FFFFFF"/>
            <w:vAlign w:val="center"/>
          </w:tcPr>
          <w:p w14:paraId="747AF632">
            <w:pPr>
              <w:widowControl/>
              <w:spacing w:line="0" w:lineRule="atLeast"/>
              <w:jc w:val="center"/>
              <w:rPr>
                <w:rFonts w:eastAsia="仿宋_GB2312"/>
                <w:kern w:val="0"/>
                <w:sz w:val="18"/>
                <w:szCs w:val="18"/>
              </w:rPr>
            </w:pPr>
          </w:p>
        </w:tc>
        <w:tc>
          <w:tcPr>
            <w:tcW w:w="1000" w:type="dxa"/>
            <w:vMerge w:val="continue"/>
            <w:shd w:val="clear" w:color="auto" w:fill="FFFFFF"/>
            <w:vAlign w:val="center"/>
          </w:tcPr>
          <w:p w14:paraId="2C43DBB2">
            <w:pPr>
              <w:widowControl/>
              <w:spacing w:line="0" w:lineRule="atLeast"/>
              <w:jc w:val="center"/>
              <w:rPr>
                <w:rFonts w:eastAsia="仿宋_GB2312"/>
                <w:kern w:val="0"/>
                <w:sz w:val="18"/>
                <w:szCs w:val="18"/>
              </w:rPr>
            </w:pPr>
          </w:p>
        </w:tc>
        <w:tc>
          <w:tcPr>
            <w:tcW w:w="1071" w:type="dxa"/>
            <w:shd w:val="clear" w:color="auto" w:fill="FFFFFF"/>
            <w:vAlign w:val="center"/>
          </w:tcPr>
          <w:p w14:paraId="424FF522">
            <w:pPr>
              <w:widowControl/>
              <w:spacing w:line="0" w:lineRule="atLeast"/>
              <w:jc w:val="center"/>
              <w:rPr>
                <w:rFonts w:eastAsia="仿宋_GB2312"/>
                <w:kern w:val="0"/>
                <w:sz w:val="18"/>
                <w:szCs w:val="18"/>
              </w:rPr>
            </w:pPr>
            <w:r>
              <w:rPr>
                <w:rFonts w:eastAsia="仿宋_GB2312"/>
                <w:kern w:val="0"/>
                <w:sz w:val="18"/>
                <w:szCs w:val="18"/>
              </w:rPr>
              <w:t>满意度</w:t>
            </w:r>
          </w:p>
        </w:tc>
        <w:tc>
          <w:tcPr>
            <w:tcW w:w="1725" w:type="dxa"/>
            <w:shd w:val="clear" w:color="000000" w:fill="FFFFFF"/>
            <w:vAlign w:val="center"/>
          </w:tcPr>
          <w:p w14:paraId="107BFF68">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5216" w:type="dxa"/>
            <w:shd w:val="clear" w:color="000000" w:fill="FFFFFF"/>
            <w:vAlign w:val="center"/>
          </w:tcPr>
          <w:p w14:paraId="0001FB66">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1304" w:type="dxa"/>
            <w:shd w:val="clear" w:color="000000" w:fill="FFFFFF"/>
            <w:vAlign w:val="center"/>
          </w:tcPr>
          <w:p w14:paraId="67161786">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shd w:val="clear" w:color="000000" w:fill="FFFFFF"/>
            <w:vAlign w:val="center"/>
          </w:tcPr>
          <w:p w14:paraId="5591549C">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299DE2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10019" w:type="dxa"/>
            <w:gridSpan w:val="5"/>
            <w:shd w:val="clear" w:color="auto" w:fill="FFFFFF"/>
            <w:vAlign w:val="center"/>
          </w:tcPr>
          <w:p w14:paraId="7E327730">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1299" w:type="dxa"/>
            <w:shd w:val="clear" w:color="000000" w:fill="FFFFFF"/>
            <w:vAlign w:val="center"/>
          </w:tcPr>
          <w:p w14:paraId="711376FA">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65" w:type="dxa"/>
            <w:shd w:val="clear" w:color="000000" w:fill="FFFFFF"/>
            <w:vAlign w:val="center"/>
          </w:tcPr>
          <w:p w14:paraId="12C84F7B">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2907008C">
      <w:pPr>
        <w:sectPr>
          <w:footerReference r:id="rId5" w:type="default"/>
          <w:pgSz w:w="11906" w:h="16838"/>
          <w:pgMar w:top="1440" w:right="1558" w:bottom="1440" w:left="1800" w:header="851" w:footer="992" w:gutter="0"/>
          <w:cols w:space="425" w:num="1"/>
          <w:docGrid w:type="lines" w:linePitch="312" w:charSpace="0"/>
        </w:sectPr>
      </w:pPr>
    </w:p>
    <w:p w14:paraId="0CACCF9B">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69"/>
        <w:gridCol w:w="1070"/>
        <w:gridCol w:w="1506"/>
        <w:gridCol w:w="1071"/>
        <w:gridCol w:w="1570"/>
        <w:gridCol w:w="2060"/>
        <w:gridCol w:w="2060"/>
        <w:gridCol w:w="396"/>
        <w:gridCol w:w="400"/>
        <w:gridCol w:w="385"/>
        <w:gridCol w:w="480"/>
        <w:gridCol w:w="703"/>
        <w:gridCol w:w="1075"/>
      </w:tblGrid>
      <w:tr w14:paraId="7685B7DB">
        <w:tblPrEx>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7439E22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6D26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52A04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616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39C9A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20DC6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乌鲁木齐环境综合整治生活垃圾分类采购项目</w:t>
            </w:r>
          </w:p>
        </w:tc>
      </w:tr>
      <w:tr w14:paraId="3ADA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60D14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60862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乌鲁木齐市沙依巴克区环卫清运队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0462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283B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乌鲁木齐市沙依巴克区环卫清运队</w:t>
            </w:r>
          </w:p>
        </w:tc>
      </w:tr>
      <w:tr w14:paraId="4A00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DF90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A1C4452">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7029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E850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7F4B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76118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509F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852C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51DF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86900D2">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3658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099A0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151.86</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AD2E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67389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F27C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4D87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BE4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9FD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27C2794">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72664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99D7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151.86</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4240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106949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2CB5A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7D3E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C0C1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0D7B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4666AA">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BA1D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3C75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9E52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4BA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6C403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68567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E965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8FD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205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6F036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32A0A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4086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24FE5D">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049399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通过购买垃圾车和垃圾箱，完善了垃圾分类投放、收集和运输设施，有望提高垃圾分类的准确率和效率，提升城市环境卫生水平，推动垃圾分类工作常态化、长效化发展。</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1C4CA0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服务区域人口、垃圾产生量和垃圾种类采购垃圾车3辆及垃圾箱34个，通过垃圾分类，减少垃圾总量，提高资源利用率，降低对环境的污染，并通过宣传，提高了居民的环保意识和参与度，改善了城市环境卫生。</w:t>
            </w:r>
          </w:p>
        </w:tc>
      </w:tr>
      <w:tr w14:paraId="24ED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3460A3">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8EE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287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EFF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1DE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C22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5572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9943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F216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242A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BC814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F0F478B">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AF4485">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F062A0E">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C11D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D5E6D3">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CACAE28">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37C795">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C647CF3">
            <w:pPr>
              <w:jc w:val="center"/>
              <w:rPr>
                <w:rFonts w:hint="eastAsia" w:ascii="宋体" w:hAnsi="宋体" w:eastAsia="宋体" w:cs="宋体"/>
                <w:i w:val="0"/>
                <w:iCs w:val="0"/>
                <w:color w:val="000000"/>
                <w:sz w:val="20"/>
                <w:szCs w:val="20"/>
                <w:u w:val="none"/>
              </w:rPr>
            </w:pPr>
          </w:p>
        </w:tc>
      </w:tr>
      <w:tr w14:paraId="577D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704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313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68B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0CC6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采购0.5吨垃圾箱</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E704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5E3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9225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D716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28E6508">
            <w:pPr>
              <w:jc w:val="center"/>
              <w:rPr>
                <w:rFonts w:hint="eastAsia" w:ascii="宋体" w:hAnsi="宋体" w:eastAsia="宋体" w:cs="宋体"/>
                <w:i w:val="0"/>
                <w:iCs w:val="0"/>
                <w:color w:val="000000"/>
                <w:sz w:val="20"/>
                <w:szCs w:val="20"/>
                <w:u w:val="none"/>
              </w:rPr>
            </w:pPr>
          </w:p>
        </w:tc>
      </w:tr>
      <w:tr w14:paraId="1F27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8E4957">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C51427">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B7FBE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D6A5D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采购0.5吨垃圾车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8746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5229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D1DC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5E92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4384AC3">
            <w:pPr>
              <w:jc w:val="center"/>
              <w:rPr>
                <w:rFonts w:hint="eastAsia" w:ascii="宋体" w:hAnsi="宋体" w:eastAsia="宋体" w:cs="宋体"/>
                <w:i w:val="0"/>
                <w:iCs w:val="0"/>
                <w:color w:val="000000"/>
                <w:sz w:val="20"/>
                <w:szCs w:val="20"/>
                <w:u w:val="none"/>
              </w:rPr>
            </w:pPr>
          </w:p>
        </w:tc>
      </w:tr>
      <w:tr w14:paraId="13AF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3F7D49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ADC29E">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E8B8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BFBE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采购设备合格率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F794C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B10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E8F0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3F52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BECA78B">
            <w:pPr>
              <w:jc w:val="center"/>
              <w:rPr>
                <w:rFonts w:hint="eastAsia" w:ascii="宋体" w:hAnsi="宋体" w:eastAsia="宋体" w:cs="宋体"/>
                <w:i w:val="0"/>
                <w:iCs w:val="0"/>
                <w:color w:val="000000"/>
                <w:sz w:val="20"/>
                <w:szCs w:val="20"/>
                <w:u w:val="none"/>
              </w:rPr>
            </w:pPr>
          </w:p>
        </w:tc>
      </w:tr>
      <w:tr w14:paraId="01B7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C8365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5770DA">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7DBB5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6B08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垃圾分类宣传率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9C8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103E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9567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54AE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EE39A1B">
            <w:pPr>
              <w:jc w:val="center"/>
              <w:rPr>
                <w:rFonts w:hint="eastAsia" w:ascii="宋体" w:hAnsi="宋体" w:eastAsia="宋体" w:cs="宋体"/>
                <w:i w:val="0"/>
                <w:iCs w:val="0"/>
                <w:color w:val="000000"/>
                <w:sz w:val="20"/>
                <w:szCs w:val="20"/>
                <w:u w:val="none"/>
              </w:rPr>
            </w:pPr>
          </w:p>
        </w:tc>
      </w:tr>
      <w:tr w14:paraId="4EBC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0CAA34">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03E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B95C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23EB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垃圾箱采购成本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5326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AA7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4815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76662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5A3CE3E7">
            <w:pPr>
              <w:jc w:val="center"/>
              <w:rPr>
                <w:rFonts w:hint="eastAsia" w:ascii="宋体" w:hAnsi="宋体" w:eastAsia="宋体" w:cs="宋体"/>
                <w:i w:val="0"/>
                <w:iCs w:val="0"/>
                <w:color w:val="000000"/>
                <w:sz w:val="20"/>
                <w:szCs w:val="20"/>
                <w:u w:val="none"/>
              </w:rPr>
            </w:pPr>
          </w:p>
        </w:tc>
      </w:tr>
      <w:tr w14:paraId="60FF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3D027D">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F3F1A1">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54369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CC2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垃圾车采购成本</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6C9E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C538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3318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8960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9669A86">
            <w:pPr>
              <w:jc w:val="center"/>
              <w:rPr>
                <w:rFonts w:hint="eastAsia" w:ascii="宋体" w:hAnsi="宋体" w:eastAsia="宋体" w:cs="宋体"/>
                <w:i w:val="0"/>
                <w:iCs w:val="0"/>
                <w:color w:val="000000"/>
                <w:sz w:val="20"/>
                <w:szCs w:val="20"/>
                <w:u w:val="none"/>
              </w:rPr>
            </w:pPr>
          </w:p>
        </w:tc>
      </w:tr>
      <w:tr w14:paraId="1573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A6A2B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4E2A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46812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A9ED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提高垃圾分类率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1A4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09F22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59BAD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CF2C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1BDD63D7">
            <w:pPr>
              <w:jc w:val="center"/>
              <w:rPr>
                <w:rFonts w:hint="eastAsia" w:ascii="宋体" w:hAnsi="宋体" w:eastAsia="宋体" w:cs="宋体"/>
                <w:i w:val="0"/>
                <w:iCs w:val="0"/>
                <w:color w:val="000000"/>
                <w:sz w:val="20"/>
                <w:szCs w:val="20"/>
                <w:u w:val="none"/>
              </w:rPr>
            </w:pPr>
          </w:p>
        </w:tc>
      </w:tr>
      <w:tr w14:paraId="5795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00515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43AB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879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BBB5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4CB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CDF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DA3F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55F7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81D0201">
            <w:pPr>
              <w:jc w:val="center"/>
              <w:rPr>
                <w:rFonts w:hint="eastAsia" w:ascii="宋体" w:hAnsi="宋体" w:eastAsia="宋体" w:cs="宋体"/>
                <w:i w:val="0"/>
                <w:iCs w:val="0"/>
                <w:color w:val="000000"/>
                <w:sz w:val="20"/>
                <w:szCs w:val="20"/>
                <w:u w:val="none"/>
              </w:rPr>
            </w:pPr>
          </w:p>
        </w:tc>
      </w:tr>
      <w:tr w14:paraId="64CA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485CF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709F2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3A41C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D190539">
            <w:pPr>
              <w:jc w:val="center"/>
              <w:rPr>
                <w:rFonts w:hint="eastAsia" w:ascii="宋体" w:hAnsi="宋体" w:eastAsia="宋体" w:cs="宋体"/>
                <w:i w:val="0"/>
                <w:iCs w:val="0"/>
                <w:color w:val="000000"/>
                <w:sz w:val="20"/>
                <w:szCs w:val="20"/>
                <w:u w:val="none"/>
              </w:rPr>
            </w:pPr>
          </w:p>
        </w:tc>
      </w:tr>
    </w:tbl>
    <w:p w14:paraId="79DC749F">
      <w:pPr>
        <w:spacing w:line="600" w:lineRule="exact"/>
        <w:rPr>
          <w:rFonts w:eastAsia="黑体"/>
          <w:sz w:val="32"/>
          <w:szCs w:val="32"/>
        </w:rPr>
      </w:pPr>
      <w:bookmarkStart w:id="3" w:name="_GoBack"/>
      <w:bookmarkEnd w:id="3"/>
    </w:p>
    <w:p w14:paraId="1972E576"/>
    <w:sectPr>
      <w:pgSz w:w="16838" w:h="11906" w:orient="landscape"/>
      <w:pgMar w:top="1800" w:right="1440" w:bottom="155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5364CF-9568-4A50-8F90-E265FFD5A8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15C0819-4B68-42A9-A1F6-177BAF380A9C}"/>
  </w:font>
  <w:font w:name="华文中宋">
    <w:panose1 w:val="02010600040101010101"/>
    <w:charset w:val="86"/>
    <w:family w:val="auto"/>
    <w:pitch w:val="default"/>
    <w:sig w:usb0="00000287" w:usb1="080F0000" w:usb2="00000000" w:usb3="00000000" w:csb0="0004009F" w:csb1="DFD70000"/>
    <w:embedRegular r:id="rId3" w:fontKey="{9A24194E-A93C-4266-8945-5C10A3F6C97C}"/>
  </w:font>
  <w:font w:name="方正小标宋_GBK">
    <w:panose1 w:val="03000509000000000000"/>
    <w:charset w:val="86"/>
    <w:family w:val="script"/>
    <w:pitch w:val="default"/>
    <w:sig w:usb0="00000001" w:usb1="080E0000" w:usb2="00000000" w:usb3="00000000" w:csb0="00040000" w:csb1="00000000"/>
    <w:embedRegular r:id="rId4" w:fontKey="{F633A341-74E5-46E2-A4EC-8389F91CBB12}"/>
  </w:font>
  <w:font w:name="楷体_GB2312">
    <w:altName w:val="楷体"/>
    <w:panose1 w:val="02010609030101010101"/>
    <w:charset w:val="86"/>
    <w:family w:val="modern"/>
    <w:pitch w:val="default"/>
    <w:sig w:usb0="00000001" w:usb1="080E0000" w:usb2="00000000" w:usb3="00000000" w:csb0="00040000" w:csb1="00000000"/>
    <w:embedRegular r:id="rId5" w:fontKey="{FB4B3425-5836-4853-A0A4-1DDDD2D0FED5}"/>
  </w:font>
  <w:font w:name="楷体">
    <w:panose1 w:val="02010609060101010101"/>
    <w:charset w:val="86"/>
    <w:family w:val="modern"/>
    <w:pitch w:val="default"/>
    <w:sig w:usb0="800002BF" w:usb1="38CF7CFA" w:usb2="00000016" w:usb3="00000000" w:csb0="00040001" w:csb1="00000000"/>
    <w:embedRegular r:id="rId6" w:fontKey="{18EE67BE-5FB7-4C53-98D9-272CDD6BC5FE}"/>
  </w:font>
  <w:font w:name="方正仿宋_GBK">
    <w:panose1 w:val="03000509000000000000"/>
    <w:charset w:val="86"/>
    <w:family w:val="auto"/>
    <w:pitch w:val="default"/>
    <w:sig w:usb0="00000001" w:usb1="080E0000" w:usb2="00000000" w:usb3="00000000" w:csb0="00040000" w:csb1="00000000"/>
    <w:embedRegular r:id="rId7" w:fontKey="{BA22E052-701F-415C-858C-DD44C18944AD}"/>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4343A9E3">
        <w:pPr>
          <w:pStyle w:val="7"/>
          <w:jc w:val="center"/>
        </w:pPr>
        <w:r>
          <w:fldChar w:fldCharType="begin"/>
        </w:r>
        <w:r>
          <w:instrText xml:space="preserve">PAGE   \* MERGEFORMAT</w:instrText>
        </w:r>
        <w:r>
          <w:fldChar w:fldCharType="separate"/>
        </w:r>
        <w:r>
          <w:rPr>
            <w:lang w:val="zh-CN"/>
          </w:rPr>
          <w:t>13</w:t>
        </w:r>
        <w:r>
          <w:fldChar w:fldCharType="end"/>
        </w:r>
      </w:p>
    </w:sdtContent>
  </w:sdt>
  <w:p w14:paraId="15D949C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0D9E8"/>
    <w:multiLevelType w:val="singleLevel"/>
    <w:tmpl w:val="8570D9E8"/>
    <w:lvl w:ilvl="0" w:tentative="0">
      <w:start w:val="2"/>
      <w:numFmt w:val="decimal"/>
      <w:lvlText w:val="%1."/>
      <w:lvlJc w:val="left"/>
      <w:pPr>
        <w:tabs>
          <w:tab w:val="left" w:pos="312"/>
        </w:tabs>
      </w:pPr>
    </w:lvl>
  </w:abstractNum>
  <w:abstractNum w:abstractNumId="1">
    <w:nsid w:val="F4CD2B0F"/>
    <w:multiLevelType w:val="singleLevel"/>
    <w:tmpl w:val="F4CD2B0F"/>
    <w:lvl w:ilvl="0" w:tentative="0">
      <w:start w:val="1"/>
      <w:numFmt w:val="decimal"/>
      <w:suff w:val="nothing"/>
      <w:lvlText w:val="（%1）"/>
      <w:lvlJc w:val="left"/>
    </w:lvl>
  </w:abstractNum>
  <w:abstractNum w:abstractNumId="2">
    <w:nsid w:val="FF9379A8"/>
    <w:multiLevelType w:val="singleLevel"/>
    <w:tmpl w:val="FF9379A8"/>
    <w:lvl w:ilvl="0" w:tentative="0">
      <w:start w:val="2"/>
      <w:numFmt w:val="chineseCounting"/>
      <w:suff w:val="nothing"/>
      <w:lvlText w:val="（%1）"/>
      <w:lvlJc w:val="left"/>
      <w:rPr>
        <w:rFonts w:hint="eastAsia"/>
      </w:r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F7900"/>
    <w:rsid w:val="0012325B"/>
    <w:rsid w:val="003D6656"/>
    <w:rsid w:val="004274EA"/>
    <w:rsid w:val="00572F7F"/>
    <w:rsid w:val="00661241"/>
    <w:rsid w:val="006663EA"/>
    <w:rsid w:val="006F7242"/>
    <w:rsid w:val="007B168A"/>
    <w:rsid w:val="008B2CFE"/>
    <w:rsid w:val="00A218D4"/>
    <w:rsid w:val="00A66E73"/>
    <w:rsid w:val="00A83AD0"/>
    <w:rsid w:val="00CF46D5"/>
    <w:rsid w:val="00F26FF6"/>
    <w:rsid w:val="01610122"/>
    <w:rsid w:val="02510197"/>
    <w:rsid w:val="03EC461B"/>
    <w:rsid w:val="051B0B3A"/>
    <w:rsid w:val="06B92074"/>
    <w:rsid w:val="06EB79F5"/>
    <w:rsid w:val="07397B77"/>
    <w:rsid w:val="0AD007F3"/>
    <w:rsid w:val="0AE90548"/>
    <w:rsid w:val="0E3C619F"/>
    <w:rsid w:val="0EC75593"/>
    <w:rsid w:val="0F6273CA"/>
    <w:rsid w:val="100F38EC"/>
    <w:rsid w:val="11170296"/>
    <w:rsid w:val="12C66037"/>
    <w:rsid w:val="12CD1ABC"/>
    <w:rsid w:val="13471461"/>
    <w:rsid w:val="138430BC"/>
    <w:rsid w:val="13B90F01"/>
    <w:rsid w:val="145626F0"/>
    <w:rsid w:val="1537709A"/>
    <w:rsid w:val="155E4C4D"/>
    <w:rsid w:val="15B17C99"/>
    <w:rsid w:val="16157063"/>
    <w:rsid w:val="163E27BA"/>
    <w:rsid w:val="181066D2"/>
    <w:rsid w:val="18223550"/>
    <w:rsid w:val="190C7C07"/>
    <w:rsid w:val="19BF4B06"/>
    <w:rsid w:val="1C671E73"/>
    <w:rsid w:val="1D322C47"/>
    <w:rsid w:val="1E5D1F46"/>
    <w:rsid w:val="1F5A09E4"/>
    <w:rsid w:val="203211B0"/>
    <w:rsid w:val="21FD70FB"/>
    <w:rsid w:val="229568AF"/>
    <w:rsid w:val="23616034"/>
    <w:rsid w:val="23696C97"/>
    <w:rsid w:val="24480FA2"/>
    <w:rsid w:val="25227A45"/>
    <w:rsid w:val="25B05051"/>
    <w:rsid w:val="269113A5"/>
    <w:rsid w:val="26AC3A6A"/>
    <w:rsid w:val="2A7B62FD"/>
    <w:rsid w:val="2ADC7EC9"/>
    <w:rsid w:val="2B9D7E25"/>
    <w:rsid w:val="2BFB75DD"/>
    <w:rsid w:val="2BFD6A4C"/>
    <w:rsid w:val="2C7C7A3B"/>
    <w:rsid w:val="2CBF5CD4"/>
    <w:rsid w:val="2EEF6BEA"/>
    <w:rsid w:val="2EFE0BDB"/>
    <w:rsid w:val="2F364819"/>
    <w:rsid w:val="2FD63906"/>
    <w:rsid w:val="31CE0181"/>
    <w:rsid w:val="32D37B60"/>
    <w:rsid w:val="34844A6D"/>
    <w:rsid w:val="37215DAE"/>
    <w:rsid w:val="372E4CB6"/>
    <w:rsid w:val="379902D5"/>
    <w:rsid w:val="38521A7A"/>
    <w:rsid w:val="38CA40DD"/>
    <w:rsid w:val="394375E3"/>
    <w:rsid w:val="395F2B56"/>
    <w:rsid w:val="3B365AC1"/>
    <w:rsid w:val="3B482032"/>
    <w:rsid w:val="3B6B5DEE"/>
    <w:rsid w:val="3BBA0580"/>
    <w:rsid w:val="3BECE841"/>
    <w:rsid w:val="3C0E774B"/>
    <w:rsid w:val="3C9118AA"/>
    <w:rsid w:val="3CDE204C"/>
    <w:rsid w:val="3D081F29"/>
    <w:rsid w:val="3D360977"/>
    <w:rsid w:val="3D363C36"/>
    <w:rsid w:val="3E9C3F6D"/>
    <w:rsid w:val="3FF7797D"/>
    <w:rsid w:val="400D3105"/>
    <w:rsid w:val="406505DD"/>
    <w:rsid w:val="406B0FAE"/>
    <w:rsid w:val="40895D6B"/>
    <w:rsid w:val="40F40090"/>
    <w:rsid w:val="4214206C"/>
    <w:rsid w:val="42224E45"/>
    <w:rsid w:val="42A01F0E"/>
    <w:rsid w:val="43935F98"/>
    <w:rsid w:val="455651B0"/>
    <w:rsid w:val="45B363DC"/>
    <w:rsid w:val="45C04A32"/>
    <w:rsid w:val="46690BD8"/>
    <w:rsid w:val="484D62D8"/>
    <w:rsid w:val="49792371"/>
    <w:rsid w:val="49F70BF1"/>
    <w:rsid w:val="4B4340EE"/>
    <w:rsid w:val="4B4B4EB1"/>
    <w:rsid w:val="4D0E3701"/>
    <w:rsid w:val="4D354E26"/>
    <w:rsid w:val="4EA33635"/>
    <w:rsid w:val="4EE948FC"/>
    <w:rsid w:val="4F302FC4"/>
    <w:rsid w:val="4FF01849"/>
    <w:rsid w:val="503D507A"/>
    <w:rsid w:val="51092AE8"/>
    <w:rsid w:val="51FA74D0"/>
    <w:rsid w:val="525D3C1B"/>
    <w:rsid w:val="52AA4A52"/>
    <w:rsid w:val="52D415EE"/>
    <w:rsid w:val="533269B7"/>
    <w:rsid w:val="539D3AD1"/>
    <w:rsid w:val="543B2F7B"/>
    <w:rsid w:val="547A66A6"/>
    <w:rsid w:val="552F7491"/>
    <w:rsid w:val="555C7C2E"/>
    <w:rsid w:val="565D1CBD"/>
    <w:rsid w:val="56C520DA"/>
    <w:rsid w:val="56D06A51"/>
    <w:rsid w:val="57201080"/>
    <w:rsid w:val="57A35F14"/>
    <w:rsid w:val="581C64F8"/>
    <w:rsid w:val="59236591"/>
    <w:rsid w:val="598B7B11"/>
    <w:rsid w:val="59943D66"/>
    <w:rsid w:val="59B27DC1"/>
    <w:rsid w:val="59E051FD"/>
    <w:rsid w:val="59E6355E"/>
    <w:rsid w:val="5B821531"/>
    <w:rsid w:val="5BFF6039"/>
    <w:rsid w:val="5D76A616"/>
    <w:rsid w:val="5D7F20B9"/>
    <w:rsid w:val="5DAC7D0E"/>
    <w:rsid w:val="5F98B5AF"/>
    <w:rsid w:val="5FFE8511"/>
    <w:rsid w:val="5FFEACE2"/>
    <w:rsid w:val="609603C4"/>
    <w:rsid w:val="609D5BF6"/>
    <w:rsid w:val="61073070"/>
    <w:rsid w:val="61B9080E"/>
    <w:rsid w:val="61DF3FED"/>
    <w:rsid w:val="620B1858"/>
    <w:rsid w:val="62606CE8"/>
    <w:rsid w:val="63675422"/>
    <w:rsid w:val="642B176B"/>
    <w:rsid w:val="643EE26D"/>
    <w:rsid w:val="65594C97"/>
    <w:rsid w:val="656019A0"/>
    <w:rsid w:val="65F242EE"/>
    <w:rsid w:val="666D7E19"/>
    <w:rsid w:val="68376930"/>
    <w:rsid w:val="687723CE"/>
    <w:rsid w:val="68F91E38"/>
    <w:rsid w:val="6B3158B9"/>
    <w:rsid w:val="6BA02A3F"/>
    <w:rsid w:val="6C105349"/>
    <w:rsid w:val="6C1E5A53"/>
    <w:rsid w:val="6D372F2F"/>
    <w:rsid w:val="6DF47E9A"/>
    <w:rsid w:val="6F5C41AC"/>
    <w:rsid w:val="6FAF6C78"/>
    <w:rsid w:val="716167CC"/>
    <w:rsid w:val="718A7AD1"/>
    <w:rsid w:val="72A44BC2"/>
    <w:rsid w:val="7317C656"/>
    <w:rsid w:val="7329289C"/>
    <w:rsid w:val="734ED73F"/>
    <w:rsid w:val="735D4119"/>
    <w:rsid w:val="736E384C"/>
    <w:rsid w:val="73C82B32"/>
    <w:rsid w:val="73F94DAE"/>
    <w:rsid w:val="74220495"/>
    <w:rsid w:val="747D1B6F"/>
    <w:rsid w:val="749E5641"/>
    <w:rsid w:val="76271066"/>
    <w:rsid w:val="770121A3"/>
    <w:rsid w:val="77FD8BE9"/>
    <w:rsid w:val="78000AED"/>
    <w:rsid w:val="78036054"/>
    <w:rsid w:val="780B5D1C"/>
    <w:rsid w:val="784D1858"/>
    <w:rsid w:val="794459CF"/>
    <w:rsid w:val="79A9BD3F"/>
    <w:rsid w:val="7A6C5274"/>
    <w:rsid w:val="7AC5270E"/>
    <w:rsid w:val="7B776F12"/>
    <w:rsid w:val="7BFFFDD0"/>
    <w:rsid w:val="7C336E5F"/>
    <w:rsid w:val="7C582E48"/>
    <w:rsid w:val="7C7235B4"/>
    <w:rsid w:val="7C8D4919"/>
    <w:rsid w:val="7CDF2265"/>
    <w:rsid w:val="7D49345A"/>
    <w:rsid w:val="7D7A5F86"/>
    <w:rsid w:val="7E3E786F"/>
    <w:rsid w:val="7E4B683A"/>
    <w:rsid w:val="7E5E656D"/>
    <w:rsid w:val="7E8F2BCB"/>
    <w:rsid w:val="7F236D68"/>
    <w:rsid w:val="7F37BB4E"/>
    <w:rsid w:val="7FEF918E"/>
    <w:rsid w:val="7FF478B8"/>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0"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0BEB4-0516-4177-BFB8-9CF2F32BEFA1}">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11384</Characters>
  <Lines>601</Lines>
  <Paragraphs>458</Paragraphs>
  <TotalTime>4</TotalTime>
  <ScaleCrop>false</ScaleCrop>
  <LinksUpToDate>false</LinksUpToDate>
  <CharactersWithSpaces>11429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2025-11-27T03:30:49Z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