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67069">
      <w:pPr>
        <w:shd w:val="clear" w:fill="FFFFFF" w:themeFill="background1"/>
        <w:spacing w:line="540" w:lineRule="exact"/>
        <w:jc w:val="center"/>
        <w:rPr>
          <w:rFonts w:eastAsia="华文中宋"/>
          <w:b/>
          <w:color w:val="auto"/>
          <w:kern w:val="0"/>
          <w:sz w:val="52"/>
          <w:szCs w:val="52"/>
          <w:highlight w:val="none"/>
        </w:rPr>
      </w:pPr>
    </w:p>
    <w:p w14:paraId="007EA865">
      <w:pPr>
        <w:shd w:val="clear" w:fill="FFFFFF" w:themeFill="background1"/>
        <w:spacing w:line="540" w:lineRule="exact"/>
        <w:rPr>
          <w:rFonts w:eastAsia="华文中宋"/>
          <w:b/>
          <w:color w:val="auto"/>
          <w:kern w:val="0"/>
          <w:sz w:val="52"/>
          <w:szCs w:val="52"/>
          <w:highlight w:val="none"/>
        </w:rPr>
      </w:pPr>
    </w:p>
    <w:p w14:paraId="55B91D8C">
      <w:pPr>
        <w:shd w:val="clear" w:fill="FFFFFF" w:themeFill="background1"/>
        <w:spacing w:line="540" w:lineRule="exact"/>
        <w:jc w:val="center"/>
        <w:rPr>
          <w:rFonts w:eastAsia="华文中宋"/>
          <w:b/>
          <w:color w:val="auto"/>
          <w:kern w:val="0"/>
          <w:sz w:val="52"/>
          <w:szCs w:val="52"/>
          <w:highlight w:val="none"/>
        </w:rPr>
      </w:pPr>
    </w:p>
    <w:p w14:paraId="0F275A9F">
      <w:pPr>
        <w:shd w:val="clear" w:fill="FFFFFF" w:themeFill="background1"/>
        <w:spacing w:line="540" w:lineRule="exact"/>
        <w:jc w:val="center"/>
        <w:rPr>
          <w:rFonts w:eastAsia="华文中宋"/>
          <w:b/>
          <w:color w:val="auto"/>
          <w:kern w:val="0"/>
          <w:sz w:val="52"/>
          <w:szCs w:val="52"/>
          <w:highlight w:val="none"/>
        </w:rPr>
      </w:pPr>
    </w:p>
    <w:p w14:paraId="550523F7">
      <w:pPr>
        <w:shd w:val="clear" w:fill="FFFFFF" w:themeFill="background1"/>
        <w:spacing w:line="540" w:lineRule="exact"/>
        <w:jc w:val="center"/>
        <w:rPr>
          <w:rFonts w:eastAsia="方正小标宋_GBK"/>
          <w:color w:val="auto"/>
          <w:kern w:val="0"/>
          <w:sz w:val="48"/>
          <w:szCs w:val="48"/>
          <w:highlight w:val="none"/>
        </w:rPr>
      </w:pPr>
      <w:r>
        <w:rPr>
          <w:rFonts w:hint="eastAsia" w:eastAsia="方正小标宋_GBK"/>
          <w:color w:val="auto"/>
          <w:kern w:val="0"/>
          <w:sz w:val="48"/>
          <w:szCs w:val="48"/>
          <w:highlight w:val="none"/>
        </w:rPr>
        <w:t>基本公共卫生服务</w:t>
      </w:r>
      <w:r>
        <w:rPr>
          <w:rFonts w:eastAsia="方正小标宋_GBK"/>
          <w:color w:val="auto"/>
          <w:kern w:val="0"/>
          <w:sz w:val="48"/>
          <w:szCs w:val="48"/>
          <w:highlight w:val="none"/>
        </w:rPr>
        <w:t>项目</w:t>
      </w:r>
    </w:p>
    <w:p w14:paraId="31F9D82B">
      <w:pPr>
        <w:shd w:val="clear" w:fill="FFFFFF" w:themeFill="background1"/>
        <w:spacing w:line="540" w:lineRule="exact"/>
        <w:jc w:val="center"/>
        <w:rPr>
          <w:rFonts w:eastAsia="方正小标宋_GBK"/>
          <w:color w:val="auto"/>
          <w:kern w:val="0"/>
          <w:sz w:val="48"/>
          <w:szCs w:val="48"/>
          <w:highlight w:val="none"/>
        </w:rPr>
      </w:pPr>
      <w:r>
        <w:rPr>
          <w:rFonts w:eastAsia="方正小标宋_GBK"/>
          <w:color w:val="auto"/>
          <w:kern w:val="0"/>
          <w:sz w:val="48"/>
          <w:szCs w:val="48"/>
          <w:highlight w:val="none"/>
        </w:rPr>
        <w:t>支出绩效评价报告</w:t>
      </w:r>
    </w:p>
    <w:p w14:paraId="1F954C9E">
      <w:pPr>
        <w:shd w:val="clear" w:fill="FFFFFF" w:themeFill="background1"/>
        <w:spacing w:line="540" w:lineRule="exact"/>
        <w:jc w:val="center"/>
        <w:rPr>
          <w:rFonts w:eastAsia="华文中宋"/>
          <w:b/>
          <w:color w:val="auto"/>
          <w:kern w:val="0"/>
          <w:sz w:val="52"/>
          <w:szCs w:val="52"/>
          <w:highlight w:val="none"/>
        </w:rPr>
      </w:pPr>
    </w:p>
    <w:p w14:paraId="14CFF3AF">
      <w:pPr>
        <w:shd w:val="clear" w:fill="FFFFFF" w:themeFill="background1"/>
        <w:spacing w:line="540" w:lineRule="exact"/>
        <w:jc w:val="center"/>
        <w:rPr>
          <w:rFonts w:eastAsia="仿宋_GB2312"/>
          <w:color w:val="auto"/>
          <w:kern w:val="0"/>
          <w:sz w:val="36"/>
          <w:szCs w:val="36"/>
          <w:highlight w:val="none"/>
        </w:rPr>
      </w:pPr>
      <w:r>
        <w:rPr>
          <w:rFonts w:eastAsia="仿宋_GB2312"/>
          <w:color w:val="auto"/>
          <w:kern w:val="0"/>
          <w:sz w:val="36"/>
          <w:szCs w:val="36"/>
          <w:highlight w:val="none"/>
        </w:rPr>
        <w:t>（2024年度）</w:t>
      </w:r>
    </w:p>
    <w:p w14:paraId="229C4A42">
      <w:pPr>
        <w:shd w:val="clear" w:fill="FFFFFF" w:themeFill="background1"/>
        <w:spacing w:line="540" w:lineRule="exact"/>
        <w:jc w:val="center"/>
        <w:rPr>
          <w:rFonts w:eastAsia="仿宋_GB2312"/>
          <w:color w:val="auto"/>
          <w:kern w:val="0"/>
          <w:sz w:val="30"/>
          <w:szCs w:val="30"/>
          <w:highlight w:val="none"/>
        </w:rPr>
      </w:pPr>
    </w:p>
    <w:p w14:paraId="1096E449">
      <w:pPr>
        <w:shd w:val="clear" w:fill="FFFFFF" w:themeFill="background1"/>
        <w:spacing w:line="540" w:lineRule="exact"/>
        <w:jc w:val="center"/>
        <w:rPr>
          <w:rFonts w:eastAsia="仿宋_GB2312"/>
          <w:color w:val="auto"/>
          <w:kern w:val="0"/>
          <w:sz w:val="30"/>
          <w:szCs w:val="30"/>
          <w:highlight w:val="none"/>
        </w:rPr>
      </w:pPr>
    </w:p>
    <w:p w14:paraId="78DB2975">
      <w:pPr>
        <w:shd w:val="clear" w:fill="FFFFFF" w:themeFill="background1"/>
        <w:spacing w:line="540" w:lineRule="exact"/>
        <w:jc w:val="center"/>
        <w:rPr>
          <w:rFonts w:eastAsia="仿宋_GB2312"/>
          <w:color w:val="auto"/>
          <w:kern w:val="0"/>
          <w:sz w:val="30"/>
          <w:szCs w:val="30"/>
          <w:highlight w:val="none"/>
        </w:rPr>
      </w:pPr>
    </w:p>
    <w:p w14:paraId="20A58A3F">
      <w:pPr>
        <w:pStyle w:val="10"/>
        <w:shd w:val="clear" w:fill="FFFFFF" w:themeFill="background1"/>
        <w:rPr>
          <w:rFonts w:ascii="Times New Roman" w:hAnsi="Times New Roman"/>
          <w:color w:val="auto"/>
          <w:highlight w:val="none"/>
        </w:rPr>
      </w:pPr>
    </w:p>
    <w:p w14:paraId="100D3023">
      <w:pPr>
        <w:shd w:val="clear" w:fill="FFFFFF" w:themeFill="background1"/>
        <w:spacing w:line="540" w:lineRule="exact"/>
        <w:jc w:val="center"/>
        <w:rPr>
          <w:rFonts w:eastAsia="仿宋_GB2312"/>
          <w:color w:val="auto"/>
          <w:kern w:val="0"/>
          <w:sz w:val="30"/>
          <w:szCs w:val="30"/>
          <w:highlight w:val="none"/>
        </w:rPr>
      </w:pPr>
    </w:p>
    <w:p w14:paraId="2C1E3060">
      <w:pPr>
        <w:shd w:val="clear" w:fill="FFFFFF" w:themeFill="background1"/>
        <w:spacing w:line="540" w:lineRule="exact"/>
        <w:rPr>
          <w:rFonts w:eastAsia="仿宋_GB2312"/>
          <w:color w:val="auto"/>
          <w:kern w:val="0"/>
          <w:sz w:val="30"/>
          <w:szCs w:val="30"/>
          <w:highlight w:val="none"/>
        </w:rPr>
      </w:pPr>
    </w:p>
    <w:p w14:paraId="532B4A59">
      <w:pPr>
        <w:shd w:val="clear" w:fill="FFFFFF" w:themeFill="background1"/>
        <w:spacing w:line="540" w:lineRule="exact"/>
        <w:ind w:firstLine="1440" w:firstLineChars="400"/>
        <w:jc w:val="both"/>
        <w:rPr>
          <w:rFonts w:eastAsia="仿宋_GB2312"/>
          <w:color w:val="auto"/>
          <w:kern w:val="0"/>
          <w:sz w:val="36"/>
          <w:szCs w:val="36"/>
          <w:highlight w:val="none"/>
        </w:rPr>
      </w:pPr>
      <w:r>
        <w:rPr>
          <w:rFonts w:eastAsia="仿宋_GB2312"/>
          <w:color w:val="auto"/>
          <w:kern w:val="0"/>
          <w:sz w:val="36"/>
          <w:szCs w:val="36"/>
          <w:highlight w:val="none"/>
        </w:rPr>
        <w:t>项目名称：</w:t>
      </w:r>
      <w:r>
        <w:rPr>
          <w:rFonts w:hint="eastAsia" w:eastAsia="仿宋_GB2312"/>
          <w:color w:val="auto"/>
          <w:kern w:val="0"/>
          <w:sz w:val="36"/>
          <w:szCs w:val="36"/>
          <w:highlight w:val="none"/>
        </w:rPr>
        <w:t>基本公共卫生服务项目</w:t>
      </w:r>
    </w:p>
    <w:p w14:paraId="2CF8A24F">
      <w:pPr>
        <w:shd w:val="clear" w:fill="FFFFFF" w:themeFill="background1"/>
        <w:spacing w:line="540" w:lineRule="exact"/>
        <w:jc w:val="center"/>
        <w:rPr>
          <w:rFonts w:hint="eastAsia" w:eastAsia="仿宋_GB2312"/>
          <w:color w:val="auto"/>
          <w:kern w:val="0"/>
          <w:sz w:val="36"/>
          <w:szCs w:val="36"/>
          <w:highlight w:val="none"/>
          <w:lang w:val="en-US" w:eastAsia="zh-CN"/>
        </w:rPr>
      </w:pPr>
      <w:r>
        <w:rPr>
          <w:rFonts w:hint="eastAsia" w:eastAsia="仿宋_GB2312"/>
          <w:color w:val="auto"/>
          <w:kern w:val="0"/>
          <w:sz w:val="36"/>
          <w:szCs w:val="36"/>
          <w:highlight w:val="none"/>
          <w:lang w:val="en-US" w:eastAsia="zh-CN"/>
        </w:rPr>
        <w:t xml:space="preserve">        </w:t>
      </w:r>
      <w:r>
        <w:rPr>
          <w:rFonts w:eastAsia="仿宋_GB2312"/>
          <w:color w:val="auto"/>
          <w:kern w:val="0"/>
          <w:sz w:val="36"/>
          <w:szCs w:val="36"/>
          <w:highlight w:val="none"/>
        </w:rPr>
        <w:t>实施单位（公章）：</w:t>
      </w:r>
      <w:r>
        <w:rPr>
          <w:rFonts w:hint="eastAsia" w:eastAsia="仿宋_GB2312"/>
          <w:color w:val="auto"/>
          <w:kern w:val="0"/>
          <w:sz w:val="36"/>
          <w:szCs w:val="36"/>
          <w:highlight w:val="none"/>
        </w:rPr>
        <w:t>沙依巴克区妇幼保健服务</w:t>
      </w:r>
      <w:r>
        <w:rPr>
          <w:rFonts w:hint="eastAsia" w:eastAsia="仿宋_GB2312"/>
          <w:color w:val="auto"/>
          <w:kern w:val="0"/>
          <w:sz w:val="36"/>
          <w:szCs w:val="36"/>
          <w:highlight w:val="none"/>
          <w:lang w:val="en-US" w:eastAsia="zh-CN"/>
        </w:rPr>
        <w:t xml:space="preserve">  </w:t>
      </w:r>
    </w:p>
    <w:p w14:paraId="272A6D7C">
      <w:pPr>
        <w:shd w:val="clear" w:fill="FFFFFF" w:themeFill="background1"/>
        <w:spacing w:line="540" w:lineRule="exact"/>
        <w:ind w:firstLine="4680" w:firstLineChars="1300"/>
        <w:jc w:val="both"/>
        <w:rPr>
          <w:rFonts w:eastAsia="仿宋_GB2312"/>
          <w:color w:val="auto"/>
          <w:kern w:val="0"/>
          <w:sz w:val="36"/>
          <w:szCs w:val="36"/>
          <w:highlight w:val="none"/>
        </w:rPr>
      </w:pPr>
      <w:r>
        <w:rPr>
          <w:rFonts w:hint="eastAsia" w:eastAsia="仿宋_GB2312"/>
          <w:color w:val="auto"/>
          <w:kern w:val="0"/>
          <w:sz w:val="36"/>
          <w:szCs w:val="36"/>
          <w:highlight w:val="none"/>
        </w:rPr>
        <w:t>中心</w:t>
      </w:r>
    </w:p>
    <w:p w14:paraId="56C75E9A">
      <w:pPr>
        <w:shd w:val="clear" w:fill="FFFFFF" w:themeFill="background1"/>
        <w:spacing w:line="540" w:lineRule="exact"/>
        <w:jc w:val="center"/>
        <w:rPr>
          <w:rFonts w:eastAsia="仿宋_GB2312"/>
          <w:color w:val="auto"/>
          <w:kern w:val="0"/>
          <w:sz w:val="36"/>
          <w:szCs w:val="36"/>
          <w:highlight w:val="none"/>
        </w:rPr>
      </w:pPr>
      <w:r>
        <w:rPr>
          <w:rFonts w:hint="eastAsia" w:eastAsia="仿宋_GB2312"/>
          <w:color w:val="auto"/>
          <w:kern w:val="0"/>
          <w:sz w:val="36"/>
          <w:szCs w:val="36"/>
          <w:highlight w:val="none"/>
          <w:lang w:val="en-US" w:eastAsia="zh-CN"/>
        </w:rPr>
        <w:t xml:space="preserve">      </w:t>
      </w:r>
      <w:r>
        <w:rPr>
          <w:rFonts w:eastAsia="仿宋_GB2312"/>
          <w:color w:val="auto"/>
          <w:kern w:val="0"/>
          <w:sz w:val="36"/>
          <w:szCs w:val="36"/>
          <w:highlight w:val="none"/>
        </w:rPr>
        <w:t>主管部门（公章）：</w:t>
      </w:r>
      <w:r>
        <w:rPr>
          <w:rFonts w:hint="eastAsia" w:eastAsia="仿宋_GB2312"/>
          <w:color w:val="auto"/>
          <w:kern w:val="0"/>
          <w:sz w:val="36"/>
          <w:szCs w:val="36"/>
          <w:highlight w:val="none"/>
        </w:rPr>
        <w:t>沙依巴克区卫生健康委</w:t>
      </w:r>
    </w:p>
    <w:p w14:paraId="1DCAD0E9">
      <w:pPr>
        <w:shd w:val="clear" w:fill="FFFFFF" w:themeFill="background1"/>
        <w:spacing w:line="540" w:lineRule="exact"/>
        <w:ind w:firstLine="1440" w:firstLineChars="400"/>
        <w:jc w:val="both"/>
        <w:rPr>
          <w:rFonts w:eastAsia="仿宋_GB2312"/>
          <w:color w:val="auto"/>
          <w:kern w:val="0"/>
          <w:sz w:val="36"/>
          <w:szCs w:val="36"/>
          <w:highlight w:val="none"/>
        </w:rPr>
      </w:pPr>
      <w:r>
        <w:rPr>
          <w:rFonts w:eastAsia="仿宋_GB2312"/>
          <w:color w:val="auto"/>
          <w:kern w:val="0"/>
          <w:sz w:val="36"/>
          <w:szCs w:val="36"/>
          <w:highlight w:val="none"/>
        </w:rPr>
        <w:t>项目负责人（签章）：</w:t>
      </w:r>
      <w:r>
        <w:rPr>
          <w:rFonts w:hint="eastAsia" w:eastAsia="仿宋_GB2312"/>
          <w:color w:val="auto"/>
          <w:kern w:val="0"/>
          <w:sz w:val="36"/>
          <w:szCs w:val="36"/>
          <w:highlight w:val="none"/>
        </w:rPr>
        <w:t>张贺</w:t>
      </w:r>
    </w:p>
    <w:p w14:paraId="78919A6B">
      <w:pPr>
        <w:shd w:val="clear" w:fill="FFFFFF" w:themeFill="background1"/>
        <w:spacing w:line="540" w:lineRule="exact"/>
        <w:ind w:firstLine="1440" w:firstLineChars="400"/>
        <w:jc w:val="both"/>
        <w:rPr>
          <w:rFonts w:eastAsia="仿宋_GB2312"/>
          <w:color w:val="auto"/>
          <w:kern w:val="0"/>
          <w:sz w:val="36"/>
          <w:szCs w:val="36"/>
          <w:highlight w:val="none"/>
        </w:rPr>
      </w:pPr>
      <w:r>
        <w:rPr>
          <w:rFonts w:eastAsia="仿宋_GB2312"/>
          <w:color w:val="auto"/>
          <w:kern w:val="0"/>
          <w:sz w:val="36"/>
          <w:szCs w:val="36"/>
          <w:highlight w:val="none"/>
        </w:rPr>
        <w:t>填报时间：</w:t>
      </w:r>
      <w:r>
        <w:rPr>
          <w:rFonts w:hint="eastAsia" w:eastAsia="仿宋_GB2312"/>
          <w:color w:val="auto"/>
          <w:kern w:val="0"/>
          <w:sz w:val="36"/>
          <w:szCs w:val="36"/>
          <w:highlight w:val="none"/>
        </w:rPr>
        <w:t>2025</w:t>
      </w:r>
      <w:r>
        <w:rPr>
          <w:rFonts w:eastAsia="仿宋_GB2312"/>
          <w:color w:val="auto"/>
          <w:kern w:val="0"/>
          <w:sz w:val="36"/>
          <w:szCs w:val="36"/>
          <w:highlight w:val="none"/>
        </w:rPr>
        <w:t>年</w:t>
      </w:r>
      <w:r>
        <w:rPr>
          <w:rFonts w:hint="eastAsia" w:eastAsia="仿宋_GB2312"/>
          <w:color w:val="auto"/>
          <w:kern w:val="0"/>
          <w:sz w:val="36"/>
          <w:szCs w:val="36"/>
          <w:highlight w:val="none"/>
        </w:rPr>
        <w:t>04</w:t>
      </w:r>
      <w:r>
        <w:rPr>
          <w:rFonts w:eastAsia="仿宋_GB2312"/>
          <w:color w:val="auto"/>
          <w:kern w:val="0"/>
          <w:sz w:val="36"/>
          <w:szCs w:val="36"/>
          <w:highlight w:val="none"/>
        </w:rPr>
        <w:t>月</w:t>
      </w:r>
      <w:r>
        <w:rPr>
          <w:rFonts w:hint="eastAsia" w:eastAsia="仿宋_GB2312"/>
          <w:color w:val="auto"/>
          <w:kern w:val="0"/>
          <w:sz w:val="36"/>
          <w:szCs w:val="36"/>
          <w:highlight w:val="none"/>
        </w:rPr>
        <w:t>02</w:t>
      </w:r>
      <w:r>
        <w:rPr>
          <w:rFonts w:eastAsia="仿宋_GB2312"/>
          <w:color w:val="auto"/>
          <w:kern w:val="0"/>
          <w:sz w:val="36"/>
          <w:szCs w:val="36"/>
          <w:highlight w:val="none"/>
        </w:rPr>
        <w:t>日</w:t>
      </w:r>
    </w:p>
    <w:p w14:paraId="78246E93">
      <w:pPr>
        <w:shd w:val="clear" w:fill="FFFFFF" w:themeFill="background1"/>
        <w:spacing w:line="540" w:lineRule="exact"/>
        <w:jc w:val="center"/>
        <w:rPr>
          <w:rFonts w:eastAsia="仿宋_GB2312"/>
          <w:color w:val="auto"/>
          <w:kern w:val="0"/>
          <w:sz w:val="30"/>
          <w:szCs w:val="30"/>
          <w:highlight w:val="none"/>
        </w:rPr>
      </w:pPr>
    </w:p>
    <w:p w14:paraId="7E253EFD">
      <w:pPr>
        <w:shd w:val="clear" w:fill="FFFFFF" w:themeFill="background1"/>
        <w:spacing w:line="540" w:lineRule="exact"/>
        <w:rPr>
          <w:rStyle w:val="16"/>
          <w:rFonts w:eastAsia="黑体"/>
          <w:b w:val="0"/>
          <w:color w:val="auto"/>
          <w:spacing w:val="-4"/>
          <w:sz w:val="32"/>
          <w:szCs w:val="32"/>
          <w:highlight w:val="none"/>
        </w:rPr>
      </w:pPr>
    </w:p>
    <w:p w14:paraId="77416AB1">
      <w:pPr>
        <w:shd w:val="clear" w:fill="FFFFFF" w:themeFill="background1"/>
        <w:spacing w:line="540" w:lineRule="exact"/>
        <w:ind w:firstLine="640"/>
        <w:rPr>
          <w:rStyle w:val="16"/>
          <w:rFonts w:eastAsia="黑体"/>
          <w:b w:val="0"/>
          <w:color w:val="auto"/>
          <w:spacing w:val="-4"/>
          <w:sz w:val="32"/>
          <w:szCs w:val="32"/>
          <w:highlight w:val="none"/>
        </w:rPr>
      </w:pPr>
    </w:p>
    <w:p w14:paraId="18F344DE">
      <w:pPr>
        <w:shd w:val="clear" w:fill="FFFFFF" w:themeFill="background1"/>
        <w:spacing w:line="560" w:lineRule="exact"/>
        <w:rPr>
          <w:rFonts w:eastAsia="黑体"/>
          <w:bCs/>
          <w:color w:val="auto"/>
          <w:sz w:val="32"/>
          <w:szCs w:val="32"/>
          <w:highlight w:val="none"/>
        </w:rPr>
        <w:sectPr>
          <w:pgSz w:w="11906" w:h="16838"/>
          <w:pgMar w:top="1440" w:right="1558" w:bottom="1440" w:left="1800" w:header="851" w:footer="992" w:gutter="0"/>
          <w:cols w:space="425" w:num="1"/>
          <w:docGrid w:type="lines" w:linePitch="312" w:charSpace="0"/>
        </w:sectPr>
      </w:pPr>
    </w:p>
    <w:p w14:paraId="2633A0B6">
      <w:pPr>
        <w:shd w:val="clear" w:fill="FFFFFF" w:themeFill="background1"/>
        <w:spacing w:line="560" w:lineRule="exact"/>
        <w:ind w:firstLine="640" w:firstLineChars="200"/>
        <w:rPr>
          <w:rFonts w:eastAsia="黑体"/>
          <w:bCs/>
          <w:color w:val="auto"/>
          <w:sz w:val="32"/>
          <w:szCs w:val="32"/>
          <w:highlight w:val="none"/>
        </w:rPr>
      </w:pPr>
      <w:r>
        <w:rPr>
          <w:rFonts w:eastAsia="黑体"/>
          <w:bCs/>
          <w:color w:val="auto"/>
          <w:sz w:val="32"/>
          <w:szCs w:val="32"/>
          <w:highlight w:val="none"/>
        </w:rPr>
        <w:t>一、基本情况</w:t>
      </w:r>
    </w:p>
    <w:p w14:paraId="29B5754F">
      <w:pPr>
        <w:shd w:val="clear" w:fill="FFFFFF" w:themeFill="background1"/>
        <w:spacing w:line="560" w:lineRule="exact"/>
        <w:ind w:firstLine="643" w:firstLineChars="200"/>
        <w:rPr>
          <w:rFonts w:eastAsia="楷体_GB2312"/>
          <w:b/>
          <w:bCs/>
          <w:color w:val="auto"/>
          <w:sz w:val="32"/>
          <w:szCs w:val="32"/>
          <w:highlight w:val="none"/>
        </w:rPr>
      </w:pPr>
      <w:r>
        <w:rPr>
          <w:rFonts w:eastAsia="楷体_GB2312"/>
          <w:b/>
          <w:bCs/>
          <w:color w:val="auto"/>
          <w:sz w:val="32"/>
          <w:szCs w:val="32"/>
          <w:highlight w:val="none"/>
        </w:rPr>
        <w:t>（一）项目概况</w:t>
      </w:r>
    </w:p>
    <w:p w14:paraId="5A8245DC">
      <w:pPr>
        <w:shd w:val="clear" w:fill="FFFFFF" w:themeFill="background1"/>
        <w:spacing w:line="560" w:lineRule="exact"/>
        <w:ind w:firstLine="643" w:firstLineChars="200"/>
        <w:rPr>
          <w:rFonts w:eastAsia="仿宋_GB2312"/>
          <w:b/>
          <w:bCs/>
          <w:color w:val="auto"/>
          <w:sz w:val="32"/>
          <w:szCs w:val="32"/>
          <w:highlight w:val="none"/>
        </w:rPr>
      </w:pPr>
      <w:r>
        <w:rPr>
          <w:rFonts w:eastAsia="仿宋_GB2312"/>
          <w:b/>
          <w:bCs/>
          <w:color w:val="auto"/>
          <w:sz w:val="32"/>
          <w:szCs w:val="32"/>
          <w:highlight w:val="none"/>
        </w:rPr>
        <w:t>1.项目背景</w:t>
      </w:r>
    </w:p>
    <w:p w14:paraId="667DEBF9">
      <w:pPr>
        <w:pStyle w:val="10"/>
        <w:shd w:val="clear" w:fill="FFFFFF" w:themeFill="background1"/>
        <w:spacing w:before="0" w:after="0" w:line="560" w:lineRule="exact"/>
        <w:ind w:firstLine="640" w:firstLineChars="200"/>
        <w:jc w:val="both"/>
        <w:outlineLvl w:val="9"/>
        <w:rPr>
          <w:rFonts w:ascii="Times New Roman" w:hAnsi="Times New Roman" w:eastAsia="仿宋_GB2312"/>
          <w:b w:val="0"/>
          <w:bCs w:val="0"/>
          <w:color w:val="auto"/>
          <w:highlight w:val="none"/>
        </w:rPr>
      </w:pPr>
      <w:r>
        <w:rPr>
          <w:rFonts w:hint="eastAsia" w:ascii="Times New Roman" w:hAnsi="Times New Roman" w:eastAsia="仿宋_GB2312"/>
          <w:b w:val="0"/>
          <w:bCs w:val="0"/>
          <w:color w:val="auto"/>
          <w:highlight w:val="none"/>
        </w:rPr>
        <w:t>根据《关于做好2024年基本公共卫生服务工作的通知》、</w:t>
      </w:r>
      <w:r>
        <w:rPr>
          <w:rFonts w:ascii="Times New Roman" w:hAnsi="Times New Roman" w:eastAsia="仿宋_GB2312"/>
          <w:b w:val="0"/>
          <w:bCs w:val="0"/>
          <w:color w:val="auto"/>
          <w:highlight w:val="none"/>
        </w:rPr>
        <w:t>《健康中国行动 2019-2030》</w:t>
      </w:r>
      <w:r>
        <w:rPr>
          <w:rFonts w:hint="eastAsia" w:ascii="Times New Roman" w:hAnsi="Times New Roman" w:eastAsia="仿宋_GB2312"/>
          <w:b w:val="0"/>
          <w:bCs w:val="0"/>
          <w:color w:val="auto"/>
          <w:highlight w:val="none"/>
        </w:rPr>
        <w:t>，卫生部、财政部、国家人口和计划生育委员会据此发布了《关于促进基本公共卫生服务逐步均等化的意见》，提出通过实施国家基本公共卫生服务项目和重大公共卫生服务项目，明确政府责任，对城乡居民健康问题实施干预措施，减少主要健康危险因素，有效预防和控制主要传染病及慢性病，提高公共卫生服务和突发公共卫生事件应急处置能力，使城乡居民逐步享有均等化的基本公共卫生服务。</w:t>
      </w:r>
    </w:p>
    <w:p w14:paraId="29B71BD9">
      <w:pPr>
        <w:pStyle w:val="10"/>
        <w:shd w:val="clear" w:fill="FFFFFF" w:themeFill="background1"/>
        <w:spacing w:before="0" w:after="0" w:line="560" w:lineRule="exact"/>
        <w:ind w:firstLine="643" w:firstLineChars="200"/>
        <w:jc w:val="both"/>
        <w:rPr>
          <w:rFonts w:ascii="Times New Roman" w:hAnsi="Times New Roman" w:eastAsia="仿宋_GB2312"/>
          <w:color w:val="auto"/>
          <w:kern w:val="2"/>
          <w:highlight w:val="none"/>
        </w:rPr>
      </w:pPr>
      <w:r>
        <w:rPr>
          <w:rFonts w:ascii="Times New Roman" w:hAnsi="Times New Roman" w:eastAsia="仿宋_GB2312"/>
          <w:color w:val="auto"/>
          <w:kern w:val="2"/>
          <w:highlight w:val="none"/>
        </w:rPr>
        <w:t>2.项目主要内容：</w:t>
      </w:r>
    </w:p>
    <w:p w14:paraId="1E163AF4">
      <w:pPr>
        <w:shd w:val="clear" w:fill="FFFFFF" w:themeFill="background1"/>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项目主要内容：该项目主要面向全体居民免费提供最基本的公共卫生服务，以儿童、孕产妇、老年人、慢性疾病患者等为重点人群。其具体内容包括城乡居民健康档案管理、健康教育、预防接种、0 - 6岁儿童健康管理等14项服务。通过这些服务，促进居民健康意识的提高和不良生活方式的改变，逐步树立自我健康管理的理念；减少主要健康危险因素，预防和控制传染病及慢性病的发生和流行；提高公共卫生服务和突发公共卫生事件应急处置能力，建立起维护居民健康的第一道屏障，提高居民健康素质。</w:t>
      </w:r>
    </w:p>
    <w:p w14:paraId="24D615D6">
      <w:pPr>
        <w:shd w:val="clear" w:fill="FFFFFF" w:themeFill="background1"/>
        <w:spacing w:line="560" w:lineRule="exact"/>
        <w:ind w:firstLine="640" w:firstLineChars="200"/>
        <w:rPr>
          <w:color w:val="auto"/>
          <w:highlight w:val="none"/>
        </w:rPr>
      </w:pPr>
      <w:r>
        <w:rPr>
          <w:rFonts w:eastAsia="仿宋_GB2312"/>
          <w:color w:val="auto"/>
          <w:sz w:val="32"/>
          <w:szCs w:val="32"/>
          <w:highlight w:val="none"/>
        </w:rPr>
        <w:t>项目实施情况：</w:t>
      </w:r>
      <w:r>
        <w:rPr>
          <w:rFonts w:hint="eastAsia" w:eastAsia="仿宋_GB2312"/>
          <w:color w:val="auto"/>
          <w:sz w:val="32"/>
          <w:szCs w:val="32"/>
          <w:highlight w:val="none"/>
        </w:rPr>
        <w:t>结合全民体检、办理母子健康手册工作，对在本辖区居住6月以上的居民均可以建立居民健康档案，居民规范化电子健康档覆盖率65%；0-6岁儿童定期体检随访，在体检中做视力检查，并给家长指导督促孩子规范做眼保健，发放预防近视正确做眼保健宣传折页，提高0-6岁儿童健康管理率≥90%和眼保健和视力检查覆盖率≥90%；建立预防接种家长微信群，定期转发疫苗知识，解答家长的疑惑及预防接种不良反应，疫苗断货或到货都会及时通知。各家庭医生团队也会宣传基础免疫接种知识，提高家长对接种疫苗的重视及依从性，达到适龄儿童国家免疫规划疫苗接种率95%。</w:t>
      </w:r>
    </w:p>
    <w:p w14:paraId="1B94D3F1">
      <w:pPr>
        <w:shd w:val="clear" w:fill="FFFFFF" w:themeFill="background1"/>
        <w:spacing w:line="560" w:lineRule="exact"/>
        <w:ind w:firstLine="643" w:firstLineChars="200"/>
        <w:rPr>
          <w:rFonts w:eastAsia="仿宋_GB2312"/>
          <w:b/>
          <w:bCs/>
          <w:color w:val="auto"/>
          <w:sz w:val="32"/>
          <w:szCs w:val="32"/>
          <w:highlight w:val="none"/>
        </w:rPr>
      </w:pPr>
      <w:r>
        <w:rPr>
          <w:rFonts w:eastAsia="仿宋_GB2312"/>
          <w:b/>
          <w:bCs/>
          <w:color w:val="auto"/>
          <w:sz w:val="32"/>
          <w:szCs w:val="32"/>
          <w:highlight w:val="none"/>
        </w:rPr>
        <w:t>3.资金投入和使用情况</w:t>
      </w:r>
    </w:p>
    <w:p w14:paraId="64CE9680">
      <w:pPr>
        <w:shd w:val="clear" w:fill="FFFFFF" w:themeFill="background1"/>
        <w:spacing w:line="600" w:lineRule="exact"/>
        <w:ind w:firstLine="640" w:firstLineChars="200"/>
        <w:outlineLvl w:val="0"/>
        <w:rPr>
          <w:rFonts w:eastAsia="仿宋_GB2312"/>
          <w:color w:val="auto"/>
          <w:sz w:val="32"/>
          <w:szCs w:val="32"/>
          <w:highlight w:val="none"/>
        </w:rPr>
      </w:pPr>
      <w:r>
        <w:rPr>
          <w:rFonts w:eastAsia="仿宋_GB2312"/>
          <w:color w:val="auto"/>
          <w:sz w:val="32"/>
          <w:szCs w:val="32"/>
          <w:highlight w:val="none"/>
        </w:rPr>
        <w:t>（1）资金投入情况</w:t>
      </w:r>
    </w:p>
    <w:p w14:paraId="4CCC9402">
      <w:pPr>
        <w:shd w:val="clear" w:fill="FFFFFF" w:themeFill="background1"/>
        <w:spacing w:line="600" w:lineRule="exact"/>
        <w:ind w:firstLine="640" w:firstLineChars="200"/>
        <w:outlineLvl w:val="0"/>
        <w:rPr>
          <w:rFonts w:eastAsia="仿宋_GB2312"/>
          <w:color w:val="auto"/>
          <w:sz w:val="32"/>
          <w:szCs w:val="32"/>
          <w:highlight w:val="none"/>
        </w:rPr>
      </w:pPr>
      <w:r>
        <w:rPr>
          <w:rFonts w:eastAsia="仿宋_GB2312"/>
          <w:color w:val="auto"/>
          <w:sz w:val="32"/>
          <w:szCs w:val="32"/>
          <w:highlight w:val="none"/>
        </w:rPr>
        <w:t>该项目年初预算数</w:t>
      </w:r>
      <w:r>
        <w:rPr>
          <w:rFonts w:hint="eastAsia" w:eastAsia="仿宋_GB2312"/>
          <w:color w:val="auto"/>
          <w:sz w:val="32"/>
          <w:szCs w:val="32"/>
          <w:highlight w:val="none"/>
        </w:rPr>
        <w:t>360.99</w:t>
      </w:r>
      <w:r>
        <w:rPr>
          <w:rFonts w:eastAsia="仿宋_GB2312"/>
          <w:color w:val="auto"/>
          <w:sz w:val="32"/>
          <w:szCs w:val="32"/>
          <w:highlight w:val="none"/>
        </w:rPr>
        <w:t>万元，全年预算数</w:t>
      </w:r>
      <w:r>
        <w:rPr>
          <w:rFonts w:hint="eastAsia" w:eastAsia="仿宋_GB2312"/>
          <w:color w:val="auto"/>
          <w:sz w:val="32"/>
          <w:szCs w:val="32"/>
          <w:highlight w:val="none"/>
        </w:rPr>
        <w:t>250.99</w:t>
      </w:r>
      <w:r>
        <w:rPr>
          <w:rFonts w:eastAsia="仿宋_GB2312"/>
          <w:color w:val="auto"/>
          <w:sz w:val="32"/>
          <w:szCs w:val="32"/>
          <w:highlight w:val="none"/>
        </w:rPr>
        <w:t>万元，该项目资金已全部落实到位，资金来源为</w:t>
      </w:r>
      <w:r>
        <w:rPr>
          <w:rFonts w:hint="eastAsia" w:eastAsia="仿宋_GB2312"/>
          <w:color w:val="auto"/>
          <w:sz w:val="32"/>
          <w:szCs w:val="32"/>
          <w:highlight w:val="none"/>
        </w:rPr>
        <w:t>财政拨款</w:t>
      </w:r>
      <w:r>
        <w:rPr>
          <w:rFonts w:eastAsia="仿宋_GB2312"/>
          <w:color w:val="auto"/>
          <w:sz w:val="32"/>
          <w:szCs w:val="32"/>
          <w:highlight w:val="none"/>
        </w:rPr>
        <w:t>。</w:t>
      </w:r>
    </w:p>
    <w:p w14:paraId="5DF31448">
      <w:pPr>
        <w:shd w:val="clear" w:fill="FFFFFF" w:themeFill="background1"/>
        <w:spacing w:line="600" w:lineRule="exact"/>
        <w:ind w:firstLine="640" w:firstLineChars="200"/>
        <w:outlineLvl w:val="0"/>
        <w:rPr>
          <w:rFonts w:eastAsia="仿宋_GB2312"/>
          <w:color w:val="auto"/>
          <w:sz w:val="32"/>
          <w:szCs w:val="32"/>
          <w:highlight w:val="none"/>
        </w:rPr>
      </w:pPr>
      <w:r>
        <w:rPr>
          <w:rFonts w:eastAsia="仿宋_GB2312"/>
          <w:color w:val="auto"/>
          <w:sz w:val="32"/>
          <w:szCs w:val="32"/>
          <w:highlight w:val="none"/>
        </w:rPr>
        <w:t>（2）资金使用情况</w:t>
      </w:r>
    </w:p>
    <w:p w14:paraId="27E4AA88">
      <w:pPr>
        <w:shd w:val="clear" w:fill="FFFFFF" w:themeFill="background1"/>
        <w:spacing w:line="600" w:lineRule="exact"/>
        <w:ind w:firstLine="640" w:firstLineChars="200"/>
        <w:outlineLvl w:val="0"/>
        <w:rPr>
          <w:rFonts w:eastAsia="仿宋_GB2312"/>
          <w:color w:val="auto"/>
          <w:sz w:val="32"/>
          <w:szCs w:val="32"/>
          <w:highlight w:val="none"/>
        </w:rPr>
      </w:pPr>
      <w:r>
        <w:rPr>
          <w:rFonts w:eastAsia="仿宋_GB2312"/>
          <w:color w:val="auto"/>
          <w:sz w:val="32"/>
          <w:szCs w:val="32"/>
          <w:highlight w:val="none"/>
        </w:rPr>
        <w:t>该项目年初预算数</w:t>
      </w:r>
      <w:r>
        <w:rPr>
          <w:rFonts w:hint="eastAsia" w:eastAsia="仿宋_GB2312"/>
          <w:color w:val="auto"/>
          <w:sz w:val="32"/>
          <w:szCs w:val="32"/>
          <w:highlight w:val="none"/>
        </w:rPr>
        <w:t>360.99</w:t>
      </w:r>
      <w:r>
        <w:rPr>
          <w:rFonts w:eastAsia="仿宋_GB2312"/>
          <w:color w:val="auto"/>
          <w:sz w:val="32"/>
          <w:szCs w:val="32"/>
          <w:highlight w:val="none"/>
        </w:rPr>
        <w:t>万元，全年预算数</w:t>
      </w:r>
      <w:r>
        <w:rPr>
          <w:rFonts w:hint="eastAsia" w:eastAsia="仿宋_GB2312"/>
          <w:color w:val="auto"/>
          <w:sz w:val="32"/>
          <w:szCs w:val="32"/>
          <w:highlight w:val="none"/>
        </w:rPr>
        <w:t>250.99</w:t>
      </w:r>
      <w:r>
        <w:rPr>
          <w:rFonts w:eastAsia="仿宋_GB2312"/>
          <w:color w:val="auto"/>
          <w:sz w:val="32"/>
          <w:szCs w:val="32"/>
          <w:highlight w:val="none"/>
        </w:rPr>
        <w:t>万元</w:t>
      </w:r>
      <w:r>
        <w:rPr>
          <w:rFonts w:hint="eastAsia" w:eastAsia="仿宋_GB2312"/>
          <w:color w:val="auto"/>
          <w:sz w:val="32"/>
          <w:szCs w:val="32"/>
          <w:highlight w:val="none"/>
        </w:rPr>
        <w:t>，</w:t>
      </w:r>
      <w:r>
        <w:rPr>
          <w:rFonts w:eastAsia="仿宋_GB2312"/>
          <w:color w:val="auto"/>
          <w:sz w:val="32"/>
          <w:szCs w:val="32"/>
          <w:highlight w:val="none"/>
        </w:rPr>
        <w:t>，全年执行数</w:t>
      </w:r>
      <w:r>
        <w:rPr>
          <w:rFonts w:hint="eastAsia" w:eastAsia="仿宋_GB2312"/>
          <w:color w:val="auto"/>
          <w:sz w:val="32"/>
          <w:szCs w:val="32"/>
          <w:highlight w:val="none"/>
        </w:rPr>
        <w:t>250.99</w:t>
      </w:r>
      <w:r>
        <w:rPr>
          <w:rFonts w:eastAsia="仿宋_GB2312"/>
          <w:color w:val="auto"/>
          <w:sz w:val="32"/>
          <w:szCs w:val="32"/>
          <w:highlight w:val="none"/>
        </w:rPr>
        <w:t>万元，预算执行率为</w:t>
      </w:r>
      <w:r>
        <w:rPr>
          <w:rFonts w:hint="eastAsia" w:eastAsia="仿宋_GB2312"/>
          <w:color w:val="auto"/>
          <w:sz w:val="32"/>
          <w:szCs w:val="32"/>
          <w:highlight w:val="none"/>
        </w:rPr>
        <w:t>100</w:t>
      </w:r>
      <w:r>
        <w:rPr>
          <w:rFonts w:eastAsia="仿宋_GB2312"/>
          <w:color w:val="auto"/>
          <w:sz w:val="32"/>
          <w:szCs w:val="32"/>
          <w:highlight w:val="none"/>
        </w:rPr>
        <w:t>%，主要用于：</w:t>
      </w:r>
      <w:r>
        <w:rPr>
          <w:rFonts w:hint="eastAsia" w:eastAsia="仿宋_GB2312"/>
          <w:color w:val="auto"/>
          <w:sz w:val="32"/>
          <w:szCs w:val="32"/>
          <w:highlight w:val="none"/>
        </w:rPr>
        <w:t>基本公共卫生补助</w:t>
      </w:r>
      <w:r>
        <w:rPr>
          <w:rFonts w:eastAsia="仿宋_GB2312"/>
          <w:color w:val="auto"/>
          <w:sz w:val="32"/>
          <w:szCs w:val="32"/>
          <w:highlight w:val="none"/>
        </w:rPr>
        <w:t>。</w:t>
      </w:r>
    </w:p>
    <w:p w14:paraId="31D0BE18">
      <w:pPr>
        <w:shd w:val="clear" w:fill="FFFFFF" w:themeFill="background1"/>
        <w:spacing w:line="560" w:lineRule="exact"/>
        <w:ind w:firstLine="643" w:firstLineChars="200"/>
        <w:rPr>
          <w:rFonts w:eastAsia="楷体_GB2312"/>
          <w:b/>
          <w:bCs/>
          <w:color w:val="auto"/>
          <w:sz w:val="32"/>
          <w:szCs w:val="32"/>
          <w:highlight w:val="none"/>
        </w:rPr>
      </w:pPr>
      <w:r>
        <w:rPr>
          <w:rFonts w:eastAsia="楷体_GB2312"/>
          <w:b/>
          <w:bCs/>
          <w:color w:val="auto"/>
          <w:sz w:val="32"/>
          <w:szCs w:val="32"/>
          <w:highlight w:val="none"/>
        </w:rPr>
        <w:t>（二）项目绩效目标</w:t>
      </w:r>
    </w:p>
    <w:p w14:paraId="0C5C956E">
      <w:pPr>
        <w:shd w:val="clear" w:fill="FFFFFF" w:themeFill="background1"/>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w:t>
      </w:r>
      <w:r>
        <w:rPr>
          <w:rFonts w:eastAsia="仿宋_GB2312"/>
          <w:b/>
          <w:bCs/>
          <w:color w:val="auto"/>
          <w:sz w:val="32"/>
          <w:szCs w:val="32"/>
          <w:highlight w:val="none"/>
        </w:rPr>
        <w:t>.</w:t>
      </w:r>
      <w:r>
        <w:rPr>
          <w:rFonts w:eastAsia="仿宋_GB2312"/>
          <w:color w:val="auto"/>
          <w:sz w:val="32"/>
          <w:szCs w:val="32"/>
          <w:highlight w:val="none"/>
        </w:rPr>
        <w:t>总体目标</w:t>
      </w:r>
    </w:p>
    <w:p w14:paraId="78C6E2F0">
      <w:pPr>
        <w:shd w:val="clear" w:fill="FFFFFF" w:themeFill="background1"/>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居民规范化电子健康档覆盖率≥65%，0-6岁儿童眼保健和视力检查覆盖率≥90%，孕产妇系统管理率≥85%</w:t>
      </w:r>
      <w:r>
        <w:rPr>
          <w:rFonts w:hint="eastAsia" w:eastAsia="仿宋_GB2312"/>
          <w:color w:val="auto"/>
          <w:sz w:val="32"/>
          <w:szCs w:val="32"/>
          <w:highlight w:val="none"/>
          <w:lang w:eastAsia="zh-CN"/>
        </w:rPr>
        <w:t>，</w:t>
      </w:r>
      <w:r>
        <w:rPr>
          <w:rFonts w:hint="eastAsia" w:eastAsia="仿宋_GB2312"/>
          <w:color w:val="auto"/>
          <w:sz w:val="32"/>
          <w:szCs w:val="32"/>
          <w:highlight w:val="none"/>
        </w:rPr>
        <w:t>0-6岁儿童健康管理率≥90%，适龄儿童国家免疫规划疫苗接种率≥95%。</w:t>
      </w:r>
    </w:p>
    <w:p w14:paraId="2AAE467D">
      <w:pPr>
        <w:shd w:val="clear" w:fill="FFFFFF" w:themeFill="background1"/>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2</w:t>
      </w:r>
      <w:r>
        <w:rPr>
          <w:rFonts w:eastAsia="仿宋_GB2312"/>
          <w:b/>
          <w:bCs/>
          <w:color w:val="auto"/>
          <w:sz w:val="32"/>
          <w:szCs w:val="32"/>
          <w:highlight w:val="none"/>
        </w:rPr>
        <w:t>.</w:t>
      </w:r>
      <w:r>
        <w:rPr>
          <w:rFonts w:eastAsia="仿宋_GB2312"/>
          <w:color w:val="auto"/>
          <w:sz w:val="32"/>
          <w:szCs w:val="32"/>
          <w:highlight w:val="none"/>
        </w:rPr>
        <w:t>阶段性目标</w:t>
      </w:r>
    </w:p>
    <w:p w14:paraId="45BB7A60">
      <w:pPr>
        <w:shd w:val="clear" w:fill="FFFFFF" w:themeFill="background1"/>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居民规范化电子健康档覆盖率≥65%不分解必须达标，4季度要迎接年终考核，所有工作分解到3个季度完成。0-6岁儿童眼保健和视力检查覆盖率分解到1个季度≥30%，2季度≥60%,3季度≥90%；孕产妇系统管理率、0-6岁儿童健康管理率和适龄儿童国家免疫规划疫苗接种率三项指标也不能分解，每个季度考核都要达标。</w:t>
      </w:r>
    </w:p>
    <w:p w14:paraId="119A78B7">
      <w:pPr>
        <w:shd w:val="clear" w:fill="FFFFFF" w:themeFill="background1"/>
        <w:spacing w:line="560" w:lineRule="exact"/>
        <w:ind w:firstLine="640" w:firstLineChars="200"/>
        <w:rPr>
          <w:rFonts w:eastAsia="黑体"/>
          <w:color w:val="auto"/>
          <w:sz w:val="32"/>
          <w:szCs w:val="32"/>
          <w:highlight w:val="none"/>
        </w:rPr>
      </w:pPr>
      <w:r>
        <w:rPr>
          <w:rFonts w:eastAsia="黑体"/>
          <w:color w:val="auto"/>
          <w:sz w:val="32"/>
          <w:szCs w:val="32"/>
          <w:highlight w:val="none"/>
        </w:rPr>
        <w:t>二、绩效评价工作开展情况</w:t>
      </w:r>
    </w:p>
    <w:p w14:paraId="353403EE">
      <w:pPr>
        <w:shd w:val="clear" w:fill="FFFFFF" w:themeFill="background1"/>
        <w:spacing w:line="560" w:lineRule="exact"/>
        <w:ind w:firstLine="643" w:firstLineChars="200"/>
        <w:rPr>
          <w:rFonts w:eastAsia="楷体_GB2312"/>
          <w:b/>
          <w:bCs/>
          <w:color w:val="auto"/>
          <w:sz w:val="32"/>
          <w:szCs w:val="32"/>
          <w:highlight w:val="none"/>
        </w:rPr>
      </w:pPr>
      <w:r>
        <w:rPr>
          <w:rFonts w:eastAsia="楷体_GB2312"/>
          <w:b/>
          <w:bCs/>
          <w:color w:val="auto"/>
          <w:sz w:val="32"/>
          <w:szCs w:val="32"/>
          <w:highlight w:val="none"/>
        </w:rPr>
        <w:t>（一）绩效评价目的、对象和范围</w:t>
      </w:r>
    </w:p>
    <w:p w14:paraId="31CBBB3B">
      <w:pPr>
        <w:pStyle w:val="10"/>
        <w:widowControl w:val="0"/>
        <w:shd w:val="clear" w:fill="FFFFFF" w:themeFill="background1"/>
        <w:spacing w:before="0" w:after="0" w:line="560" w:lineRule="exact"/>
        <w:ind w:firstLine="640" w:firstLineChars="200"/>
        <w:jc w:val="both"/>
        <w:outlineLvl w:val="9"/>
        <w:rPr>
          <w:rFonts w:ascii="Times New Roman" w:hAnsi="Times New Roman" w:eastAsia="仿宋_GB2312"/>
          <w:b w:val="0"/>
          <w:bCs w:val="0"/>
          <w:color w:val="auto"/>
          <w:highlight w:val="none"/>
        </w:rPr>
      </w:pPr>
      <w:r>
        <w:rPr>
          <w:rFonts w:ascii="Times New Roman" w:hAnsi="Times New Roman" w:eastAsia="仿宋_GB2312"/>
          <w:b w:val="0"/>
          <w:bCs w:val="0"/>
          <w:color w:val="auto"/>
          <w:highlight w:val="none"/>
        </w:rPr>
        <w:t>1.绩效评价完整性</w:t>
      </w:r>
    </w:p>
    <w:p w14:paraId="2D5BFE9B">
      <w:pPr>
        <w:shd w:val="clear" w:fill="FFFFFF" w:themeFill="background1"/>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本项目预算绩效评价报告在编制过程中，严格遵循</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关于下达2016年乌鲁木齐市基本公共卫生服务项目资金计划</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乌发改社会[2016]258号</w:t>
      </w:r>
      <w:r>
        <w:rPr>
          <w:rFonts w:hint="eastAsia" w:eastAsia="仿宋_GB2312"/>
          <w:color w:val="auto"/>
          <w:sz w:val="32"/>
          <w:szCs w:val="32"/>
          <w:highlight w:val="none"/>
          <w:lang w:eastAsia="zh-CN"/>
        </w:rPr>
        <w:t>、《国家财政基本公共卫生服务补助资金》乌财社</w:t>
      </w:r>
      <w:r>
        <w:rPr>
          <w:rFonts w:hint="eastAsia" w:eastAsia="仿宋_GB2312"/>
          <w:color w:val="auto"/>
          <w:sz w:val="32"/>
          <w:szCs w:val="32"/>
          <w:highlight w:val="none"/>
          <w:lang w:val="en-US" w:eastAsia="zh-CN"/>
        </w:rPr>
        <w:t>[</w:t>
      </w:r>
      <w:r>
        <w:rPr>
          <w:rFonts w:hint="eastAsia" w:eastAsia="仿宋_GB2312"/>
          <w:color w:val="auto"/>
          <w:sz w:val="32"/>
          <w:szCs w:val="32"/>
          <w:highlight w:val="none"/>
          <w:lang w:eastAsia="zh-CN"/>
        </w:rPr>
        <w:t>2023</w:t>
      </w:r>
      <w:r>
        <w:rPr>
          <w:rFonts w:hint="eastAsia" w:eastAsia="仿宋_GB2312"/>
          <w:color w:val="auto"/>
          <w:sz w:val="32"/>
          <w:szCs w:val="32"/>
          <w:highlight w:val="none"/>
          <w:lang w:val="en-US" w:eastAsia="zh-CN"/>
        </w:rPr>
        <w:t>]</w:t>
      </w:r>
      <w:r>
        <w:rPr>
          <w:rFonts w:hint="eastAsia" w:eastAsia="仿宋_GB2312"/>
          <w:color w:val="auto"/>
          <w:sz w:val="32"/>
          <w:szCs w:val="32"/>
          <w:highlight w:val="none"/>
          <w:lang w:eastAsia="zh-CN"/>
        </w:rPr>
        <w:t>266号-2024</w:t>
      </w:r>
      <w:r>
        <w:rPr>
          <w:rFonts w:hint="eastAsia" w:eastAsia="仿宋_GB2312"/>
          <w:color w:val="auto"/>
          <w:sz w:val="32"/>
          <w:szCs w:val="32"/>
          <w:highlight w:val="none"/>
          <w:lang w:val="en-US" w:eastAsia="zh-CN"/>
        </w:rPr>
        <w:t>资金</w:t>
      </w:r>
      <w:r>
        <w:rPr>
          <w:rFonts w:eastAsia="仿宋_GB2312"/>
          <w:color w:val="auto"/>
          <w:sz w:val="32"/>
          <w:szCs w:val="32"/>
          <w:highlight w:val="none"/>
        </w:rPr>
        <w:t>相关法规与标准，确保评价内容的全面性与准确性。报告涵盖了项目从预算编制、执行到完成的全过程，对项目的各项绩效指标进行了细致的梳理与评估。</w:t>
      </w:r>
    </w:p>
    <w:p w14:paraId="23D69644">
      <w:pPr>
        <w:shd w:val="clear" w:fill="FFFFFF" w:themeFill="background1"/>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在评价指标体系的构建上，</w:t>
      </w:r>
      <w:r>
        <w:rPr>
          <w:rFonts w:hint="eastAsia" w:eastAsia="仿宋_GB2312"/>
          <w:color w:val="auto"/>
          <w:sz w:val="32"/>
          <w:szCs w:val="32"/>
          <w:highlight w:val="none"/>
          <w:lang w:val="en-US" w:eastAsia="zh-CN"/>
        </w:rPr>
        <w:t>根据《国家基本公共卫生服务规范》（2022版）工作要求，自治区、乌鲁木齐市对基本公共卫生服务工作目标，每季度接受区级考核，乌鲁木齐市疾控中心各项目主管科室定期下基层指导工作，确保项目规范开展。随机抽取</w:t>
      </w:r>
      <w:r>
        <w:rPr>
          <w:rFonts w:eastAsia="仿宋_GB2312"/>
          <w:color w:val="auto"/>
          <w:sz w:val="32"/>
          <w:szCs w:val="32"/>
          <w:highlight w:val="none"/>
        </w:rPr>
        <w:t>充分考虑了项目的</w:t>
      </w:r>
      <w:r>
        <w:rPr>
          <w:rFonts w:hint="eastAsia" w:eastAsia="仿宋_GB2312"/>
          <w:color w:val="auto"/>
          <w:sz w:val="32"/>
          <w:szCs w:val="32"/>
          <w:highlight w:val="none"/>
          <w:lang w:val="en-US" w:eastAsia="zh-CN"/>
        </w:rPr>
        <w:t>公益</w:t>
      </w:r>
      <w:r>
        <w:rPr>
          <w:rFonts w:eastAsia="仿宋_GB2312"/>
          <w:color w:val="auto"/>
          <w:sz w:val="32"/>
          <w:szCs w:val="32"/>
          <w:highlight w:val="none"/>
        </w:rPr>
        <w:t>性质、</w:t>
      </w:r>
      <w:r>
        <w:rPr>
          <w:rFonts w:hint="eastAsia" w:eastAsia="仿宋_GB2312"/>
          <w:color w:val="auto"/>
          <w:sz w:val="32"/>
          <w:szCs w:val="32"/>
          <w:highlight w:val="none"/>
          <w:lang w:val="en-US" w:eastAsia="zh-CN"/>
        </w:rPr>
        <w:t>各种指标</w:t>
      </w:r>
      <w:r>
        <w:rPr>
          <w:rFonts w:eastAsia="仿宋_GB2312"/>
          <w:color w:val="auto"/>
          <w:sz w:val="32"/>
          <w:szCs w:val="32"/>
          <w:highlight w:val="none"/>
        </w:rPr>
        <w:t>目标以</w:t>
      </w:r>
      <w:r>
        <w:rPr>
          <w:rFonts w:hint="eastAsia" w:eastAsia="仿宋_GB2312"/>
          <w:color w:val="auto"/>
          <w:sz w:val="32"/>
          <w:szCs w:val="32"/>
          <w:highlight w:val="none"/>
          <w:lang w:val="en-US" w:eastAsia="zh-CN"/>
        </w:rPr>
        <w:t>提高居民对基本公共卫生服务项目的知晓率，让更多的居民知晓全民健康体检政策，提高居民的幸福指数</w:t>
      </w:r>
      <w:r>
        <w:rPr>
          <w:rFonts w:hint="eastAsia" w:eastAsia="仿宋_GB2312"/>
          <w:color w:val="auto"/>
          <w:sz w:val="32"/>
          <w:szCs w:val="32"/>
          <w:highlight w:val="none"/>
          <w:lang w:eastAsia="zh-CN"/>
        </w:rPr>
        <w:t>。</w:t>
      </w:r>
      <w:r>
        <w:rPr>
          <w:rFonts w:eastAsia="仿宋_GB2312"/>
          <w:color w:val="auto"/>
          <w:sz w:val="32"/>
          <w:szCs w:val="32"/>
          <w:highlight w:val="none"/>
        </w:rPr>
        <w:t>选取了</w:t>
      </w:r>
      <w:r>
        <w:rPr>
          <w:rFonts w:hint="eastAsia" w:eastAsia="仿宋_GB2312"/>
          <w:color w:val="auto"/>
          <w:sz w:val="32"/>
          <w:szCs w:val="32"/>
          <w:highlight w:val="none"/>
          <w:lang w:val="en-US" w:eastAsia="zh-CN"/>
        </w:rPr>
        <w:t>规范化电子健康档案覆盖率、0-6岁儿童眼保健和视力检查覆盖率、孕产妇系统管理率、0-6岁儿童健康管理率、适龄儿童国家免疫规划疫苗接种率</w:t>
      </w:r>
      <w:r>
        <w:rPr>
          <w:rFonts w:eastAsia="仿宋_GB2312"/>
          <w:color w:val="auto"/>
          <w:sz w:val="32"/>
          <w:szCs w:val="32"/>
          <w:highlight w:val="none"/>
        </w:rPr>
        <w:t>具有代表性和可衡量性的关键指标，涵盖了社会效益等多个维度，力求全方位反映项目的绩效状况。同时，对于每个指标的评价标准和数据来源均进行了明确说明，确保评价结果的客观性和可追溯性。</w:t>
      </w:r>
    </w:p>
    <w:p w14:paraId="6EC4E9F7">
      <w:pPr>
        <w:shd w:val="clear" w:fill="FFFFFF" w:themeFill="background1"/>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在数据收集与分析环节，采用了多种科学合理的方法，如实地</w:t>
      </w:r>
      <w:r>
        <w:rPr>
          <w:rFonts w:hint="eastAsia" w:eastAsia="仿宋_GB2312"/>
          <w:color w:val="auto"/>
          <w:sz w:val="32"/>
          <w:szCs w:val="32"/>
          <w:highlight w:val="none"/>
          <w:lang w:val="en-US" w:eastAsia="zh-CN"/>
        </w:rPr>
        <w:t>现场考核</w:t>
      </w:r>
      <w:r>
        <w:rPr>
          <w:rFonts w:eastAsia="仿宋_GB2312"/>
          <w:color w:val="auto"/>
          <w:sz w:val="32"/>
          <w:szCs w:val="32"/>
          <w:highlight w:val="none"/>
        </w:rPr>
        <w:t>、问卷调查、</w:t>
      </w:r>
      <w:r>
        <w:rPr>
          <w:rFonts w:hint="eastAsia" w:eastAsia="仿宋_GB2312"/>
          <w:color w:val="auto"/>
          <w:sz w:val="32"/>
          <w:szCs w:val="32"/>
          <w:highlight w:val="none"/>
          <w:lang w:val="en-US" w:eastAsia="zh-CN"/>
        </w:rPr>
        <w:t>卫宁系统采集数据、查阅纸质档案及卫宁档案</w:t>
      </w:r>
      <w:r>
        <w:rPr>
          <w:rFonts w:eastAsia="仿宋_GB2312"/>
          <w:color w:val="auto"/>
          <w:sz w:val="32"/>
          <w:szCs w:val="32"/>
          <w:highlight w:val="none"/>
        </w:rPr>
        <w:t>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4BD4E720">
      <w:pPr>
        <w:shd w:val="clear" w:fill="FFFFFF" w:themeFill="background1"/>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24318586">
      <w:pPr>
        <w:shd w:val="clear" w:fill="FFFFFF" w:themeFill="background1"/>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757B32C6">
      <w:pPr>
        <w:shd w:val="clear" w:fill="FFFFFF" w:themeFill="background1"/>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2.绩效评价的目的</w:t>
      </w:r>
    </w:p>
    <w:p w14:paraId="0D6B0DE3">
      <w:pPr>
        <w:shd w:val="clear" w:fill="FFFFFF" w:themeFill="background1"/>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（1）评估项目实施效果</w:t>
      </w:r>
    </w:p>
    <w:p w14:paraId="44DA64BB">
      <w:pPr>
        <w:shd w:val="clear" w:fill="FFFFFF" w:themeFill="background1"/>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通过对项目预算执行情况及各项绩效目标达成程度的系统性分析，全面、客观地评估项目在预定周期内的实施效果，包括社会效益等多维度指标，为项目后续的改进与优化提供科学依据。</w:t>
      </w:r>
    </w:p>
    <w:p w14:paraId="304DAAC7">
      <w:pPr>
        <w:shd w:val="clear" w:fill="FFFFFF" w:themeFill="background1"/>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（2）提升资源利用效率</w:t>
      </w:r>
    </w:p>
    <w:p w14:paraId="1EAA702C">
      <w:pPr>
        <w:shd w:val="clear" w:fill="FFFFFF" w:themeFill="background1"/>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0B30C3DA">
      <w:pPr>
        <w:shd w:val="clear" w:fill="FFFFFF" w:themeFill="background1"/>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（3）强化项目管理责任</w:t>
      </w:r>
    </w:p>
    <w:p w14:paraId="543EAA1F">
      <w:pPr>
        <w:shd w:val="clear" w:fill="FFFFFF" w:themeFill="background1"/>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明确项目各参与主体在预算绩效管理中的职责与任务，</w:t>
      </w:r>
      <w:r>
        <w:rPr>
          <w:rFonts w:hint="eastAsia" w:eastAsia="仿宋_GB2312"/>
          <w:color w:val="auto"/>
          <w:sz w:val="32"/>
          <w:szCs w:val="32"/>
          <w:highlight w:val="none"/>
          <w:lang w:val="en-US" w:eastAsia="zh-CN"/>
        </w:rPr>
        <w:t>中心领导定期对中心及各站召开推进会，了解项目总体进度，存在问题及困难并协调解决，公卫科作为项目主体主要负责项目具体实施，院办协调、财务监管，总务科负责政采云询价及下单等事务，</w:t>
      </w:r>
      <w:r>
        <w:rPr>
          <w:rFonts w:eastAsia="仿宋_GB2312"/>
          <w:color w:val="auto"/>
          <w:sz w:val="32"/>
          <w:szCs w:val="32"/>
          <w:highlight w:val="none"/>
        </w:rPr>
        <w:t>借助绩效评价结果对项目管理过程进行监督与问责，促使项目管理者增强责任意识，主动优化管理流程，完善内部控制机制，提高项目管理水平与执行力，保障项目按计划、高质量推进。</w:t>
      </w:r>
    </w:p>
    <w:p w14:paraId="0A543B8F">
      <w:pPr>
        <w:shd w:val="clear" w:fill="FFFFFF" w:themeFill="background1"/>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（4）为决策提供支持</w:t>
      </w:r>
    </w:p>
    <w:p w14:paraId="7AFA5C89">
      <w:pPr>
        <w:shd w:val="clear" w:fill="FFFFFF" w:themeFill="background1"/>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09E81827">
      <w:pPr>
        <w:shd w:val="clear" w:fill="FFFFFF" w:themeFill="background1"/>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（5）促进项目持续改进</w:t>
      </w:r>
    </w:p>
    <w:p w14:paraId="595B0569">
      <w:pPr>
        <w:shd w:val="clear" w:fill="FFFFFF" w:themeFill="background1"/>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76E250C8">
      <w:pPr>
        <w:shd w:val="clear" w:fill="FFFFFF" w:themeFill="background1"/>
        <w:spacing w:line="560" w:lineRule="exact"/>
        <w:ind w:firstLine="640" w:firstLineChars="200"/>
        <w:rPr>
          <w:rFonts w:eastAsia="方正仿宋_GBK"/>
          <w:color w:val="auto"/>
          <w:sz w:val="32"/>
          <w:szCs w:val="32"/>
          <w:highlight w:val="none"/>
        </w:rPr>
      </w:pPr>
      <w:r>
        <w:rPr>
          <w:rFonts w:eastAsia="仿宋_GB2312"/>
          <w:color w:val="auto"/>
          <w:sz w:val="32"/>
          <w:szCs w:val="32"/>
          <w:highlight w:val="none"/>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02F40E5F">
      <w:pPr>
        <w:pStyle w:val="10"/>
        <w:widowControl w:val="0"/>
        <w:shd w:val="clear" w:fill="FFFFFF" w:themeFill="background1"/>
        <w:spacing w:before="0" w:after="0" w:line="560" w:lineRule="exact"/>
        <w:ind w:firstLine="640" w:firstLineChars="200"/>
        <w:jc w:val="both"/>
        <w:outlineLvl w:val="9"/>
        <w:rPr>
          <w:rFonts w:ascii="Times New Roman" w:hAnsi="Times New Roman" w:eastAsia="仿宋_GB2312"/>
          <w:b w:val="0"/>
          <w:bCs w:val="0"/>
          <w:color w:val="auto"/>
          <w:highlight w:val="none"/>
        </w:rPr>
      </w:pPr>
      <w:r>
        <w:rPr>
          <w:rFonts w:ascii="Times New Roman" w:hAnsi="Times New Roman" w:eastAsia="仿宋_GB2312"/>
          <w:b w:val="0"/>
          <w:bCs w:val="0"/>
          <w:color w:val="auto"/>
          <w:highlight w:val="none"/>
        </w:rPr>
        <w:t>3</w:t>
      </w:r>
      <w:r>
        <w:rPr>
          <w:rFonts w:ascii="Times New Roman" w:hAnsi="Times New Roman" w:eastAsia="仿宋_GB2312"/>
          <w:color w:val="auto"/>
          <w:highlight w:val="none"/>
        </w:rPr>
        <w:t>.</w:t>
      </w:r>
      <w:r>
        <w:rPr>
          <w:rFonts w:ascii="Times New Roman" w:hAnsi="Times New Roman" w:eastAsia="仿宋_GB2312"/>
          <w:b w:val="0"/>
          <w:bCs w:val="0"/>
          <w:color w:val="auto"/>
          <w:highlight w:val="none"/>
        </w:rPr>
        <w:t>绩效评价的对象</w:t>
      </w:r>
    </w:p>
    <w:p w14:paraId="77FC095A">
      <w:pPr>
        <w:pStyle w:val="10"/>
        <w:widowControl w:val="0"/>
        <w:shd w:val="clear" w:fill="FFFFFF" w:themeFill="background1"/>
        <w:spacing w:before="0" w:after="0" w:line="560" w:lineRule="exact"/>
        <w:ind w:firstLine="640" w:firstLineChars="200"/>
        <w:jc w:val="both"/>
        <w:outlineLvl w:val="9"/>
        <w:rPr>
          <w:rFonts w:ascii="Times New Roman" w:hAnsi="Times New Roman" w:eastAsia="仿宋_GB2312"/>
          <w:b w:val="0"/>
          <w:bCs w:val="0"/>
          <w:color w:val="auto"/>
          <w:highlight w:val="none"/>
        </w:rPr>
      </w:pPr>
      <w:r>
        <w:rPr>
          <w:rFonts w:ascii="Times New Roman" w:hAnsi="Times New Roman" w:eastAsia="仿宋_GB2312"/>
          <w:b w:val="0"/>
          <w:bCs w:val="0"/>
          <w:color w:val="auto"/>
          <w:highlight w:val="none"/>
        </w:rPr>
        <w:t>本项目预算绩效评价报告的评价对象是</w:t>
      </w:r>
      <w:r>
        <w:rPr>
          <w:rFonts w:hint="eastAsia" w:ascii="Times New Roman" w:hAnsi="Times New Roman" w:eastAsia="仿宋_GB2312"/>
          <w:b w:val="0"/>
          <w:bCs w:val="0"/>
          <w:color w:val="auto"/>
          <w:highlight w:val="none"/>
        </w:rPr>
        <w:t>基本公共卫生服务</w:t>
      </w:r>
      <w:r>
        <w:rPr>
          <w:rFonts w:ascii="Times New Roman" w:hAnsi="Times New Roman" w:eastAsia="仿宋_GB2312"/>
          <w:b w:val="0"/>
          <w:bCs w:val="0"/>
          <w:color w:val="auto"/>
          <w:highlight w:val="none"/>
        </w:rPr>
        <w:t>及其预算执行情况。该项目由</w:t>
      </w:r>
      <w:r>
        <w:rPr>
          <w:rFonts w:hint="eastAsia" w:ascii="Times New Roman" w:hAnsi="Times New Roman" w:eastAsia="仿宋_GB2312"/>
          <w:b w:val="0"/>
          <w:bCs w:val="0"/>
          <w:color w:val="auto"/>
          <w:highlight w:val="none"/>
        </w:rPr>
        <w:t>沙依巴克区妇幼保健服务中心公卫科</w:t>
      </w:r>
      <w:r>
        <w:rPr>
          <w:rFonts w:ascii="Times New Roman" w:hAnsi="Times New Roman" w:eastAsia="仿宋_GB2312"/>
          <w:b w:val="0"/>
          <w:bCs w:val="0"/>
          <w:color w:val="auto"/>
          <w:highlight w:val="none"/>
        </w:rPr>
        <w:t>负责实施，旨在</w:t>
      </w:r>
      <w:r>
        <w:rPr>
          <w:rFonts w:hint="eastAsia" w:ascii="Times New Roman" w:hAnsi="Times New Roman" w:eastAsia="仿宋_GB2312"/>
          <w:b w:val="0"/>
          <w:bCs w:val="0"/>
          <w:color w:val="auto"/>
          <w:highlight w:val="none"/>
        </w:rPr>
        <w:t>减少主要健康危险因素，有效预防和控制主要传染病及慢性病，提高公共卫生服务和突发公共卫生事件应急处置能力，使城乡居民逐步享有均等化的基本公共卫生服务</w:t>
      </w:r>
      <w:r>
        <w:rPr>
          <w:rFonts w:ascii="Times New Roman" w:hAnsi="Times New Roman" w:eastAsia="仿宋_GB2312"/>
          <w:b w:val="0"/>
          <w:bCs w:val="0"/>
          <w:color w:val="auto"/>
          <w:highlight w:val="none"/>
        </w:rPr>
        <w:t>。项目预算涵盖从</w:t>
      </w:r>
      <w:r>
        <w:rPr>
          <w:rFonts w:hint="eastAsia" w:ascii="Times New Roman" w:hAnsi="Times New Roman" w:eastAsia="仿宋_GB2312"/>
          <w:b w:val="0"/>
          <w:bCs w:val="0"/>
          <w:color w:val="auto"/>
          <w:highlight w:val="none"/>
        </w:rPr>
        <w:t>2024年1月1日</w:t>
      </w:r>
      <w:r>
        <w:rPr>
          <w:rFonts w:ascii="Times New Roman" w:hAnsi="Times New Roman" w:eastAsia="仿宋_GB2312"/>
          <w:b w:val="0"/>
          <w:bCs w:val="0"/>
          <w:color w:val="auto"/>
          <w:highlight w:val="none"/>
        </w:rPr>
        <w:t>至</w:t>
      </w:r>
      <w:r>
        <w:rPr>
          <w:rFonts w:hint="eastAsia" w:ascii="Times New Roman" w:hAnsi="Times New Roman" w:eastAsia="仿宋_GB2312"/>
          <w:b w:val="0"/>
          <w:bCs w:val="0"/>
          <w:color w:val="auto"/>
          <w:highlight w:val="none"/>
        </w:rPr>
        <w:t>2024年12月31日</w:t>
      </w:r>
      <w:r>
        <w:rPr>
          <w:rFonts w:ascii="Times New Roman" w:hAnsi="Times New Roman" w:eastAsia="仿宋_GB2312"/>
          <w:b w:val="0"/>
          <w:bCs w:val="0"/>
          <w:color w:val="auto"/>
          <w:highlight w:val="none"/>
        </w:rPr>
        <w:t>的全部资金投入与支出，涉及资金总额为</w:t>
      </w:r>
      <w:r>
        <w:rPr>
          <w:rFonts w:hint="eastAsia" w:ascii="Times New Roman" w:hAnsi="Times New Roman" w:eastAsia="仿宋_GB2312"/>
          <w:b w:val="0"/>
          <w:bCs w:val="0"/>
          <w:color w:val="auto"/>
          <w:highlight w:val="none"/>
        </w:rPr>
        <w:t>250.99</w:t>
      </w:r>
      <w:r>
        <w:rPr>
          <w:rFonts w:ascii="Times New Roman" w:hAnsi="Times New Roman" w:eastAsia="仿宋_GB2312"/>
          <w:b w:val="0"/>
          <w:bCs w:val="0"/>
          <w:color w:val="auto"/>
          <w:highlight w:val="none"/>
        </w:rPr>
        <w:t>万元。</w:t>
      </w:r>
    </w:p>
    <w:p w14:paraId="56B84627">
      <w:pPr>
        <w:pStyle w:val="10"/>
        <w:widowControl w:val="0"/>
        <w:shd w:val="clear" w:fill="FFFFFF" w:themeFill="background1"/>
        <w:spacing w:before="0" w:after="0" w:line="560" w:lineRule="exact"/>
        <w:ind w:firstLine="640" w:firstLineChars="200"/>
        <w:jc w:val="both"/>
        <w:outlineLvl w:val="9"/>
        <w:rPr>
          <w:rFonts w:ascii="Times New Roman" w:hAnsi="Times New Roman" w:eastAsia="仿宋_GB2312"/>
          <w:b w:val="0"/>
          <w:bCs w:val="0"/>
          <w:color w:val="auto"/>
          <w:highlight w:val="none"/>
        </w:rPr>
      </w:pPr>
      <w:r>
        <w:rPr>
          <w:rFonts w:ascii="Times New Roman" w:hAnsi="Times New Roman" w:eastAsia="仿宋_GB2312"/>
          <w:b w:val="0"/>
          <w:bCs w:val="0"/>
          <w:color w:val="auto"/>
          <w:highlight w:val="none"/>
        </w:rPr>
        <w:t>4.绩效评价的范围</w:t>
      </w:r>
    </w:p>
    <w:p w14:paraId="693547FB">
      <w:pPr>
        <w:pStyle w:val="10"/>
        <w:widowControl w:val="0"/>
        <w:shd w:val="clear" w:fill="FFFFFF" w:themeFill="background1"/>
        <w:spacing w:before="0" w:after="0" w:line="560" w:lineRule="exact"/>
        <w:ind w:firstLine="640" w:firstLineChars="200"/>
        <w:jc w:val="both"/>
        <w:outlineLvl w:val="9"/>
        <w:rPr>
          <w:rFonts w:ascii="Times New Roman" w:hAnsi="Times New Roman" w:eastAsia="仿宋_GB2312"/>
          <w:b w:val="0"/>
          <w:bCs w:val="0"/>
          <w:color w:val="auto"/>
          <w:highlight w:val="none"/>
        </w:rPr>
      </w:pPr>
      <w:r>
        <w:rPr>
          <w:rFonts w:ascii="Times New Roman" w:hAnsi="Times New Roman" w:eastAsia="仿宋_GB2312"/>
          <w:b w:val="0"/>
          <w:bCs w:val="0"/>
          <w:color w:val="auto"/>
          <w:highlight w:val="none"/>
        </w:rPr>
        <w:t>本项目预算绩效评价报告的评价范围广泛而全面，涵盖了从项目立项至评价时点期间的所有关键预算活动和财务流程。具体而言，评价范围包括但不限于以下几个方面：</w:t>
      </w:r>
    </w:p>
    <w:p w14:paraId="3F68C4C9">
      <w:pPr>
        <w:pStyle w:val="10"/>
        <w:widowControl w:val="0"/>
        <w:numPr>
          <w:ilvl w:val="0"/>
          <w:numId w:val="0"/>
        </w:numPr>
        <w:shd w:val="clear" w:fill="FFFFFF" w:themeFill="background1"/>
        <w:spacing w:before="0" w:after="0" w:line="560" w:lineRule="exact"/>
        <w:ind w:firstLine="640" w:firstLineChars="200"/>
        <w:jc w:val="both"/>
        <w:outlineLvl w:val="9"/>
        <w:rPr>
          <w:rFonts w:ascii="Times New Roman" w:hAnsi="Times New Roman" w:eastAsia="仿宋_GB2312"/>
          <w:b w:val="0"/>
          <w:bCs w:val="0"/>
          <w:color w:val="auto"/>
          <w:highlight w:val="none"/>
        </w:rPr>
      </w:pPr>
      <w:r>
        <w:rPr>
          <w:rFonts w:hint="eastAsia" w:ascii="Times New Roman" w:hAnsi="Times New Roman" w:eastAsia="仿宋_GB2312"/>
          <w:b w:val="0"/>
          <w:bCs w:val="0"/>
          <w:color w:val="auto"/>
          <w:highlight w:val="none"/>
          <w:lang w:eastAsia="zh-CN"/>
        </w:rPr>
        <w:t>（</w:t>
      </w:r>
      <w:r>
        <w:rPr>
          <w:rFonts w:hint="eastAsia" w:ascii="Times New Roman" w:hAnsi="Times New Roman" w:eastAsia="仿宋_GB2312"/>
          <w:b w:val="0"/>
          <w:bCs w:val="0"/>
          <w:color w:val="auto"/>
          <w:highlight w:val="none"/>
          <w:lang w:val="en-US" w:eastAsia="zh-CN"/>
        </w:rPr>
        <w:t>1</w:t>
      </w:r>
      <w:r>
        <w:rPr>
          <w:rFonts w:hint="eastAsia" w:ascii="Times New Roman" w:hAnsi="Times New Roman" w:eastAsia="仿宋_GB2312"/>
          <w:b w:val="0"/>
          <w:bCs w:val="0"/>
          <w:color w:val="auto"/>
          <w:highlight w:val="none"/>
          <w:lang w:eastAsia="zh-CN"/>
        </w:rPr>
        <w:t>）</w:t>
      </w:r>
      <w:r>
        <w:rPr>
          <w:rFonts w:ascii="Times New Roman" w:hAnsi="Times New Roman" w:eastAsia="仿宋_GB2312"/>
          <w:b w:val="0"/>
          <w:bCs w:val="0"/>
          <w:color w:val="auto"/>
          <w:highlight w:val="none"/>
        </w:rPr>
        <w:t>项目预算编制与执行：全面审视项目预算的编制依据、合理性、科学性以及实际执行情况，包括预算调整的原因和效果。</w:t>
      </w:r>
    </w:p>
    <w:p w14:paraId="6D6CB0BA">
      <w:pPr>
        <w:pStyle w:val="10"/>
        <w:widowControl w:val="0"/>
        <w:numPr>
          <w:ilvl w:val="0"/>
          <w:numId w:val="0"/>
        </w:numPr>
        <w:shd w:val="clear" w:fill="FFFFFF" w:themeFill="background1"/>
        <w:spacing w:before="0" w:after="0" w:line="560" w:lineRule="exact"/>
        <w:ind w:firstLine="640" w:firstLineChars="200"/>
        <w:jc w:val="both"/>
        <w:outlineLvl w:val="9"/>
        <w:rPr>
          <w:rFonts w:ascii="Times New Roman" w:hAnsi="Times New Roman" w:eastAsia="仿宋_GB2312"/>
          <w:b w:val="0"/>
          <w:bCs w:val="0"/>
          <w:color w:val="auto"/>
          <w:highlight w:val="none"/>
        </w:rPr>
      </w:pPr>
      <w:r>
        <w:rPr>
          <w:rFonts w:hint="eastAsia" w:ascii="Times New Roman" w:hAnsi="Times New Roman" w:eastAsia="仿宋_GB2312"/>
          <w:b w:val="0"/>
          <w:bCs w:val="0"/>
          <w:color w:val="auto"/>
          <w:highlight w:val="none"/>
          <w:lang w:eastAsia="zh-CN"/>
        </w:rPr>
        <w:t>（</w:t>
      </w:r>
      <w:r>
        <w:rPr>
          <w:rFonts w:hint="eastAsia" w:ascii="Times New Roman" w:hAnsi="Times New Roman" w:eastAsia="仿宋_GB2312"/>
          <w:b w:val="0"/>
          <w:bCs w:val="0"/>
          <w:color w:val="auto"/>
          <w:highlight w:val="none"/>
          <w:lang w:val="en-US" w:eastAsia="zh-CN"/>
        </w:rPr>
        <w:t>2</w:t>
      </w:r>
      <w:r>
        <w:rPr>
          <w:rFonts w:hint="eastAsia" w:ascii="Times New Roman" w:hAnsi="Times New Roman" w:eastAsia="仿宋_GB2312"/>
          <w:b w:val="0"/>
          <w:bCs w:val="0"/>
          <w:color w:val="auto"/>
          <w:highlight w:val="none"/>
          <w:lang w:eastAsia="zh-CN"/>
        </w:rPr>
        <w:t>）</w:t>
      </w:r>
      <w:r>
        <w:rPr>
          <w:rFonts w:ascii="Times New Roman" w:hAnsi="Times New Roman" w:eastAsia="仿宋_GB2312"/>
          <w:b w:val="0"/>
          <w:bCs w:val="0"/>
          <w:color w:val="auto"/>
          <w:highlight w:val="none"/>
        </w:rPr>
        <w:t>资金管理：深入分析项目资金的分配、使用和监管情况</w:t>
      </w:r>
      <w:r>
        <w:rPr>
          <w:rFonts w:hint="eastAsia" w:ascii="Times New Roman" w:hAnsi="Times New Roman" w:eastAsia="仿宋_GB2312"/>
          <w:b w:val="0"/>
          <w:bCs w:val="0"/>
          <w:color w:val="auto"/>
          <w:highlight w:val="none"/>
          <w:lang w:eastAsia="zh-CN"/>
        </w:rPr>
        <w:t>。</w:t>
      </w:r>
      <w:r>
        <w:rPr>
          <w:rFonts w:hint="eastAsia" w:ascii="Times New Roman" w:hAnsi="Times New Roman" w:eastAsia="仿宋_GB2312"/>
          <w:b w:val="0"/>
          <w:bCs w:val="0"/>
          <w:color w:val="auto"/>
          <w:highlight w:val="none"/>
          <w:lang w:val="en-US" w:eastAsia="zh-CN"/>
        </w:rPr>
        <w:t>我中心项目资金使用监管由沙依巴克区指导中心财务每季度进行考核，是否存在超出项目要求使用范围，查阅每一笔凭证记录，审批支出是否有领导签字，发票是否齐全，是否上会讨论，按照流程进行使用经费，</w:t>
      </w:r>
      <w:r>
        <w:rPr>
          <w:rFonts w:ascii="Times New Roman" w:hAnsi="Times New Roman" w:eastAsia="仿宋_GB2312"/>
          <w:b w:val="0"/>
          <w:bCs w:val="0"/>
          <w:color w:val="auto"/>
          <w:highlight w:val="none"/>
        </w:rPr>
        <w:t>确保资金使用的合规性、高效性和透明度。</w:t>
      </w:r>
    </w:p>
    <w:p w14:paraId="32FAA4C7">
      <w:pPr>
        <w:pStyle w:val="10"/>
        <w:widowControl w:val="0"/>
        <w:numPr>
          <w:ilvl w:val="0"/>
          <w:numId w:val="0"/>
        </w:numPr>
        <w:shd w:val="clear" w:fill="FFFFFF" w:themeFill="background1"/>
        <w:spacing w:before="0" w:after="0" w:line="560" w:lineRule="exact"/>
        <w:ind w:firstLine="640" w:firstLineChars="200"/>
        <w:jc w:val="both"/>
        <w:outlineLvl w:val="9"/>
        <w:rPr>
          <w:rFonts w:ascii="Times New Roman" w:hAnsi="Times New Roman" w:eastAsia="仿宋_GB2312"/>
          <w:b w:val="0"/>
          <w:bCs w:val="0"/>
          <w:color w:val="auto"/>
          <w:highlight w:val="none"/>
        </w:rPr>
      </w:pPr>
      <w:r>
        <w:rPr>
          <w:rFonts w:hint="eastAsia" w:ascii="Times New Roman" w:hAnsi="Times New Roman" w:eastAsia="仿宋_GB2312"/>
          <w:b w:val="0"/>
          <w:bCs w:val="0"/>
          <w:color w:val="auto"/>
          <w:highlight w:val="none"/>
          <w:lang w:eastAsia="zh-CN"/>
        </w:rPr>
        <w:t>（</w:t>
      </w:r>
      <w:r>
        <w:rPr>
          <w:rFonts w:hint="eastAsia" w:ascii="Times New Roman" w:hAnsi="Times New Roman" w:eastAsia="仿宋_GB2312"/>
          <w:b w:val="0"/>
          <w:bCs w:val="0"/>
          <w:color w:val="auto"/>
          <w:highlight w:val="none"/>
          <w:lang w:val="en-US" w:eastAsia="zh-CN"/>
        </w:rPr>
        <w:t>3</w:t>
      </w:r>
      <w:r>
        <w:rPr>
          <w:rFonts w:hint="eastAsia" w:ascii="Times New Roman" w:hAnsi="Times New Roman" w:eastAsia="仿宋_GB2312"/>
          <w:b w:val="0"/>
          <w:bCs w:val="0"/>
          <w:color w:val="auto"/>
          <w:highlight w:val="none"/>
          <w:lang w:eastAsia="zh-CN"/>
        </w:rPr>
        <w:t>）</w:t>
      </w:r>
      <w:r>
        <w:rPr>
          <w:rFonts w:ascii="Times New Roman" w:hAnsi="Times New Roman" w:eastAsia="仿宋_GB2312"/>
          <w:b w:val="0"/>
          <w:bCs w:val="0"/>
          <w:color w:val="auto"/>
          <w:highlight w:val="none"/>
        </w:rPr>
        <w:t>项目实施进度与产出：</w:t>
      </w:r>
      <w:r>
        <w:rPr>
          <w:rFonts w:hint="eastAsia" w:ascii="Times New Roman" w:hAnsi="Times New Roman" w:eastAsia="仿宋_GB2312"/>
          <w:b w:val="0"/>
          <w:bCs w:val="0"/>
          <w:color w:val="auto"/>
          <w:highlight w:val="none"/>
          <w:lang w:val="en-US" w:eastAsia="zh-CN"/>
        </w:rPr>
        <w:t>中心每月对各站召开基本公共卫生工作项目推进会，及时指导各站的项目服务水平，每季度对各站开展基本公共卫生服务项目进行考核，查阅档案的真实性和规范性，针对考核中存在的问题限期整改，并上报整改报告及佐证资料。每季度结束后，由沙区指导中心、疾控中心、妇幼保健服务中心成立的绩效考核领导小组对我中心开展的十五项基本公共卫生服务工作进行考核，考核结束后进行排名、通报。第四季度绩效考核</w:t>
      </w:r>
      <w:r>
        <w:rPr>
          <w:rFonts w:ascii="Times New Roman" w:hAnsi="Times New Roman" w:eastAsia="仿宋_GB2312"/>
          <w:b w:val="0"/>
          <w:bCs w:val="0"/>
          <w:color w:val="auto"/>
          <w:highlight w:val="none"/>
        </w:rPr>
        <w:t>评估项目各项任务是否按照</w:t>
      </w:r>
      <w:r>
        <w:rPr>
          <w:rFonts w:hint="eastAsia" w:ascii="Times New Roman" w:hAnsi="Times New Roman" w:eastAsia="仿宋_GB2312"/>
          <w:b w:val="0"/>
          <w:bCs w:val="0"/>
          <w:color w:val="auto"/>
          <w:highlight w:val="none"/>
          <w:lang w:val="en-US" w:eastAsia="zh-CN"/>
        </w:rPr>
        <w:t>年初的目标</w:t>
      </w:r>
      <w:r>
        <w:rPr>
          <w:rFonts w:ascii="Times New Roman" w:hAnsi="Times New Roman" w:eastAsia="仿宋_GB2312"/>
          <w:b w:val="0"/>
          <w:bCs w:val="0"/>
          <w:color w:val="auto"/>
          <w:highlight w:val="none"/>
        </w:rPr>
        <w:t>按时完成，以及项目产出的数量、质量和时效性是否符合预期。</w:t>
      </w:r>
    </w:p>
    <w:p w14:paraId="07B0F3D3">
      <w:pPr>
        <w:pStyle w:val="10"/>
        <w:widowControl w:val="0"/>
        <w:numPr>
          <w:ilvl w:val="0"/>
          <w:numId w:val="0"/>
        </w:numPr>
        <w:shd w:val="clear" w:fill="FFFFFF" w:themeFill="background1"/>
        <w:spacing w:before="0" w:after="0" w:line="560" w:lineRule="exact"/>
        <w:ind w:firstLine="640" w:firstLineChars="200"/>
        <w:jc w:val="both"/>
        <w:outlineLvl w:val="9"/>
        <w:rPr>
          <w:rFonts w:ascii="Times New Roman" w:hAnsi="Times New Roman" w:eastAsia="仿宋_GB2312"/>
          <w:b w:val="0"/>
          <w:bCs w:val="0"/>
          <w:color w:val="auto"/>
          <w:highlight w:val="none"/>
        </w:rPr>
      </w:pPr>
      <w:r>
        <w:rPr>
          <w:rFonts w:hint="eastAsia" w:ascii="Times New Roman" w:hAnsi="Times New Roman" w:eastAsia="仿宋_GB2312"/>
          <w:b w:val="0"/>
          <w:bCs w:val="0"/>
          <w:color w:val="auto"/>
          <w:highlight w:val="none"/>
          <w:lang w:eastAsia="zh-CN"/>
        </w:rPr>
        <w:t>（</w:t>
      </w:r>
      <w:r>
        <w:rPr>
          <w:rFonts w:hint="eastAsia" w:ascii="Times New Roman" w:hAnsi="Times New Roman" w:eastAsia="仿宋_GB2312"/>
          <w:b w:val="0"/>
          <w:bCs w:val="0"/>
          <w:color w:val="auto"/>
          <w:highlight w:val="none"/>
          <w:lang w:val="en-US" w:eastAsia="zh-CN"/>
        </w:rPr>
        <w:t>4</w:t>
      </w:r>
      <w:r>
        <w:rPr>
          <w:rFonts w:hint="eastAsia" w:ascii="Times New Roman" w:hAnsi="Times New Roman" w:eastAsia="仿宋_GB2312"/>
          <w:b w:val="0"/>
          <w:bCs w:val="0"/>
          <w:color w:val="auto"/>
          <w:highlight w:val="none"/>
          <w:lang w:eastAsia="zh-CN"/>
        </w:rPr>
        <w:t>）</w:t>
      </w:r>
      <w:r>
        <w:rPr>
          <w:rFonts w:ascii="Times New Roman" w:hAnsi="Times New Roman" w:eastAsia="仿宋_GB2312"/>
          <w:b w:val="0"/>
          <w:bCs w:val="0"/>
          <w:color w:val="auto"/>
          <w:highlight w:val="none"/>
        </w:rPr>
        <w:t>社会影响：考察项目对社会方面的综合影响。</w:t>
      </w:r>
    </w:p>
    <w:p w14:paraId="340DAFF3">
      <w:pPr>
        <w:shd w:val="clear" w:fill="FFFFFF" w:themeFill="background1"/>
        <w:spacing w:line="560" w:lineRule="exact"/>
        <w:ind w:firstLine="643" w:firstLineChars="200"/>
        <w:rPr>
          <w:color w:val="auto"/>
          <w:highlight w:val="none"/>
        </w:rPr>
      </w:pPr>
      <w:r>
        <w:rPr>
          <w:rFonts w:eastAsia="楷体_GB2312"/>
          <w:b/>
          <w:bCs/>
          <w:color w:val="auto"/>
          <w:sz w:val="32"/>
          <w:szCs w:val="32"/>
          <w:highlight w:val="none"/>
        </w:rPr>
        <w:t>（二）绩效评价原则、评价指标体系（详情见表1）、评价方法、评价标准。</w:t>
      </w:r>
    </w:p>
    <w:p w14:paraId="71C56190">
      <w:pPr>
        <w:pStyle w:val="10"/>
        <w:widowControl w:val="0"/>
        <w:shd w:val="clear" w:fill="FFFFFF" w:themeFill="background1"/>
        <w:spacing w:before="0" w:after="0" w:line="560" w:lineRule="exact"/>
        <w:ind w:firstLine="640" w:firstLineChars="200"/>
        <w:jc w:val="both"/>
        <w:outlineLvl w:val="9"/>
        <w:rPr>
          <w:rFonts w:ascii="Times New Roman" w:hAnsi="Times New Roman" w:eastAsia="仿宋_GB2312"/>
          <w:b w:val="0"/>
          <w:bCs w:val="0"/>
          <w:color w:val="auto"/>
          <w:highlight w:val="none"/>
        </w:rPr>
      </w:pPr>
      <w:r>
        <w:rPr>
          <w:rFonts w:ascii="Times New Roman" w:hAnsi="Times New Roman" w:eastAsia="仿宋_GB2312"/>
          <w:b w:val="0"/>
          <w:bCs w:val="0"/>
          <w:color w:val="auto"/>
          <w:highlight w:val="none"/>
        </w:rPr>
        <w:t>1</w:t>
      </w:r>
      <w:r>
        <w:rPr>
          <w:rFonts w:ascii="Times New Roman" w:hAnsi="Times New Roman" w:eastAsia="仿宋_GB2312"/>
          <w:color w:val="auto"/>
          <w:highlight w:val="none"/>
        </w:rPr>
        <w:t>.</w:t>
      </w:r>
      <w:r>
        <w:rPr>
          <w:rFonts w:ascii="Times New Roman" w:hAnsi="Times New Roman" w:eastAsia="仿宋_GB2312"/>
          <w:b w:val="0"/>
          <w:bCs w:val="0"/>
          <w:color w:val="auto"/>
          <w:highlight w:val="none"/>
        </w:rPr>
        <w:t>绩效评价原则</w:t>
      </w:r>
    </w:p>
    <w:p w14:paraId="6A399A54">
      <w:pPr>
        <w:shd w:val="clear" w:fill="FFFFFF" w:themeFill="background1"/>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本次项目绩效评价遵循以下基本原则：</w:t>
      </w:r>
    </w:p>
    <w:p w14:paraId="2DA7AE7F">
      <w:pPr>
        <w:pStyle w:val="10"/>
        <w:shd w:val="clear" w:fill="FFFFFF" w:themeFill="background1"/>
        <w:spacing w:before="0" w:after="0" w:line="560" w:lineRule="exact"/>
        <w:ind w:firstLine="640" w:firstLineChars="200"/>
        <w:jc w:val="both"/>
        <w:outlineLvl w:val="9"/>
        <w:rPr>
          <w:rFonts w:ascii="Times New Roman" w:hAnsi="Times New Roman" w:eastAsia="仿宋_GB2312"/>
          <w:b w:val="0"/>
          <w:bCs w:val="0"/>
          <w:color w:val="auto"/>
          <w:highlight w:val="none"/>
        </w:rPr>
      </w:pPr>
      <w:r>
        <w:rPr>
          <w:rFonts w:ascii="Times New Roman" w:hAnsi="Times New Roman" w:eastAsia="仿宋_GB2312"/>
          <w:b w:val="0"/>
          <w:bCs w:val="0"/>
          <w:color w:val="auto"/>
          <w:highlight w:val="none"/>
        </w:rPr>
        <w:t>（1）科学公正。绩效评价应当运用科学合理的方法，按照规范的程序，对项目绩效进行客观、公正的反映。</w:t>
      </w:r>
    </w:p>
    <w:p w14:paraId="389D85C2">
      <w:pPr>
        <w:pStyle w:val="10"/>
        <w:shd w:val="clear" w:fill="FFFFFF" w:themeFill="background1"/>
        <w:spacing w:before="0" w:after="0" w:line="560" w:lineRule="exact"/>
        <w:ind w:firstLine="640" w:firstLineChars="200"/>
        <w:jc w:val="both"/>
        <w:outlineLvl w:val="9"/>
        <w:rPr>
          <w:rFonts w:ascii="Times New Roman" w:hAnsi="Times New Roman" w:eastAsia="仿宋_GB2312"/>
          <w:b w:val="0"/>
          <w:bCs w:val="0"/>
          <w:color w:val="auto"/>
          <w:highlight w:val="none"/>
        </w:rPr>
      </w:pPr>
      <w:r>
        <w:rPr>
          <w:rFonts w:ascii="Times New Roman" w:hAnsi="Times New Roman" w:eastAsia="仿宋_GB2312"/>
          <w:b w:val="0"/>
          <w:bCs w:val="0"/>
          <w:color w:val="auto"/>
          <w:highlight w:val="none"/>
        </w:rPr>
        <w:t>（2）统筹兼顾。单位自评、部门评价和财政评价应职责明确，各有侧重，相互衔接。单位自评应由项目单位自主实施，即“谁支出、谁自评”。部门评价和财政评价应在单位自评的基础上开展。</w:t>
      </w:r>
    </w:p>
    <w:p w14:paraId="7D975C5F">
      <w:pPr>
        <w:pStyle w:val="10"/>
        <w:shd w:val="clear" w:fill="FFFFFF" w:themeFill="background1"/>
        <w:spacing w:before="0" w:after="0" w:line="560" w:lineRule="exact"/>
        <w:ind w:firstLine="640" w:firstLineChars="200"/>
        <w:jc w:val="both"/>
        <w:outlineLvl w:val="9"/>
        <w:rPr>
          <w:rFonts w:ascii="Times New Roman" w:hAnsi="Times New Roman" w:eastAsia="仿宋_GB2312"/>
          <w:b w:val="0"/>
          <w:bCs w:val="0"/>
          <w:color w:val="auto"/>
          <w:highlight w:val="none"/>
        </w:rPr>
      </w:pPr>
      <w:r>
        <w:rPr>
          <w:rFonts w:ascii="Times New Roman" w:hAnsi="Times New Roman" w:eastAsia="仿宋_GB2312"/>
          <w:b w:val="0"/>
          <w:bCs w:val="0"/>
          <w:color w:val="auto"/>
          <w:highlight w:val="none"/>
        </w:rPr>
        <w:t>（3）激励约束。绩效评价结果应与预算安排、政策调整、改进管理实质性挂钩，体现奖优罚劣和激励相容导向，有效要安排、低效要压减、无效要问责。</w:t>
      </w:r>
    </w:p>
    <w:p w14:paraId="55CC3337">
      <w:pPr>
        <w:pStyle w:val="10"/>
        <w:shd w:val="clear" w:fill="FFFFFF" w:themeFill="background1"/>
        <w:spacing w:before="0" w:after="0" w:line="560" w:lineRule="exact"/>
        <w:ind w:firstLine="640" w:firstLineChars="200"/>
        <w:jc w:val="both"/>
        <w:outlineLvl w:val="9"/>
        <w:rPr>
          <w:rFonts w:ascii="Times New Roman" w:hAnsi="Times New Roman" w:eastAsia="仿宋_GB2312"/>
          <w:b w:val="0"/>
          <w:bCs w:val="0"/>
          <w:color w:val="auto"/>
          <w:highlight w:val="none"/>
        </w:rPr>
      </w:pPr>
      <w:r>
        <w:rPr>
          <w:rFonts w:ascii="Times New Roman" w:hAnsi="Times New Roman" w:eastAsia="仿宋_GB2312"/>
          <w:b w:val="0"/>
          <w:bCs w:val="0"/>
          <w:color w:val="auto"/>
          <w:highlight w:val="none"/>
        </w:rPr>
        <w:t>（4）公开透明。绩效评价结果应依法依规公开，并自觉接受社会监督。</w:t>
      </w:r>
    </w:p>
    <w:p w14:paraId="2925E1B6">
      <w:pPr>
        <w:pStyle w:val="10"/>
        <w:widowControl w:val="0"/>
        <w:shd w:val="clear" w:fill="FFFFFF" w:themeFill="background1"/>
        <w:spacing w:before="0" w:after="0" w:line="560" w:lineRule="exact"/>
        <w:ind w:firstLine="640" w:firstLineChars="200"/>
        <w:jc w:val="both"/>
        <w:outlineLvl w:val="9"/>
        <w:rPr>
          <w:rFonts w:ascii="Times New Roman" w:hAnsi="Times New Roman" w:eastAsia="仿宋_GB2312"/>
          <w:b w:val="0"/>
          <w:bCs w:val="0"/>
          <w:color w:val="auto"/>
          <w:highlight w:val="none"/>
        </w:rPr>
      </w:pPr>
      <w:r>
        <w:rPr>
          <w:rFonts w:ascii="Times New Roman" w:hAnsi="Times New Roman" w:eastAsia="仿宋_GB2312"/>
          <w:b w:val="0"/>
          <w:bCs w:val="0"/>
          <w:color w:val="auto"/>
          <w:highlight w:val="none"/>
        </w:rPr>
        <w:t>2</w:t>
      </w:r>
      <w:r>
        <w:rPr>
          <w:rFonts w:ascii="Times New Roman" w:hAnsi="Times New Roman" w:eastAsia="仿宋_GB2312"/>
          <w:color w:val="auto"/>
          <w:highlight w:val="none"/>
        </w:rPr>
        <w:t>.</w:t>
      </w:r>
      <w:r>
        <w:rPr>
          <w:rFonts w:ascii="Times New Roman" w:hAnsi="Times New Roman" w:eastAsia="仿宋_GB2312"/>
          <w:b w:val="0"/>
          <w:bCs w:val="0"/>
          <w:color w:val="auto"/>
          <w:highlight w:val="none"/>
        </w:rPr>
        <w:t>评价指标体系</w:t>
      </w:r>
    </w:p>
    <w:p w14:paraId="493D49C7">
      <w:pPr>
        <w:shd w:val="clear" w:fill="FFFFFF" w:themeFill="background1"/>
        <w:spacing w:line="560" w:lineRule="exact"/>
        <w:ind w:firstLine="708" w:firstLineChars="200"/>
        <w:rPr>
          <w:color w:val="auto"/>
          <w:spacing w:val="17"/>
          <w:sz w:val="32"/>
          <w:szCs w:val="32"/>
          <w:highlight w:val="none"/>
        </w:rPr>
      </w:pPr>
      <w:r>
        <w:rPr>
          <w:rFonts w:eastAsia="仿宋_GB2312"/>
          <w:color w:val="auto"/>
          <w:spacing w:val="17"/>
          <w:sz w:val="32"/>
          <w:szCs w:val="32"/>
          <w:highlight w:val="none"/>
        </w:rPr>
        <w:t>绩效评价框架是开展绩效评价的核心。绩效评价框架包括评价准则、关键评价问题、评价指标、数据来源、数据收集方法等。指标体系建立过程如下：</w:t>
      </w:r>
    </w:p>
    <w:p w14:paraId="417D9DBF">
      <w:pPr>
        <w:shd w:val="clear" w:fill="FFFFFF" w:themeFill="background1"/>
        <w:spacing w:line="560" w:lineRule="exact"/>
        <w:ind w:firstLine="708" w:firstLineChars="200"/>
        <w:rPr>
          <w:rFonts w:eastAsia="仿宋_GB2312"/>
          <w:color w:val="auto"/>
          <w:spacing w:val="17"/>
          <w:sz w:val="32"/>
          <w:szCs w:val="32"/>
          <w:highlight w:val="none"/>
        </w:rPr>
      </w:pPr>
      <w:r>
        <w:rPr>
          <w:rFonts w:eastAsia="仿宋_GB2312"/>
          <w:color w:val="auto"/>
          <w:spacing w:val="17"/>
          <w:sz w:val="32"/>
          <w:szCs w:val="32"/>
          <w:highlight w:val="none"/>
        </w:rPr>
        <w:t>（1）确定评价指标</w:t>
      </w:r>
    </w:p>
    <w:p w14:paraId="57F5CA55">
      <w:pPr>
        <w:shd w:val="clear" w:fill="FFFFFF" w:themeFill="background1"/>
        <w:spacing w:line="560" w:lineRule="exact"/>
        <w:ind w:firstLine="708" w:firstLineChars="200"/>
        <w:rPr>
          <w:rFonts w:eastAsia="仿宋_GB2312"/>
          <w:color w:val="auto"/>
          <w:spacing w:val="17"/>
          <w:sz w:val="32"/>
          <w:szCs w:val="32"/>
          <w:highlight w:val="none"/>
        </w:rPr>
      </w:pPr>
      <w:r>
        <w:rPr>
          <w:rFonts w:eastAsia="仿宋_GB2312"/>
          <w:color w:val="auto"/>
          <w:spacing w:val="17"/>
          <w:sz w:val="32"/>
          <w:szCs w:val="32"/>
          <w:highlight w:val="none"/>
        </w:rPr>
        <w:t>采用层次分析法，建立评价指标体系。绩效评价将指标分为项目决策指标、项目过程指标、项目产出指标、项目效益指标四个维度，最终形成一个由多个相互联系的指标组成的多层次指标体系。</w:t>
      </w:r>
    </w:p>
    <w:p w14:paraId="6E43430D">
      <w:pPr>
        <w:shd w:val="clear" w:fill="FFFFFF" w:themeFill="background1"/>
        <w:spacing w:line="560" w:lineRule="exact"/>
        <w:ind w:firstLine="708" w:firstLineChars="200"/>
        <w:rPr>
          <w:rFonts w:eastAsia="仿宋_GB2312"/>
          <w:color w:val="auto"/>
          <w:spacing w:val="17"/>
          <w:sz w:val="32"/>
          <w:szCs w:val="32"/>
          <w:highlight w:val="none"/>
        </w:rPr>
      </w:pPr>
      <w:r>
        <w:rPr>
          <w:rFonts w:eastAsia="仿宋_GB2312"/>
          <w:color w:val="auto"/>
          <w:spacing w:val="17"/>
          <w:sz w:val="32"/>
          <w:szCs w:val="32"/>
          <w:highlight w:val="none"/>
        </w:rPr>
        <w:t>（2）确定权重</w:t>
      </w:r>
    </w:p>
    <w:p w14:paraId="2CF346DF">
      <w:pPr>
        <w:shd w:val="clear" w:fill="FFFFFF" w:themeFill="background1"/>
        <w:spacing w:line="560" w:lineRule="exact"/>
        <w:ind w:firstLine="708" w:firstLineChars="200"/>
        <w:rPr>
          <w:rFonts w:eastAsia="仿宋_GB2312"/>
          <w:color w:val="auto"/>
          <w:spacing w:val="17"/>
          <w:sz w:val="32"/>
          <w:szCs w:val="32"/>
          <w:highlight w:val="none"/>
        </w:rPr>
      </w:pPr>
      <w:r>
        <w:rPr>
          <w:rFonts w:eastAsia="仿宋_GB2312"/>
          <w:color w:val="auto"/>
          <w:spacing w:val="17"/>
          <w:sz w:val="32"/>
          <w:szCs w:val="32"/>
          <w:highlight w:val="none"/>
        </w:rPr>
        <w:t>确定各个指标相对于项目总体绩效的权重分值。在绩效评价指标体系中，项目决策权重为20分，项目过程权重为20分，项目产出权重为40分，项目效益权重为20分。</w:t>
      </w:r>
    </w:p>
    <w:p w14:paraId="66109F8B">
      <w:pPr>
        <w:shd w:val="clear" w:fill="FFFFFF" w:themeFill="background1"/>
        <w:spacing w:line="560" w:lineRule="exact"/>
        <w:ind w:firstLine="708" w:firstLineChars="200"/>
        <w:rPr>
          <w:rFonts w:eastAsia="仿宋_GB2312"/>
          <w:color w:val="auto"/>
          <w:spacing w:val="17"/>
          <w:sz w:val="32"/>
          <w:szCs w:val="32"/>
          <w:highlight w:val="none"/>
        </w:rPr>
      </w:pPr>
      <w:r>
        <w:rPr>
          <w:rFonts w:eastAsia="仿宋_GB2312"/>
          <w:color w:val="auto"/>
          <w:spacing w:val="17"/>
          <w:sz w:val="32"/>
          <w:szCs w:val="32"/>
          <w:highlight w:val="none"/>
        </w:rPr>
        <w:t>（3）确定指标标准值</w:t>
      </w:r>
    </w:p>
    <w:p w14:paraId="385B386C">
      <w:pPr>
        <w:shd w:val="clear" w:fill="FFFFFF" w:themeFill="background1"/>
        <w:spacing w:line="560" w:lineRule="exact"/>
        <w:ind w:firstLine="708" w:firstLineChars="200"/>
        <w:rPr>
          <w:rFonts w:eastAsia="仿宋_GB2312"/>
          <w:color w:val="auto"/>
          <w:spacing w:val="17"/>
          <w:sz w:val="32"/>
          <w:szCs w:val="32"/>
          <w:highlight w:val="none"/>
        </w:rPr>
      </w:pPr>
      <w:r>
        <w:rPr>
          <w:rFonts w:eastAsia="仿宋_GB2312"/>
          <w:color w:val="auto"/>
          <w:spacing w:val="17"/>
          <w:sz w:val="32"/>
          <w:szCs w:val="32"/>
          <w:highlight w:val="none"/>
        </w:rPr>
        <w:t>指标标准值是绩效评价指标的尺度，既要反映同类项目的先进水平，又要符合项目的实际绩效水平。具体采用计划标准等确定此次绩效评价指标标准值。</w:t>
      </w:r>
    </w:p>
    <w:p w14:paraId="35C414D0">
      <w:pPr>
        <w:pStyle w:val="10"/>
        <w:shd w:val="clear" w:fill="FFFFFF" w:themeFill="background1"/>
        <w:spacing w:before="0" w:after="0" w:line="560" w:lineRule="exact"/>
        <w:ind w:firstLine="708" w:firstLineChars="200"/>
        <w:jc w:val="both"/>
        <w:rPr>
          <w:rFonts w:ascii="Times New Roman" w:hAnsi="Times New Roman" w:eastAsia="仿宋_GB2312"/>
          <w:b w:val="0"/>
          <w:bCs w:val="0"/>
          <w:color w:val="auto"/>
          <w:spacing w:val="17"/>
          <w:kern w:val="2"/>
          <w:highlight w:val="none"/>
        </w:rPr>
      </w:pPr>
      <w:r>
        <w:rPr>
          <w:rFonts w:ascii="Times New Roman" w:hAnsi="Times New Roman" w:eastAsia="仿宋_GB2312"/>
          <w:b w:val="0"/>
          <w:bCs w:val="0"/>
          <w:color w:val="auto"/>
          <w:spacing w:val="17"/>
          <w:kern w:val="2"/>
          <w:highlight w:val="none"/>
        </w:rPr>
        <w:t>绩效评价总分值100分，根据综合评分结果，90（含）-100分为优、80（含）-90分为良、60（含）-80分为中、60分以下为差。</w:t>
      </w:r>
    </w:p>
    <w:p w14:paraId="1EF2843C">
      <w:pPr>
        <w:pStyle w:val="10"/>
        <w:widowControl w:val="0"/>
        <w:shd w:val="clear" w:fill="FFFFFF" w:themeFill="background1"/>
        <w:spacing w:before="0" w:after="0" w:line="560" w:lineRule="exact"/>
        <w:ind w:firstLine="708" w:firstLineChars="200"/>
        <w:jc w:val="both"/>
        <w:outlineLvl w:val="9"/>
        <w:rPr>
          <w:rFonts w:ascii="Times New Roman" w:hAnsi="Times New Roman" w:eastAsia="仿宋_GB2312"/>
          <w:b w:val="0"/>
          <w:bCs w:val="0"/>
          <w:color w:val="auto"/>
          <w:spacing w:val="17"/>
          <w:highlight w:val="none"/>
        </w:rPr>
      </w:pPr>
      <w:r>
        <w:rPr>
          <w:rFonts w:ascii="Times New Roman" w:hAnsi="Times New Roman" w:eastAsia="仿宋_GB2312"/>
          <w:b w:val="0"/>
          <w:bCs w:val="0"/>
          <w:color w:val="auto"/>
          <w:spacing w:val="17"/>
          <w:highlight w:val="none"/>
        </w:rPr>
        <w:t>具体评价指标体系详情见附件1</w:t>
      </w:r>
    </w:p>
    <w:p w14:paraId="2B365CD3">
      <w:pPr>
        <w:pStyle w:val="10"/>
        <w:widowControl w:val="0"/>
        <w:shd w:val="clear" w:fill="FFFFFF" w:themeFill="background1"/>
        <w:spacing w:before="0" w:after="0" w:line="560" w:lineRule="exact"/>
        <w:ind w:firstLine="640" w:firstLineChars="200"/>
        <w:jc w:val="both"/>
        <w:outlineLvl w:val="9"/>
        <w:rPr>
          <w:rFonts w:ascii="Times New Roman" w:hAnsi="Times New Roman" w:eastAsia="仿宋_GB2312"/>
          <w:b w:val="0"/>
          <w:bCs w:val="0"/>
          <w:color w:val="auto"/>
          <w:highlight w:val="none"/>
        </w:rPr>
      </w:pPr>
      <w:r>
        <w:rPr>
          <w:rFonts w:ascii="Times New Roman" w:hAnsi="Times New Roman" w:eastAsia="仿宋_GB2312"/>
          <w:b w:val="0"/>
          <w:bCs w:val="0"/>
          <w:color w:val="auto"/>
          <w:highlight w:val="none"/>
        </w:rPr>
        <w:t>3.绩效评价方法</w:t>
      </w:r>
    </w:p>
    <w:p w14:paraId="66C1FF1C">
      <w:pPr>
        <w:shd w:val="clear" w:fill="FFFFFF" w:themeFill="background1"/>
        <w:spacing w:line="560" w:lineRule="exact"/>
        <w:ind w:firstLine="708" w:firstLineChars="200"/>
        <w:rPr>
          <w:rFonts w:eastAsia="仿宋_GB2312"/>
          <w:color w:val="auto"/>
          <w:spacing w:val="17"/>
          <w:sz w:val="32"/>
          <w:szCs w:val="32"/>
          <w:highlight w:val="none"/>
        </w:rPr>
      </w:pPr>
      <w:r>
        <w:rPr>
          <w:rFonts w:eastAsia="仿宋_GB2312"/>
          <w:color w:val="auto"/>
          <w:spacing w:val="17"/>
          <w:sz w:val="32"/>
          <w:szCs w:val="32"/>
          <w:highlight w:val="none"/>
        </w:rPr>
        <w:t>绩效评价从项目决策、项目过程、项目产出、项目效益四个维度进行评价。评价对象为项目目标实施情况，评价核心为资金的支出完成情况和项目的产出效益。</w:t>
      </w:r>
    </w:p>
    <w:p w14:paraId="5649A67A">
      <w:pPr>
        <w:shd w:val="clear" w:fill="FFFFFF" w:themeFill="background1"/>
        <w:spacing w:line="560" w:lineRule="exact"/>
        <w:ind w:firstLine="708" w:firstLineChars="200"/>
        <w:rPr>
          <w:rFonts w:eastAsia="仿宋_GB2312"/>
          <w:color w:val="auto"/>
          <w:spacing w:val="17"/>
          <w:sz w:val="32"/>
          <w:szCs w:val="32"/>
          <w:highlight w:val="none"/>
        </w:rPr>
      </w:pPr>
      <w:r>
        <w:rPr>
          <w:rFonts w:eastAsia="仿宋_GB2312"/>
          <w:color w:val="auto"/>
          <w:spacing w:val="17"/>
          <w:sz w:val="32"/>
          <w:szCs w:val="32"/>
          <w:highlight w:val="none"/>
        </w:rPr>
        <w:t>本次评价指标中，既有定性指标又有定量指标，各类指标因考核内容不同和客观标准不同存在较大差异，因此核定具体指标时采用了不同方法，具体评价方法如下：</w:t>
      </w:r>
    </w:p>
    <w:p w14:paraId="23E9152D">
      <w:pPr>
        <w:shd w:val="clear" w:fill="FFFFFF" w:themeFill="background1"/>
        <w:spacing w:line="560" w:lineRule="exact"/>
        <w:ind w:firstLine="708" w:firstLineChars="200"/>
        <w:rPr>
          <w:rFonts w:eastAsia="仿宋_GB2312"/>
          <w:color w:val="auto"/>
          <w:spacing w:val="17"/>
          <w:sz w:val="32"/>
          <w:szCs w:val="32"/>
          <w:highlight w:val="none"/>
        </w:rPr>
      </w:pPr>
      <w:r>
        <w:rPr>
          <w:rFonts w:eastAsia="仿宋_GB2312"/>
          <w:color w:val="auto"/>
          <w:spacing w:val="17"/>
          <w:sz w:val="32"/>
          <w:szCs w:val="32"/>
          <w:highlight w:val="none"/>
        </w:rPr>
        <w:t xml:space="preserve">（一）成本效益分析法。是指将投入与产出、效益进行关联性分析的方法。 </w:t>
      </w:r>
    </w:p>
    <w:p w14:paraId="10C29C5F">
      <w:pPr>
        <w:shd w:val="clear" w:fill="FFFFFF" w:themeFill="background1"/>
        <w:spacing w:line="560" w:lineRule="exact"/>
        <w:ind w:firstLine="708" w:firstLineChars="200"/>
        <w:rPr>
          <w:rFonts w:eastAsia="仿宋_GB2312"/>
          <w:color w:val="auto"/>
          <w:spacing w:val="17"/>
          <w:sz w:val="32"/>
          <w:szCs w:val="32"/>
          <w:highlight w:val="none"/>
        </w:rPr>
      </w:pPr>
      <w:r>
        <w:rPr>
          <w:rFonts w:eastAsia="仿宋_GB2312"/>
          <w:color w:val="auto"/>
          <w:spacing w:val="17"/>
          <w:sz w:val="32"/>
          <w:szCs w:val="32"/>
          <w:highlight w:val="none"/>
        </w:rPr>
        <w:t>（二）比较法。是指将实施情况与绩效目标、历史情况、不同部门和地区同类支出情况进行比较的方法。</w:t>
      </w:r>
    </w:p>
    <w:p w14:paraId="52BD8FEB">
      <w:pPr>
        <w:pStyle w:val="10"/>
        <w:widowControl w:val="0"/>
        <w:shd w:val="clear" w:fill="FFFFFF" w:themeFill="background1"/>
        <w:spacing w:before="0" w:after="0" w:line="560" w:lineRule="exact"/>
        <w:ind w:firstLine="640" w:firstLineChars="200"/>
        <w:jc w:val="both"/>
        <w:outlineLvl w:val="9"/>
        <w:rPr>
          <w:rFonts w:ascii="Times New Roman" w:hAnsi="Times New Roman" w:eastAsia="仿宋_GB2312"/>
          <w:b w:val="0"/>
          <w:bCs w:val="0"/>
          <w:color w:val="auto"/>
          <w:highlight w:val="none"/>
        </w:rPr>
      </w:pPr>
      <w:r>
        <w:rPr>
          <w:rFonts w:ascii="Times New Roman" w:hAnsi="Times New Roman" w:eastAsia="仿宋_GB2312"/>
          <w:b w:val="0"/>
          <w:bCs w:val="0"/>
          <w:color w:val="auto"/>
          <w:highlight w:val="none"/>
        </w:rPr>
        <w:t>4</w:t>
      </w:r>
      <w:r>
        <w:rPr>
          <w:rFonts w:ascii="Times New Roman" w:hAnsi="Times New Roman" w:eastAsia="仿宋_GB2312"/>
          <w:color w:val="auto"/>
          <w:highlight w:val="none"/>
        </w:rPr>
        <w:t>.</w:t>
      </w:r>
      <w:r>
        <w:rPr>
          <w:rFonts w:ascii="Times New Roman" w:hAnsi="Times New Roman" w:eastAsia="仿宋_GB2312"/>
          <w:b w:val="0"/>
          <w:bCs w:val="0"/>
          <w:color w:val="auto"/>
          <w:highlight w:val="none"/>
        </w:rPr>
        <w:t>评价标准</w:t>
      </w:r>
    </w:p>
    <w:p w14:paraId="0454FF2B">
      <w:pPr>
        <w:pStyle w:val="10"/>
        <w:widowControl w:val="0"/>
        <w:shd w:val="clear" w:fill="FFFFFF" w:themeFill="background1"/>
        <w:spacing w:before="0" w:after="0" w:line="560" w:lineRule="exact"/>
        <w:ind w:firstLine="640" w:firstLineChars="200"/>
        <w:jc w:val="both"/>
        <w:outlineLvl w:val="9"/>
        <w:rPr>
          <w:rFonts w:ascii="Times New Roman" w:hAnsi="Times New Roman" w:eastAsia="仿宋_GB2312"/>
          <w:b w:val="0"/>
          <w:bCs w:val="0"/>
          <w:color w:val="auto"/>
          <w:highlight w:val="none"/>
        </w:rPr>
      </w:pPr>
      <w:r>
        <w:rPr>
          <w:rFonts w:ascii="Times New Roman" w:hAnsi="Times New Roman" w:eastAsia="仿宋_GB2312"/>
          <w:b w:val="0"/>
          <w:bCs w:val="0"/>
          <w:color w:val="auto"/>
          <w:highlight w:val="none"/>
        </w:rPr>
        <w:t>绩效评价标准通常包括计划标准、行业标准、历史标准等，用于对绩效指标完成情况进行比较、分析、评价。本次评价主要采用了</w:t>
      </w:r>
      <w:r>
        <w:rPr>
          <w:rFonts w:hint="eastAsia" w:ascii="Times New Roman" w:hAnsi="Times New Roman" w:eastAsia="仿宋_GB2312"/>
          <w:b w:val="0"/>
          <w:bCs w:val="0"/>
          <w:color w:val="auto"/>
          <w:highlight w:val="none"/>
        </w:rPr>
        <w:t>计划</w:t>
      </w:r>
      <w:r>
        <w:rPr>
          <w:rFonts w:ascii="Times New Roman" w:hAnsi="Times New Roman" w:eastAsia="仿宋_GB2312"/>
          <w:b w:val="0"/>
          <w:bCs w:val="0"/>
          <w:color w:val="auto"/>
          <w:highlight w:val="none"/>
        </w:rPr>
        <w:t>标准。</w:t>
      </w:r>
    </w:p>
    <w:p w14:paraId="1F9420C7">
      <w:pPr>
        <w:pStyle w:val="10"/>
        <w:widowControl w:val="0"/>
        <w:shd w:val="clear" w:fill="FFFFFF" w:themeFill="background1"/>
        <w:spacing w:before="0" w:after="0" w:line="560" w:lineRule="exact"/>
        <w:ind w:firstLine="640" w:firstLineChars="200"/>
        <w:jc w:val="both"/>
        <w:outlineLvl w:val="9"/>
        <w:rPr>
          <w:rFonts w:ascii="Times New Roman" w:hAnsi="Times New Roman" w:eastAsia="仿宋_GB2312"/>
          <w:b w:val="0"/>
          <w:bCs w:val="0"/>
          <w:color w:val="auto"/>
          <w:highlight w:val="none"/>
        </w:rPr>
      </w:pPr>
      <w:r>
        <w:rPr>
          <w:rFonts w:ascii="Times New Roman" w:hAnsi="Times New Roman" w:eastAsia="仿宋_GB2312"/>
          <w:b w:val="0"/>
          <w:bCs w:val="0"/>
          <w:color w:val="auto"/>
          <w:highlight w:val="none"/>
        </w:rPr>
        <w:t>（1）计划标准。指以预先制定的目标、计划、预算、定额等作为评价标准。</w:t>
      </w:r>
    </w:p>
    <w:p w14:paraId="52CAE497">
      <w:pPr>
        <w:pStyle w:val="10"/>
        <w:numPr>
          <w:ilvl w:val="0"/>
          <w:numId w:val="1"/>
        </w:numPr>
        <w:shd w:val="clear" w:fill="FFFFFF" w:themeFill="background1"/>
        <w:spacing w:before="0" w:after="0" w:line="560" w:lineRule="exact"/>
        <w:ind w:firstLine="711" w:firstLineChars="200"/>
        <w:jc w:val="both"/>
        <w:rPr>
          <w:rFonts w:ascii="Times New Roman" w:hAnsi="Times New Roman" w:eastAsia="楷体"/>
          <w:color w:val="auto"/>
          <w:spacing w:val="17"/>
          <w:highlight w:val="none"/>
        </w:rPr>
      </w:pPr>
      <w:r>
        <w:rPr>
          <w:rFonts w:ascii="Times New Roman" w:hAnsi="Times New Roman" w:eastAsia="楷体"/>
          <w:color w:val="auto"/>
          <w:spacing w:val="17"/>
          <w:highlight w:val="none"/>
        </w:rPr>
        <w:t>绩效评价工作过程</w:t>
      </w:r>
    </w:p>
    <w:p w14:paraId="4D46BBA5">
      <w:pPr>
        <w:shd w:val="clear" w:fill="FFFFFF" w:themeFill="background1"/>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（1）前期准备与规划</w:t>
      </w:r>
    </w:p>
    <w:p w14:paraId="0AC31A2D">
      <w:pPr>
        <w:shd w:val="clear" w:fill="FFFFFF" w:themeFill="background1"/>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在项目绩效评价工作启动之初，成立了专门的评价工作小组，小组成员由</w:t>
      </w:r>
      <w:r>
        <w:rPr>
          <w:rFonts w:hint="eastAsia" w:eastAsia="仿宋_GB2312"/>
          <w:color w:val="auto"/>
          <w:sz w:val="32"/>
          <w:szCs w:val="32"/>
          <w:highlight w:val="none"/>
        </w:rPr>
        <w:t>财务专家、项目管理专业人员</w:t>
      </w:r>
      <w:r>
        <w:rPr>
          <w:rFonts w:eastAsia="仿宋_GB2312"/>
          <w:color w:val="auto"/>
          <w:sz w:val="32"/>
          <w:szCs w:val="32"/>
          <w:highlight w:val="none"/>
        </w:rPr>
        <w:t>及相关领域技术骨干组成，确保从多角度、全方位对项目绩效进行评价。同时，明确了评价工作的目标、范围、重点及时间安排，</w:t>
      </w:r>
      <w:r>
        <w:rPr>
          <w:rFonts w:hint="eastAsia" w:eastAsia="仿宋_GB2312"/>
          <w:color w:val="auto"/>
          <w:sz w:val="32"/>
          <w:szCs w:val="32"/>
          <w:highlight w:val="none"/>
          <w:lang w:val="en-US" w:eastAsia="zh-CN"/>
        </w:rPr>
        <w:t>年初</w:t>
      </w:r>
      <w:r>
        <w:rPr>
          <w:rFonts w:eastAsia="仿宋_GB2312"/>
          <w:color w:val="auto"/>
          <w:sz w:val="32"/>
          <w:szCs w:val="32"/>
          <w:highlight w:val="none"/>
        </w:rPr>
        <w:t>制定了详细的</w:t>
      </w:r>
      <w:r>
        <w:rPr>
          <w:rFonts w:hint="eastAsia" w:eastAsia="仿宋_GB2312"/>
          <w:color w:val="auto"/>
          <w:sz w:val="32"/>
          <w:szCs w:val="32"/>
          <w:highlight w:val="none"/>
          <w:lang w:val="en-US" w:eastAsia="zh-CN"/>
        </w:rPr>
        <w:t>基本公共卫生</w:t>
      </w:r>
      <w:r>
        <w:rPr>
          <w:rFonts w:eastAsia="仿宋_GB2312"/>
          <w:color w:val="auto"/>
          <w:sz w:val="32"/>
          <w:szCs w:val="32"/>
          <w:highlight w:val="none"/>
        </w:rPr>
        <w:t>工作计划，</w:t>
      </w:r>
      <w:r>
        <w:rPr>
          <w:rFonts w:hint="eastAsia" w:eastAsia="仿宋_GB2312"/>
          <w:color w:val="auto"/>
          <w:sz w:val="32"/>
          <w:szCs w:val="32"/>
          <w:highlight w:val="none"/>
          <w:lang w:val="en-US" w:eastAsia="zh-CN"/>
        </w:rPr>
        <w:t>根据乌鲁木齐市疾控中心关于最新的项目指标要求，明确新的一年各项目指标，</w:t>
      </w:r>
      <w:r>
        <w:rPr>
          <w:rFonts w:eastAsia="仿宋_GB2312"/>
          <w:color w:val="auto"/>
          <w:sz w:val="32"/>
          <w:szCs w:val="32"/>
          <w:highlight w:val="none"/>
        </w:rPr>
        <w:t>为评价工作的顺利开展奠定了坚实基础。</w:t>
      </w:r>
    </w:p>
    <w:p w14:paraId="29B124DB">
      <w:pPr>
        <w:shd w:val="clear" w:fill="FFFFFF" w:themeFill="background1"/>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（2）指标体系构建</w:t>
      </w:r>
    </w:p>
    <w:p w14:paraId="08A6BB06">
      <w:pPr>
        <w:shd w:val="clear" w:fill="FFFFFF" w:themeFill="background1"/>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依据项目的性质、目标以及预期成果，构建了科学合理的绩效评价指标体系。该指标体系涵盖了</w:t>
      </w:r>
      <w:r>
        <w:rPr>
          <w:rFonts w:eastAsia="仿宋_GB2312"/>
          <w:color w:val="auto"/>
          <w:spacing w:val="17"/>
          <w:sz w:val="32"/>
          <w:szCs w:val="32"/>
          <w:highlight w:val="none"/>
        </w:rPr>
        <w:t>项目决策、项目过程、项目产出、项目效益四个维度</w:t>
      </w:r>
      <w:r>
        <w:rPr>
          <w:rFonts w:eastAsia="仿宋_GB2312"/>
          <w:color w:val="auto"/>
          <w:sz w:val="32"/>
          <w:szCs w:val="32"/>
          <w:highlight w:val="none"/>
        </w:rPr>
        <w:t>，选取了具有代表性和可衡量性的关键指标，并为每个指标设定了明确的评价标准与权重，确保评价结果能够全面、准确地反映项目的绩效状况。</w:t>
      </w:r>
    </w:p>
    <w:p w14:paraId="1CA956F3">
      <w:pPr>
        <w:shd w:val="clear" w:fill="FFFFFF" w:themeFill="background1"/>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（3）数据收集与整理</w:t>
      </w:r>
    </w:p>
    <w:p w14:paraId="4088E7B5">
      <w:pPr>
        <w:shd w:val="clear" w:fill="FFFFFF" w:themeFill="background1"/>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广泛收集与项目相关的各类数据，包括财务报表、项目文档、业务数据等。在数据收集过程中，注重数据的质量与完整性，对缺失或异常的数据进行了合理的处理和补充。随后，对收集到的数据进行了系统的整理与分类，为后续的数据分析提供了有力支持。</w:t>
      </w:r>
    </w:p>
    <w:p w14:paraId="227898AC">
      <w:pPr>
        <w:shd w:val="clear" w:fill="FFFFFF" w:themeFill="background1"/>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（4）数据分析与评估</w:t>
      </w:r>
    </w:p>
    <w:p w14:paraId="5B9027D6">
      <w:pPr>
        <w:shd w:val="clear" w:fill="FFFFFF" w:themeFill="background1"/>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2D474B98">
      <w:pPr>
        <w:shd w:val="clear" w:fill="FFFFFF" w:themeFill="background1"/>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（5）报告撰写与反馈</w:t>
      </w:r>
    </w:p>
    <w:p w14:paraId="1833ECB0">
      <w:pPr>
        <w:shd w:val="clear" w:fill="FFFFFF" w:themeFill="background1"/>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75D1C9B8">
      <w:pPr>
        <w:shd w:val="clear" w:fill="FFFFFF" w:themeFill="background1"/>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（6）后续跟踪与改进</w:t>
      </w:r>
    </w:p>
    <w:p w14:paraId="68B80C6B">
      <w:pPr>
        <w:shd w:val="clear" w:fill="FFFFFF" w:themeFill="background1"/>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7BA4F25A">
      <w:pPr>
        <w:numPr>
          <w:ilvl w:val="0"/>
          <w:numId w:val="2"/>
        </w:numPr>
        <w:shd w:val="clear" w:fill="FFFFFF" w:themeFill="background1"/>
        <w:spacing w:line="560" w:lineRule="exact"/>
        <w:ind w:firstLine="640" w:firstLineChars="200"/>
        <w:rPr>
          <w:rFonts w:eastAsia="黑体"/>
          <w:color w:val="auto"/>
          <w:sz w:val="32"/>
          <w:szCs w:val="32"/>
          <w:highlight w:val="none"/>
        </w:rPr>
      </w:pPr>
      <w:r>
        <w:rPr>
          <w:rFonts w:eastAsia="黑体"/>
          <w:color w:val="auto"/>
          <w:sz w:val="32"/>
          <w:szCs w:val="32"/>
          <w:highlight w:val="none"/>
        </w:rPr>
        <w:t>综合评价情况及评价结论（附相关评分表）</w:t>
      </w:r>
    </w:p>
    <w:p w14:paraId="5C41981A">
      <w:pPr>
        <w:pStyle w:val="10"/>
        <w:shd w:val="clear" w:fill="FFFFFF" w:themeFill="background1"/>
        <w:spacing w:before="0" w:after="0" w:line="560" w:lineRule="exact"/>
        <w:ind w:firstLine="643" w:firstLineChars="200"/>
        <w:jc w:val="both"/>
        <w:rPr>
          <w:rFonts w:ascii="Times New Roman" w:hAnsi="Times New Roman" w:eastAsia="楷体_GB2312"/>
          <w:color w:val="auto"/>
          <w:highlight w:val="none"/>
        </w:rPr>
      </w:pPr>
      <w:r>
        <w:rPr>
          <w:rFonts w:ascii="Times New Roman" w:hAnsi="Times New Roman" w:eastAsia="楷体_GB2312"/>
          <w:color w:val="auto"/>
          <w:highlight w:val="none"/>
        </w:rPr>
        <w:t>（一）评价情况</w:t>
      </w:r>
    </w:p>
    <w:p w14:paraId="1366B5B4">
      <w:pPr>
        <w:pStyle w:val="9"/>
        <w:widowControl/>
        <w:shd w:val="clear" w:fill="FFFFFF" w:themeFill="background1"/>
        <w:spacing w:beforeAutospacing="0" w:afterAutospacing="0" w:line="560" w:lineRule="exact"/>
        <w:ind w:firstLine="640" w:firstLineChars="200"/>
        <w:rPr>
          <w:rFonts w:eastAsia="仿宋_GB2312"/>
          <w:color w:val="auto"/>
          <w:sz w:val="32"/>
          <w:szCs w:val="32"/>
          <w:highlight w:val="none"/>
        </w:rPr>
      </w:pPr>
      <w:r>
        <w:rPr>
          <w:rFonts w:eastAsia="仿宋_GB2312"/>
          <w:color w:val="auto"/>
          <w:sz w:val="32"/>
          <w:szCs w:val="32"/>
          <w:highlight w:val="none"/>
        </w:rPr>
        <w:t>本项目的综合评价基于对项目各方面绩效的深入分析与评估。从项目目标的达成情况来看，</w:t>
      </w:r>
      <w:r>
        <w:rPr>
          <w:rFonts w:hint="eastAsia" w:eastAsia="仿宋_GB2312"/>
          <w:color w:val="auto"/>
          <w:sz w:val="32"/>
          <w:szCs w:val="32"/>
          <w:highlight w:val="none"/>
        </w:rPr>
        <w:t>基本公共卫生服务</w:t>
      </w:r>
      <w:r>
        <w:rPr>
          <w:rFonts w:eastAsia="仿宋_GB2312"/>
          <w:color w:val="auto"/>
          <w:sz w:val="32"/>
          <w:szCs w:val="32"/>
          <w:highlight w:val="none"/>
        </w:rPr>
        <w:t>在适龄儿童国家免疫规划疫苗接种率、居民规范化电子健康档案覆盖率等方面表现出色，达到了预期的标准与要求。同时，项目也在</w:t>
      </w:r>
      <w:r>
        <w:rPr>
          <w:rFonts w:hint="eastAsia" w:eastAsia="仿宋_GB2312"/>
          <w:color w:val="auto"/>
          <w:sz w:val="32"/>
          <w:szCs w:val="32"/>
          <w:highlight w:val="none"/>
        </w:rPr>
        <w:t>儿童及孕产妇管理</w:t>
      </w:r>
      <w:r>
        <w:rPr>
          <w:rFonts w:eastAsia="仿宋_GB2312"/>
          <w:color w:val="auto"/>
          <w:sz w:val="32"/>
          <w:szCs w:val="32"/>
          <w:highlight w:val="none"/>
        </w:rPr>
        <w:t>取得了显著的成效，如孕产妇系统管理率、0-6岁儿童健康管理率等。</w:t>
      </w:r>
    </w:p>
    <w:p w14:paraId="45961593">
      <w:pPr>
        <w:pStyle w:val="9"/>
        <w:widowControl/>
        <w:shd w:val="clear" w:fill="FFFFFF" w:themeFill="background1"/>
        <w:spacing w:beforeAutospacing="0" w:afterAutospacing="0" w:line="560" w:lineRule="exact"/>
        <w:ind w:firstLine="640" w:firstLineChars="200"/>
        <w:rPr>
          <w:rFonts w:eastAsia="仿宋_GB2312"/>
          <w:color w:val="auto"/>
          <w:sz w:val="32"/>
          <w:szCs w:val="32"/>
          <w:highlight w:val="none"/>
        </w:rPr>
      </w:pPr>
      <w:r>
        <w:rPr>
          <w:rFonts w:eastAsia="仿宋_GB2312"/>
          <w:color w:val="auto"/>
          <w:sz w:val="32"/>
          <w:szCs w:val="32"/>
          <w:highlight w:val="none"/>
        </w:rPr>
        <w:t>在项目管理方面，</w:t>
      </w:r>
      <w:r>
        <w:rPr>
          <w:rFonts w:hint="eastAsia" w:eastAsia="仿宋_GB2312"/>
          <w:color w:val="auto"/>
          <w:sz w:val="32"/>
          <w:szCs w:val="32"/>
          <w:highlight w:val="none"/>
        </w:rPr>
        <w:t>沙依巴克区妇幼保健服务中心</w:t>
      </w:r>
      <w:r>
        <w:rPr>
          <w:rFonts w:eastAsia="仿宋_GB2312"/>
          <w:color w:val="auto"/>
          <w:sz w:val="32"/>
          <w:szCs w:val="32"/>
          <w:highlight w:val="none"/>
        </w:rPr>
        <w:t>通过有效的规划、组织与协调，项目得以顺利实施，并在预算与时间上保持了良好的控制。</w:t>
      </w:r>
    </w:p>
    <w:p w14:paraId="6D037F9A">
      <w:pPr>
        <w:pStyle w:val="9"/>
        <w:widowControl/>
        <w:shd w:val="clear" w:fill="FFFFFF" w:themeFill="background1"/>
        <w:spacing w:beforeAutospacing="0" w:afterAutospacing="0" w:line="560" w:lineRule="exact"/>
        <w:ind w:firstLine="640" w:firstLineChars="200"/>
        <w:rPr>
          <w:rFonts w:eastAsia="仿宋_GB2312"/>
          <w:color w:val="auto"/>
          <w:sz w:val="32"/>
          <w:szCs w:val="32"/>
          <w:highlight w:val="none"/>
        </w:rPr>
      </w:pPr>
      <w:r>
        <w:rPr>
          <w:rFonts w:eastAsia="仿宋_GB2312"/>
          <w:color w:val="auto"/>
          <w:sz w:val="32"/>
          <w:szCs w:val="32"/>
          <w:highlight w:val="none"/>
        </w:rPr>
        <w:t>从项目效益的角度来看，本项目不仅实现了预期的社会效益</w:t>
      </w:r>
      <w:r>
        <w:rPr>
          <w:rFonts w:hint="eastAsia" w:eastAsia="仿宋_GB2312"/>
          <w:color w:val="auto"/>
          <w:sz w:val="32"/>
          <w:szCs w:val="32"/>
          <w:highlight w:val="none"/>
        </w:rPr>
        <w:t>（选填）</w:t>
      </w:r>
      <w:r>
        <w:rPr>
          <w:rFonts w:eastAsia="仿宋_GB2312"/>
          <w:color w:val="auto"/>
          <w:sz w:val="32"/>
          <w:szCs w:val="32"/>
          <w:highlight w:val="none"/>
        </w:rPr>
        <w:t>等方面产生了积极的影响。具体而言，</w:t>
      </w:r>
      <w:r>
        <w:rPr>
          <w:rFonts w:hint="eastAsia" w:eastAsia="仿宋_GB2312"/>
          <w:color w:val="auto"/>
          <w:sz w:val="32"/>
          <w:szCs w:val="32"/>
          <w:highlight w:val="none"/>
        </w:rPr>
        <w:t>基本公共卫生服务水平</w:t>
      </w:r>
      <w:r>
        <w:rPr>
          <w:rFonts w:eastAsia="仿宋_GB2312"/>
          <w:color w:val="auto"/>
          <w:sz w:val="32"/>
          <w:szCs w:val="32"/>
          <w:highlight w:val="none"/>
        </w:rPr>
        <w:t>、城乡居民公共卫生服务差距等方面的提升，为项目的利益相关者带来了实实在在的利益。</w:t>
      </w:r>
    </w:p>
    <w:p w14:paraId="123C8C66">
      <w:pPr>
        <w:pStyle w:val="9"/>
        <w:widowControl/>
        <w:shd w:val="clear" w:fill="FFFFFF" w:themeFill="background1"/>
        <w:spacing w:beforeAutospacing="0" w:afterAutospacing="0" w:line="560" w:lineRule="exact"/>
        <w:ind w:firstLine="640" w:firstLineChars="200"/>
        <w:rPr>
          <w:color w:val="auto"/>
          <w:highlight w:val="none"/>
        </w:rPr>
      </w:pPr>
      <w:r>
        <w:rPr>
          <w:rFonts w:eastAsia="仿宋_GB2312"/>
          <w:color w:val="auto"/>
          <w:sz w:val="32"/>
          <w:szCs w:val="32"/>
          <w:highlight w:val="none"/>
        </w:rPr>
        <w:t>综上所述，</w:t>
      </w:r>
      <w:r>
        <w:rPr>
          <w:rFonts w:hint="eastAsia" w:eastAsia="仿宋_GB2312"/>
          <w:color w:val="auto"/>
          <w:sz w:val="32"/>
          <w:szCs w:val="32"/>
          <w:highlight w:val="none"/>
        </w:rPr>
        <w:t>基本公共卫生服务项目</w:t>
      </w:r>
      <w:r>
        <w:rPr>
          <w:rFonts w:eastAsia="仿宋_GB2312"/>
          <w:color w:val="auto"/>
          <w:sz w:val="32"/>
          <w:szCs w:val="32"/>
          <w:highlight w:val="none"/>
        </w:rPr>
        <w:t>在绩效评价中表现出色，达到了项目的预期目标，并在多个方面取得了显著的成效。</w:t>
      </w:r>
    </w:p>
    <w:p w14:paraId="58FF5B98">
      <w:pPr>
        <w:pStyle w:val="10"/>
        <w:shd w:val="clear" w:fill="FFFFFF" w:themeFill="background1"/>
        <w:spacing w:before="0" w:after="0" w:line="560" w:lineRule="exact"/>
        <w:ind w:firstLine="643" w:firstLineChars="200"/>
        <w:jc w:val="both"/>
        <w:rPr>
          <w:rFonts w:ascii="Times New Roman" w:hAnsi="Times New Roman" w:eastAsia="楷体_GB2312"/>
          <w:color w:val="auto"/>
          <w:highlight w:val="none"/>
        </w:rPr>
      </w:pPr>
      <w:r>
        <w:rPr>
          <w:rFonts w:ascii="Times New Roman" w:hAnsi="Times New Roman" w:eastAsia="楷体_GB2312"/>
          <w:color w:val="auto"/>
          <w:highlight w:val="none"/>
        </w:rPr>
        <w:t>（二）评价结论</w:t>
      </w:r>
    </w:p>
    <w:p w14:paraId="5ADD0252">
      <w:pPr>
        <w:pStyle w:val="10"/>
        <w:widowControl w:val="0"/>
        <w:shd w:val="clear" w:fill="FFFFFF" w:themeFill="background1"/>
        <w:spacing w:before="0" w:after="0" w:line="560" w:lineRule="exact"/>
        <w:ind w:firstLine="640" w:firstLineChars="200"/>
        <w:jc w:val="both"/>
        <w:outlineLvl w:val="9"/>
        <w:rPr>
          <w:rFonts w:ascii="Times New Roman" w:hAnsi="Times New Roman" w:eastAsia="仿宋_GB2312"/>
          <w:b w:val="0"/>
          <w:bCs w:val="0"/>
          <w:color w:val="auto"/>
          <w:highlight w:val="none"/>
        </w:rPr>
      </w:pPr>
      <w:r>
        <w:rPr>
          <w:rFonts w:ascii="Times New Roman" w:hAnsi="Times New Roman" w:eastAsia="仿宋_GB2312"/>
          <w:b w:val="0"/>
          <w:bCs w:val="0"/>
          <w:color w:val="auto"/>
          <w:highlight w:val="none"/>
        </w:rPr>
        <w:t xml:space="preserve">运用绩效评价组制定的评价指标体系以及财政部《项目支出绩效评价管理办法》（财预〔2020〕10号）文件的评分标准，通过数据采集、问卷调查及访谈等方式，对本项目进行客观评价，最终评分结果：总得分为 </w:t>
      </w:r>
      <w:r>
        <w:rPr>
          <w:rFonts w:hint="eastAsia" w:ascii="Times New Roman" w:hAnsi="Times New Roman" w:eastAsia="仿宋_GB2312"/>
          <w:b w:val="0"/>
          <w:bCs w:val="0"/>
          <w:color w:val="auto"/>
          <w:highlight w:val="none"/>
        </w:rPr>
        <w:t>100</w:t>
      </w:r>
      <w:r>
        <w:rPr>
          <w:rFonts w:ascii="Times New Roman" w:hAnsi="Times New Roman" w:eastAsia="仿宋_GB2312"/>
          <w:b w:val="0"/>
          <w:bCs w:val="0"/>
          <w:color w:val="auto"/>
          <w:highlight w:val="none"/>
        </w:rPr>
        <w:t>分，属于“优”。其中，项目决策类指标权重为20分，得分为</w:t>
      </w:r>
      <w:r>
        <w:rPr>
          <w:rFonts w:hint="eastAsia" w:ascii="Times New Roman" w:hAnsi="Times New Roman" w:eastAsia="仿宋_GB2312"/>
          <w:b w:val="0"/>
          <w:bCs w:val="0"/>
          <w:color w:val="auto"/>
          <w:highlight w:val="none"/>
        </w:rPr>
        <w:t>20</w:t>
      </w:r>
      <w:r>
        <w:rPr>
          <w:rFonts w:ascii="Times New Roman" w:hAnsi="Times New Roman" w:eastAsia="仿宋_GB2312"/>
          <w:b w:val="0"/>
          <w:bCs w:val="0"/>
          <w:color w:val="auto"/>
          <w:highlight w:val="none"/>
        </w:rPr>
        <w:t xml:space="preserve">分，得分率为 </w:t>
      </w:r>
      <w:r>
        <w:rPr>
          <w:rFonts w:hint="eastAsia" w:ascii="Times New Roman" w:hAnsi="Times New Roman" w:eastAsia="仿宋_GB2312"/>
          <w:b w:val="0"/>
          <w:bCs w:val="0"/>
          <w:color w:val="auto"/>
          <w:highlight w:val="none"/>
        </w:rPr>
        <w:t>100</w:t>
      </w:r>
      <w:r>
        <w:rPr>
          <w:rFonts w:ascii="Times New Roman" w:hAnsi="Times New Roman" w:eastAsia="仿宋_GB2312"/>
          <w:b w:val="0"/>
          <w:bCs w:val="0"/>
          <w:color w:val="auto"/>
          <w:highlight w:val="none"/>
        </w:rPr>
        <w:t>%。项目过程类指标权重为20分，得分为</w:t>
      </w:r>
      <w:r>
        <w:rPr>
          <w:rFonts w:hint="eastAsia" w:ascii="Times New Roman" w:hAnsi="Times New Roman" w:eastAsia="仿宋_GB2312"/>
          <w:b w:val="0"/>
          <w:bCs w:val="0"/>
          <w:color w:val="auto"/>
          <w:highlight w:val="none"/>
        </w:rPr>
        <w:t>20</w:t>
      </w:r>
      <w:r>
        <w:rPr>
          <w:rFonts w:ascii="Times New Roman" w:hAnsi="Times New Roman" w:eastAsia="仿宋_GB2312"/>
          <w:b w:val="0"/>
          <w:bCs w:val="0"/>
          <w:color w:val="auto"/>
          <w:highlight w:val="none"/>
        </w:rPr>
        <w:t xml:space="preserve">分，得分率为 </w:t>
      </w:r>
      <w:r>
        <w:rPr>
          <w:rFonts w:hint="eastAsia" w:ascii="Times New Roman" w:hAnsi="Times New Roman" w:eastAsia="仿宋_GB2312"/>
          <w:b w:val="0"/>
          <w:bCs w:val="0"/>
          <w:color w:val="auto"/>
          <w:highlight w:val="none"/>
        </w:rPr>
        <w:t>100</w:t>
      </w:r>
      <w:r>
        <w:rPr>
          <w:rFonts w:ascii="Times New Roman" w:hAnsi="Times New Roman" w:eastAsia="仿宋_GB2312"/>
          <w:b w:val="0"/>
          <w:bCs w:val="0"/>
          <w:color w:val="auto"/>
          <w:highlight w:val="none"/>
        </w:rPr>
        <w:t>%。项目产出类指标权重为40分，得分为</w:t>
      </w:r>
      <w:r>
        <w:rPr>
          <w:rFonts w:hint="eastAsia" w:ascii="Times New Roman" w:hAnsi="Times New Roman" w:eastAsia="仿宋_GB2312"/>
          <w:b w:val="0"/>
          <w:bCs w:val="0"/>
          <w:color w:val="auto"/>
          <w:highlight w:val="none"/>
        </w:rPr>
        <w:t>40</w:t>
      </w:r>
      <w:r>
        <w:rPr>
          <w:rFonts w:ascii="Times New Roman" w:hAnsi="Times New Roman" w:eastAsia="仿宋_GB2312"/>
          <w:b w:val="0"/>
          <w:bCs w:val="0"/>
          <w:color w:val="auto"/>
          <w:highlight w:val="none"/>
        </w:rPr>
        <w:t>分，得分率为</w:t>
      </w:r>
      <w:r>
        <w:rPr>
          <w:rFonts w:hint="eastAsia" w:ascii="Times New Roman" w:hAnsi="Times New Roman" w:eastAsia="仿宋_GB2312"/>
          <w:b w:val="0"/>
          <w:bCs w:val="0"/>
          <w:color w:val="auto"/>
          <w:highlight w:val="none"/>
        </w:rPr>
        <w:t>100</w:t>
      </w:r>
      <w:r>
        <w:rPr>
          <w:rFonts w:ascii="Times New Roman" w:hAnsi="Times New Roman" w:eastAsia="仿宋_GB2312"/>
          <w:b w:val="0"/>
          <w:bCs w:val="0"/>
          <w:color w:val="auto"/>
          <w:highlight w:val="none"/>
        </w:rPr>
        <w:t>%。项目效益类指标权重为20分，得分为</w:t>
      </w:r>
      <w:r>
        <w:rPr>
          <w:rFonts w:hint="eastAsia" w:ascii="Times New Roman" w:hAnsi="Times New Roman" w:eastAsia="仿宋_GB2312"/>
          <w:b w:val="0"/>
          <w:bCs w:val="0"/>
          <w:color w:val="auto"/>
          <w:highlight w:val="none"/>
        </w:rPr>
        <w:t>20</w:t>
      </w:r>
      <w:r>
        <w:rPr>
          <w:rFonts w:ascii="Times New Roman" w:hAnsi="Times New Roman" w:eastAsia="仿宋_GB2312"/>
          <w:b w:val="0"/>
          <w:bCs w:val="0"/>
          <w:color w:val="auto"/>
          <w:highlight w:val="none"/>
        </w:rPr>
        <w:t>分，得分率为</w:t>
      </w:r>
      <w:r>
        <w:rPr>
          <w:rFonts w:hint="eastAsia" w:ascii="Times New Roman" w:hAnsi="Times New Roman" w:eastAsia="仿宋_GB2312"/>
          <w:b w:val="0"/>
          <w:bCs w:val="0"/>
          <w:color w:val="auto"/>
          <w:highlight w:val="none"/>
        </w:rPr>
        <w:t>100</w:t>
      </w:r>
      <w:r>
        <w:rPr>
          <w:rFonts w:ascii="Times New Roman" w:hAnsi="Times New Roman" w:eastAsia="仿宋_GB2312"/>
          <w:b w:val="0"/>
          <w:bCs w:val="0"/>
          <w:color w:val="auto"/>
          <w:highlight w:val="none"/>
        </w:rPr>
        <w:t>%。具体打分情况详见：附件1综合评分表。</w:t>
      </w:r>
    </w:p>
    <w:p w14:paraId="79082DC5">
      <w:pPr>
        <w:pStyle w:val="10"/>
        <w:shd w:val="clear" w:fill="FFFFFF" w:themeFill="background1"/>
        <w:spacing w:before="0" w:after="0"/>
        <w:rPr>
          <w:rFonts w:ascii="Times New Roman" w:hAnsi="Times New Roman" w:eastAsia="仿宋_GB2312"/>
          <w:color w:val="auto"/>
          <w:sz w:val="21"/>
          <w:szCs w:val="21"/>
          <w:highlight w:val="none"/>
        </w:rPr>
      </w:pPr>
      <w:r>
        <w:rPr>
          <w:rFonts w:ascii="Times New Roman" w:hAnsi="Times New Roman" w:eastAsia="仿宋_GB2312"/>
          <w:color w:val="auto"/>
          <w:sz w:val="21"/>
          <w:szCs w:val="21"/>
          <w:highlight w:val="none"/>
        </w:rPr>
        <w:t>表1综合评分表</w:t>
      </w:r>
    </w:p>
    <w:tbl>
      <w:tblPr>
        <w:tblStyle w:val="14"/>
        <w:tblW w:w="4997" w:type="pct"/>
        <w:jc w:val="center"/>
        <w:tblLayout w:type="autofit"/>
        <w:tblCellMar>
          <w:top w:w="0" w:type="dxa"/>
          <w:left w:w="108" w:type="dxa"/>
          <w:bottom w:w="0" w:type="dxa"/>
          <w:right w:w="108" w:type="dxa"/>
        </w:tblCellMar>
      </w:tblPr>
      <w:tblGrid>
        <w:gridCol w:w="2787"/>
        <w:gridCol w:w="1926"/>
        <w:gridCol w:w="2023"/>
        <w:gridCol w:w="2023"/>
      </w:tblGrid>
      <w:tr w14:paraId="60F2FAAC">
        <w:tblPrEx>
          <w:tblCellMar>
            <w:top w:w="0" w:type="dxa"/>
            <w:left w:w="108" w:type="dxa"/>
            <w:bottom w:w="0" w:type="dxa"/>
            <w:right w:w="108" w:type="dxa"/>
          </w:tblCellMar>
        </w:tblPrEx>
        <w:trPr>
          <w:trHeight w:val="90" w:hRule="atLeast"/>
          <w:tblHeader/>
          <w:jc w:val="center"/>
        </w:trPr>
        <w:tc>
          <w:tcPr>
            <w:tcW w:w="1590" w:type="pct"/>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14:paraId="735DA03A">
            <w:pPr>
              <w:shd w:val="clear" w:fill="FFFFFF" w:themeFill="background1"/>
              <w:jc w:val="center"/>
              <w:rPr>
                <w:rFonts w:eastAsia="仿宋_GB2312"/>
                <w:b/>
                <w:bCs/>
                <w:color w:val="auto"/>
                <w:szCs w:val="21"/>
                <w:highlight w:val="none"/>
              </w:rPr>
            </w:pPr>
            <w:r>
              <w:rPr>
                <w:rFonts w:eastAsia="仿宋_GB2312"/>
                <w:b/>
                <w:bCs/>
                <w:color w:val="auto"/>
                <w:szCs w:val="21"/>
                <w:highlight w:val="none"/>
              </w:rPr>
              <w:t>一级指标</w:t>
            </w:r>
          </w:p>
        </w:tc>
        <w:tc>
          <w:tcPr>
            <w:tcW w:w="1099" w:type="pct"/>
            <w:tcBorders>
              <w:top w:val="single" w:color="auto" w:sz="4" w:space="0"/>
              <w:left w:val="nil"/>
              <w:bottom w:val="single" w:color="auto" w:sz="4" w:space="0"/>
              <w:right w:val="single" w:color="auto" w:sz="4" w:space="0"/>
            </w:tcBorders>
            <w:shd w:val="clear" w:color="000000" w:fill="BEBEBE" w:themeFill="background1" w:themeFillShade="BF"/>
            <w:vAlign w:val="center"/>
          </w:tcPr>
          <w:p w14:paraId="5564A05A">
            <w:pPr>
              <w:shd w:val="clear" w:fill="FFFFFF" w:themeFill="background1"/>
              <w:jc w:val="center"/>
              <w:rPr>
                <w:rFonts w:eastAsia="仿宋_GB2312"/>
                <w:b/>
                <w:bCs/>
                <w:color w:val="auto"/>
                <w:szCs w:val="21"/>
                <w:highlight w:val="none"/>
              </w:rPr>
            </w:pPr>
            <w:r>
              <w:rPr>
                <w:rFonts w:eastAsia="仿宋_GB2312"/>
                <w:b/>
                <w:bCs/>
                <w:color w:val="auto"/>
                <w:szCs w:val="21"/>
                <w:highlight w:val="none"/>
              </w:rPr>
              <w:t>权重分</w:t>
            </w:r>
          </w:p>
        </w:tc>
        <w:tc>
          <w:tcPr>
            <w:tcW w:w="1154" w:type="pct"/>
            <w:tcBorders>
              <w:top w:val="single" w:color="auto" w:sz="4" w:space="0"/>
              <w:left w:val="nil"/>
              <w:bottom w:val="single" w:color="auto" w:sz="4" w:space="0"/>
              <w:right w:val="single" w:color="auto" w:sz="4" w:space="0"/>
            </w:tcBorders>
            <w:shd w:val="clear" w:color="000000" w:fill="BEBEBE" w:themeFill="background1" w:themeFillShade="BF"/>
            <w:vAlign w:val="center"/>
          </w:tcPr>
          <w:p w14:paraId="6C56C144">
            <w:pPr>
              <w:shd w:val="clear" w:fill="FFFFFF" w:themeFill="background1"/>
              <w:jc w:val="center"/>
              <w:rPr>
                <w:rFonts w:eastAsia="仿宋_GB2312"/>
                <w:b/>
                <w:bCs/>
                <w:color w:val="auto"/>
                <w:szCs w:val="21"/>
                <w:highlight w:val="none"/>
              </w:rPr>
            </w:pPr>
            <w:r>
              <w:rPr>
                <w:rFonts w:eastAsia="仿宋_GB2312"/>
                <w:b/>
                <w:bCs/>
                <w:color w:val="auto"/>
                <w:szCs w:val="21"/>
                <w:highlight w:val="none"/>
              </w:rPr>
              <w:t>得分</w:t>
            </w:r>
          </w:p>
        </w:tc>
        <w:tc>
          <w:tcPr>
            <w:tcW w:w="1154" w:type="pct"/>
            <w:tcBorders>
              <w:top w:val="single" w:color="auto" w:sz="4" w:space="0"/>
              <w:left w:val="nil"/>
              <w:bottom w:val="single" w:color="auto" w:sz="4" w:space="0"/>
              <w:right w:val="single" w:color="auto" w:sz="4" w:space="0"/>
            </w:tcBorders>
            <w:shd w:val="clear" w:color="000000" w:fill="BEBEBE" w:themeFill="background1" w:themeFillShade="BF"/>
            <w:vAlign w:val="center"/>
          </w:tcPr>
          <w:p w14:paraId="21D80278">
            <w:pPr>
              <w:shd w:val="clear" w:fill="FFFFFF" w:themeFill="background1"/>
              <w:jc w:val="center"/>
              <w:rPr>
                <w:rFonts w:eastAsia="仿宋_GB2312"/>
                <w:b/>
                <w:bCs/>
                <w:color w:val="auto"/>
                <w:szCs w:val="21"/>
                <w:highlight w:val="none"/>
              </w:rPr>
            </w:pPr>
            <w:r>
              <w:rPr>
                <w:rFonts w:hint="eastAsia" w:eastAsia="仿宋_GB2312"/>
                <w:b/>
                <w:bCs/>
                <w:color w:val="auto"/>
                <w:szCs w:val="21"/>
                <w:highlight w:val="none"/>
              </w:rPr>
              <w:t>得分率</w:t>
            </w:r>
          </w:p>
        </w:tc>
      </w:tr>
      <w:tr w14:paraId="2BF8A241">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shd w:val="clear" w:color="auto" w:fill="auto"/>
            <w:vAlign w:val="center"/>
          </w:tcPr>
          <w:p w14:paraId="48D956EA">
            <w:pPr>
              <w:shd w:val="clear" w:fill="FFFFFF" w:themeFill="background1"/>
              <w:jc w:val="center"/>
              <w:rPr>
                <w:rFonts w:eastAsia="仿宋_GB2312"/>
                <w:color w:val="auto"/>
                <w:szCs w:val="21"/>
                <w:highlight w:val="none"/>
              </w:rPr>
            </w:pPr>
            <w:r>
              <w:rPr>
                <w:rFonts w:eastAsia="仿宋_GB2312"/>
                <w:color w:val="auto"/>
                <w:szCs w:val="21"/>
                <w:highlight w:val="none"/>
              </w:rPr>
              <w:t>项目决策</w:t>
            </w:r>
          </w:p>
        </w:tc>
        <w:tc>
          <w:tcPr>
            <w:tcW w:w="1099" w:type="pct"/>
            <w:tcBorders>
              <w:top w:val="nil"/>
              <w:left w:val="nil"/>
              <w:bottom w:val="single" w:color="auto" w:sz="4" w:space="0"/>
              <w:right w:val="single" w:color="auto" w:sz="4" w:space="0"/>
            </w:tcBorders>
            <w:shd w:val="clear" w:color="auto" w:fill="auto"/>
            <w:vAlign w:val="center"/>
          </w:tcPr>
          <w:p w14:paraId="5ACA48E9">
            <w:pPr>
              <w:shd w:val="clear" w:fill="FFFFFF" w:themeFill="background1"/>
              <w:jc w:val="center"/>
              <w:rPr>
                <w:rFonts w:eastAsia="仿宋_GB2312"/>
                <w:color w:val="auto"/>
                <w:szCs w:val="21"/>
                <w:highlight w:val="none"/>
              </w:rPr>
            </w:pPr>
            <w:r>
              <w:rPr>
                <w:rFonts w:eastAsia="仿宋_GB2312"/>
                <w:color w:val="auto"/>
                <w:szCs w:val="21"/>
                <w:highlight w:val="none"/>
              </w:rPr>
              <w:t>20</w:t>
            </w:r>
          </w:p>
        </w:tc>
        <w:tc>
          <w:tcPr>
            <w:tcW w:w="1154" w:type="pct"/>
            <w:tcBorders>
              <w:top w:val="nil"/>
              <w:left w:val="nil"/>
              <w:bottom w:val="single" w:color="auto" w:sz="4" w:space="0"/>
              <w:right w:val="single" w:color="auto" w:sz="4" w:space="0"/>
            </w:tcBorders>
            <w:shd w:val="clear" w:color="auto" w:fill="auto"/>
            <w:vAlign w:val="center"/>
          </w:tcPr>
          <w:p w14:paraId="280BD205">
            <w:pPr>
              <w:shd w:val="clear" w:fill="FFFFFF" w:themeFill="background1"/>
              <w:jc w:val="center"/>
              <w:rPr>
                <w:rFonts w:eastAsia="仿宋_GB2312"/>
                <w:color w:val="auto"/>
                <w:szCs w:val="21"/>
                <w:highlight w:val="none"/>
              </w:rPr>
            </w:pPr>
            <w:r>
              <w:rPr>
                <w:rFonts w:eastAsia="仿宋_GB2312"/>
                <w:color w:val="auto"/>
                <w:szCs w:val="21"/>
                <w:highlight w:val="none"/>
              </w:rPr>
              <w:t>20</w:t>
            </w:r>
          </w:p>
        </w:tc>
        <w:tc>
          <w:tcPr>
            <w:tcW w:w="1154" w:type="pct"/>
            <w:tcBorders>
              <w:top w:val="nil"/>
              <w:left w:val="nil"/>
              <w:bottom w:val="single" w:color="auto" w:sz="4" w:space="0"/>
              <w:right w:val="single" w:color="auto" w:sz="4" w:space="0"/>
            </w:tcBorders>
            <w:shd w:val="clear" w:color="auto" w:fill="auto"/>
            <w:vAlign w:val="center"/>
          </w:tcPr>
          <w:p w14:paraId="4EB412E2">
            <w:pPr>
              <w:shd w:val="clear" w:fill="FFFFFF" w:themeFill="background1"/>
              <w:jc w:val="center"/>
              <w:rPr>
                <w:rFonts w:eastAsia="仿宋_GB2312"/>
                <w:color w:val="auto"/>
                <w:szCs w:val="21"/>
                <w:highlight w:val="none"/>
              </w:rPr>
            </w:pPr>
            <w:r>
              <w:rPr>
                <w:rFonts w:hint="eastAsia" w:eastAsia="仿宋_GB2312"/>
                <w:color w:val="auto"/>
                <w:highlight w:val="none"/>
              </w:rPr>
              <w:t>100</w:t>
            </w:r>
            <w:r>
              <w:rPr>
                <w:rFonts w:eastAsia="仿宋_GB2312"/>
                <w:color w:val="auto"/>
                <w:highlight w:val="none"/>
              </w:rPr>
              <w:t>%</w:t>
            </w:r>
          </w:p>
        </w:tc>
      </w:tr>
      <w:tr w14:paraId="2C9FFF67">
        <w:tblPrEx>
          <w:tblCellMar>
            <w:top w:w="0" w:type="dxa"/>
            <w:left w:w="108" w:type="dxa"/>
            <w:bottom w:w="0" w:type="dxa"/>
            <w:right w:w="108" w:type="dxa"/>
          </w:tblCellMar>
        </w:tblPrEx>
        <w:trPr>
          <w:trHeight w:val="364" w:hRule="atLeast"/>
          <w:jc w:val="center"/>
        </w:trPr>
        <w:tc>
          <w:tcPr>
            <w:tcW w:w="1590" w:type="pct"/>
            <w:tcBorders>
              <w:top w:val="nil"/>
              <w:left w:val="single" w:color="auto" w:sz="4" w:space="0"/>
              <w:bottom w:val="single" w:color="auto" w:sz="4" w:space="0"/>
              <w:right w:val="single" w:color="auto" w:sz="4" w:space="0"/>
            </w:tcBorders>
            <w:shd w:val="clear" w:color="auto" w:fill="auto"/>
            <w:vAlign w:val="center"/>
          </w:tcPr>
          <w:p w14:paraId="52F203E9">
            <w:pPr>
              <w:shd w:val="clear" w:fill="FFFFFF" w:themeFill="background1"/>
              <w:jc w:val="center"/>
              <w:rPr>
                <w:rFonts w:eastAsia="仿宋_GB2312"/>
                <w:color w:val="auto"/>
                <w:szCs w:val="21"/>
                <w:highlight w:val="none"/>
              </w:rPr>
            </w:pPr>
            <w:r>
              <w:rPr>
                <w:rFonts w:eastAsia="仿宋_GB2312"/>
                <w:color w:val="auto"/>
                <w:szCs w:val="21"/>
                <w:highlight w:val="none"/>
              </w:rPr>
              <w:t>项目过程</w:t>
            </w:r>
          </w:p>
        </w:tc>
        <w:tc>
          <w:tcPr>
            <w:tcW w:w="1099" w:type="pct"/>
            <w:tcBorders>
              <w:top w:val="nil"/>
              <w:left w:val="nil"/>
              <w:bottom w:val="single" w:color="auto" w:sz="4" w:space="0"/>
              <w:right w:val="single" w:color="auto" w:sz="4" w:space="0"/>
            </w:tcBorders>
            <w:shd w:val="clear" w:color="auto" w:fill="auto"/>
            <w:vAlign w:val="center"/>
          </w:tcPr>
          <w:p w14:paraId="68E59F94">
            <w:pPr>
              <w:shd w:val="clear" w:fill="FFFFFF" w:themeFill="background1"/>
              <w:jc w:val="center"/>
              <w:rPr>
                <w:rFonts w:eastAsia="仿宋_GB2312"/>
                <w:color w:val="auto"/>
                <w:szCs w:val="21"/>
                <w:highlight w:val="none"/>
              </w:rPr>
            </w:pPr>
            <w:r>
              <w:rPr>
                <w:rFonts w:eastAsia="仿宋_GB2312"/>
                <w:color w:val="auto"/>
                <w:szCs w:val="21"/>
                <w:highlight w:val="none"/>
              </w:rPr>
              <w:t>20</w:t>
            </w:r>
          </w:p>
        </w:tc>
        <w:tc>
          <w:tcPr>
            <w:tcW w:w="1154" w:type="pct"/>
            <w:tcBorders>
              <w:top w:val="nil"/>
              <w:left w:val="nil"/>
              <w:bottom w:val="single" w:color="auto" w:sz="4" w:space="0"/>
              <w:right w:val="single" w:color="auto" w:sz="4" w:space="0"/>
            </w:tcBorders>
            <w:shd w:val="clear" w:color="auto" w:fill="auto"/>
            <w:vAlign w:val="center"/>
          </w:tcPr>
          <w:p w14:paraId="3641BE07">
            <w:pPr>
              <w:shd w:val="clear" w:fill="FFFFFF" w:themeFill="background1"/>
              <w:jc w:val="center"/>
              <w:rPr>
                <w:rFonts w:eastAsia="仿宋_GB2312"/>
                <w:color w:val="auto"/>
                <w:szCs w:val="21"/>
                <w:highlight w:val="none"/>
              </w:rPr>
            </w:pPr>
            <w:r>
              <w:rPr>
                <w:rFonts w:eastAsia="仿宋_GB2312"/>
                <w:color w:val="auto"/>
                <w:szCs w:val="21"/>
                <w:highlight w:val="none"/>
              </w:rPr>
              <w:t>20</w:t>
            </w:r>
          </w:p>
        </w:tc>
        <w:tc>
          <w:tcPr>
            <w:tcW w:w="1154" w:type="pct"/>
            <w:tcBorders>
              <w:top w:val="nil"/>
              <w:left w:val="nil"/>
              <w:bottom w:val="single" w:color="auto" w:sz="4" w:space="0"/>
              <w:right w:val="single" w:color="auto" w:sz="4" w:space="0"/>
            </w:tcBorders>
            <w:shd w:val="clear" w:color="auto" w:fill="auto"/>
            <w:vAlign w:val="center"/>
          </w:tcPr>
          <w:p w14:paraId="243EEBF9">
            <w:pPr>
              <w:shd w:val="clear" w:fill="FFFFFF" w:themeFill="background1"/>
              <w:jc w:val="center"/>
              <w:rPr>
                <w:rFonts w:eastAsia="仿宋_GB2312"/>
                <w:color w:val="auto"/>
                <w:szCs w:val="21"/>
                <w:highlight w:val="none"/>
              </w:rPr>
            </w:pPr>
            <w:r>
              <w:rPr>
                <w:rFonts w:hint="eastAsia" w:eastAsia="仿宋_GB2312"/>
                <w:color w:val="auto"/>
                <w:highlight w:val="none"/>
              </w:rPr>
              <w:t>100</w:t>
            </w:r>
            <w:r>
              <w:rPr>
                <w:rFonts w:eastAsia="仿宋_GB2312"/>
                <w:color w:val="auto"/>
                <w:highlight w:val="none"/>
              </w:rPr>
              <w:t>%</w:t>
            </w:r>
          </w:p>
        </w:tc>
      </w:tr>
      <w:tr w14:paraId="52107F18">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shd w:val="clear" w:color="auto" w:fill="auto"/>
            <w:vAlign w:val="center"/>
          </w:tcPr>
          <w:p w14:paraId="1051BABD">
            <w:pPr>
              <w:shd w:val="clear" w:fill="FFFFFF" w:themeFill="background1"/>
              <w:jc w:val="center"/>
              <w:rPr>
                <w:rFonts w:eastAsia="仿宋_GB2312"/>
                <w:color w:val="auto"/>
                <w:szCs w:val="21"/>
                <w:highlight w:val="none"/>
              </w:rPr>
            </w:pPr>
            <w:r>
              <w:rPr>
                <w:rFonts w:eastAsia="仿宋_GB2312"/>
                <w:color w:val="auto"/>
                <w:szCs w:val="21"/>
                <w:highlight w:val="none"/>
              </w:rPr>
              <w:t>项目产出</w:t>
            </w:r>
          </w:p>
        </w:tc>
        <w:tc>
          <w:tcPr>
            <w:tcW w:w="1099" w:type="pct"/>
            <w:tcBorders>
              <w:top w:val="nil"/>
              <w:left w:val="nil"/>
              <w:bottom w:val="single" w:color="auto" w:sz="4" w:space="0"/>
              <w:right w:val="single" w:color="auto" w:sz="4" w:space="0"/>
            </w:tcBorders>
            <w:shd w:val="clear" w:color="auto" w:fill="auto"/>
            <w:vAlign w:val="center"/>
          </w:tcPr>
          <w:p w14:paraId="03EB7C11">
            <w:pPr>
              <w:shd w:val="clear" w:fill="FFFFFF" w:themeFill="background1"/>
              <w:jc w:val="center"/>
              <w:rPr>
                <w:rFonts w:eastAsia="仿宋_GB2312"/>
                <w:color w:val="auto"/>
                <w:szCs w:val="21"/>
                <w:highlight w:val="none"/>
              </w:rPr>
            </w:pPr>
            <w:r>
              <w:rPr>
                <w:rFonts w:eastAsia="仿宋_GB2312"/>
                <w:color w:val="auto"/>
                <w:szCs w:val="21"/>
                <w:highlight w:val="none"/>
              </w:rPr>
              <w:t>40</w:t>
            </w:r>
          </w:p>
        </w:tc>
        <w:tc>
          <w:tcPr>
            <w:tcW w:w="1154" w:type="pct"/>
            <w:tcBorders>
              <w:top w:val="nil"/>
              <w:left w:val="nil"/>
              <w:bottom w:val="single" w:color="auto" w:sz="4" w:space="0"/>
              <w:right w:val="single" w:color="auto" w:sz="4" w:space="0"/>
            </w:tcBorders>
            <w:shd w:val="clear" w:color="auto" w:fill="auto"/>
            <w:vAlign w:val="center"/>
          </w:tcPr>
          <w:p w14:paraId="5330211F">
            <w:pPr>
              <w:shd w:val="clear" w:fill="FFFFFF" w:themeFill="background1"/>
              <w:jc w:val="center"/>
              <w:rPr>
                <w:rFonts w:eastAsia="仿宋_GB2312"/>
                <w:color w:val="auto"/>
                <w:szCs w:val="21"/>
                <w:highlight w:val="none"/>
              </w:rPr>
            </w:pPr>
            <w:r>
              <w:rPr>
                <w:rFonts w:eastAsia="仿宋_GB2312"/>
                <w:color w:val="auto"/>
                <w:szCs w:val="21"/>
                <w:highlight w:val="none"/>
              </w:rPr>
              <w:t>40</w:t>
            </w:r>
          </w:p>
        </w:tc>
        <w:tc>
          <w:tcPr>
            <w:tcW w:w="1154" w:type="pct"/>
            <w:tcBorders>
              <w:top w:val="nil"/>
              <w:left w:val="nil"/>
              <w:bottom w:val="single" w:color="auto" w:sz="4" w:space="0"/>
              <w:right w:val="single" w:color="auto" w:sz="4" w:space="0"/>
            </w:tcBorders>
            <w:shd w:val="clear" w:color="auto" w:fill="auto"/>
            <w:vAlign w:val="center"/>
          </w:tcPr>
          <w:p w14:paraId="43C9AE19">
            <w:pPr>
              <w:shd w:val="clear" w:fill="FFFFFF" w:themeFill="background1"/>
              <w:jc w:val="center"/>
              <w:rPr>
                <w:rFonts w:eastAsia="仿宋_GB2312"/>
                <w:color w:val="auto"/>
                <w:szCs w:val="21"/>
                <w:highlight w:val="none"/>
              </w:rPr>
            </w:pPr>
            <w:r>
              <w:rPr>
                <w:rFonts w:hint="eastAsia" w:eastAsia="仿宋_GB2312"/>
                <w:color w:val="auto"/>
                <w:highlight w:val="none"/>
              </w:rPr>
              <w:t>100</w:t>
            </w:r>
            <w:r>
              <w:rPr>
                <w:rFonts w:eastAsia="仿宋_GB2312"/>
                <w:color w:val="auto"/>
                <w:highlight w:val="none"/>
              </w:rPr>
              <w:t>%</w:t>
            </w:r>
          </w:p>
        </w:tc>
      </w:tr>
      <w:tr w14:paraId="27660251">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shd w:val="clear" w:color="auto" w:fill="auto"/>
            <w:vAlign w:val="center"/>
          </w:tcPr>
          <w:p w14:paraId="2D5FE78A">
            <w:pPr>
              <w:shd w:val="clear" w:fill="FFFFFF" w:themeFill="background1"/>
              <w:jc w:val="center"/>
              <w:rPr>
                <w:rFonts w:eastAsia="仿宋_GB2312"/>
                <w:color w:val="auto"/>
                <w:szCs w:val="21"/>
                <w:highlight w:val="none"/>
              </w:rPr>
            </w:pPr>
            <w:r>
              <w:rPr>
                <w:rFonts w:eastAsia="仿宋_GB2312"/>
                <w:color w:val="auto"/>
                <w:szCs w:val="21"/>
                <w:highlight w:val="none"/>
              </w:rPr>
              <w:t>项目效益</w:t>
            </w:r>
          </w:p>
        </w:tc>
        <w:tc>
          <w:tcPr>
            <w:tcW w:w="1099" w:type="pct"/>
            <w:tcBorders>
              <w:top w:val="nil"/>
              <w:left w:val="nil"/>
              <w:bottom w:val="single" w:color="auto" w:sz="4" w:space="0"/>
              <w:right w:val="single" w:color="auto" w:sz="4" w:space="0"/>
            </w:tcBorders>
            <w:shd w:val="clear" w:color="auto" w:fill="auto"/>
            <w:vAlign w:val="center"/>
          </w:tcPr>
          <w:p w14:paraId="59455BCE">
            <w:pPr>
              <w:shd w:val="clear" w:fill="FFFFFF" w:themeFill="background1"/>
              <w:jc w:val="center"/>
              <w:rPr>
                <w:rFonts w:eastAsia="仿宋_GB2312"/>
                <w:color w:val="auto"/>
                <w:szCs w:val="21"/>
                <w:highlight w:val="none"/>
              </w:rPr>
            </w:pPr>
            <w:r>
              <w:rPr>
                <w:rFonts w:eastAsia="仿宋_GB2312"/>
                <w:color w:val="auto"/>
                <w:szCs w:val="21"/>
                <w:highlight w:val="none"/>
              </w:rPr>
              <w:t>20</w:t>
            </w:r>
          </w:p>
        </w:tc>
        <w:tc>
          <w:tcPr>
            <w:tcW w:w="1154" w:type="pct"/>
            <w:tcBorders>
              <w:top w:val="nil"/>
              <w:left w:val="nil"/>
              <w:bottom w:val="single" w:color="auto" w:sz="4" w:space="0"/>
              <w:right w:val="single" w:color="auto" w:sz="4" w:space="0"/>
            </w:tcBorders>
            <w:shd w:val="clear" w:color="auto" w:fill="auto"/>
            <w:vAlign w:val="center"/>
          </w:tcPr>
          <w:p w14:paraId="499F06FB">
            <w:pPr>
              <w:shd w:val="clear" w:fill="FFFFFF" w:themeFill="background1"/>
              <w:jc w:val="center"/>
              <w:rPr>
                <w:rFonts w:eastAsia="仿宋_GB2312"/>
                <w:color w:val="auto"/>
                <w:szCs w:val="21"/>
                <w:highlight w:val="none"/>
              </w:rPr>
            </w:pPr>
            <w:r>
              <w:rPr>
                <w:rFonts w:eastAsia="仿宋_GB2312"/>
                <w:color w:val="auto"/>
                <w:szCs w:val="21"/>
                <w:highlight w:val="none"/>
              </w:rPr>
              <w:t>20</w:t>
            </w:r>
          </w:p>
        </w:tc>
        <w:tc>
          <w:tcPr>
            <w:tcW w:w="1154" w:type="pct"/>
            <w:tcBorders>
              <w:top w:val="nil"/>
              <w:left w:val="nil"/>
              <w:bottom w:val="single" w:color="auto" w:sz="4" w:space="0"/>
              <w:right w:val="single" w:color="auto" w:sz="4" w:space="0"/>
            </w:tcBorders>
            <w:shd w:val="clear" w:color="auto" w:fill="auto"/>
            <w:vAlign w:val="center"/>
          </w:tcPr>
          <w:p w14:paraId="71CFE3A9">
            <w:pPr>
              <w:shd w:val="clear" w:fill="FFFFFF" w:themeFill="background1"/>
              <w:jc w:val="center"/>
              <w:rPr>
                <w:rFonts w:eastAsia="仿宋_GB2312"/>
                <w:color w:val="auto"/>
                <w:szCs w:val="21"/>
                <w:highlight w:val="none"/>
              </w:rPr>
            </w:pPr>
            <w:r>
              <w:rPr>
                <w:rFonts w:hint="eastAsia" w:eastAsia="仿宋_GB2312"/>
                <w:color w:val="auto"/>
                <w:highlight w:val="none"/>
              </w:rPr>
              <w:t>100</w:t>
            </w:r>
            <w:r>
              <w:rPr>
                <w:rFonts w:eastAsia="仿宋_GB2312"/>
                <w:color w:val="auto"/>
                <w:highlight w:val="none"/>
              </w:rPr>
              <w:t>%</w:t>
            </w:r>
          </w:p>
        </w:tc>
      </w:tr>
      <w:tr w14:paraId="451A5172">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shd w:val="clear" w:color="auto" w:fill="auto"/>
            <w:vAlign w:val="center"/>
          </w:tcPr>
          <w:p w14:paraId="0CDE759C">
            <w:pPr>
              <w:shd w:val="clear" w:fill="FFFFFF" w:themeFill="background1"/>
              <w:jc w:val="center"/>
              <w:rPr>
                <w:rFonts w:eastAsia="仿宋_GB2312"/>
                <w:b/>
                <w:bCs/>
                <w:color w:val="auto"/>
                <w:szCs w:val="21"/>
                <w:highlight w:val="none"/>
              </w:rPr>
            </w:pPr>
            <w:r>
              <w:rPr>
                <w:rFonts w:eastAsia="仿宋_GB2312"/>
                <w:b/>
                <w:bCs/>
                <w:color w:val="auto"/>
                <w:szCs w:val="21"/>
                <w:highlight w:val="none"/>
              </w:rPr>
              <w:t>合计</w:t>
            </w:r>
          </w:p>
        </w:tc>
        <w:tc>
          <w:tcPr>
            <w:tcW w:w="1099" w:type="pct"/>
            <w:tcBorders>
              <w:top w:val="nil"/>
              <w:left w:val="nil"/>
              <w:bottom w:val="single" w:color="auto" w:sz="4" w:space="0"/>
              <w:right w:val="single" w:color="auto" w:sz="4" w:space="0"/>
            </w:tcBorders>
            <w:shd w:val="clear" w:color="auto" w:fill="auto"/>
            <w:vAlign w:val="center"/>
          </w:tcPr>
          <w:p w14:paraId="49A26BD7">
            <w:pPr>
              <w:shd w:val="clear" w:fill="FFFFFF" w:themeFill="background1"/>
              <w:jc w:val="center"/>
              <w:rPr>
                <w:rFonts w:eastAsia="仿宋_GB2312"/>
                <w:b/>
                <w:bCs/>
                <w:color w:val="auto"/>
                <w:szCs w:val="21"/>
                <w:highlight w:val="none"/>
              </w:rPr>
            </w:pPr>
            <w:r>
              <w:rPr>
                <w:rFonts w:eastAsia="仿宋_GB2312"/>
                <w:b/>
                <w:bCs/>
                <w:color w:val="auto"/>
                <w:szCs w:val="21"/>
                <w:highlight w:val="none"/>
              </w:rPr>
              <w:t>100</w:t>
            </w:r>
          </w:p>
        </w:tc>
        <w:tc>
          <w:tcPr>
            <w:tcW w:w="1154" w:type="pct"/>
            <w:tcBorders>
              <w:top w:val="nil"/>
              <w:left w:val="nil"/>
              <w:bottom w:val="single" w:color="auto" w:sz="4" w:space="0"/>
              <w:right w:val="single" w:color="auto" w:sz="4" w:space="0"/>
            </w:tcBorders>
            <w:shd w:val="clear" w:color="auto" w:fill="auto"/>
            <w:vAlign w:val="center"/>
          </w:tcPr>
          <w:p w14:paraId="3D3A7ABD">
            <w:pPr>
              <w:shd w:val="clear" w:fill="FFFFFF" w:themeFill="background1"/>
              <w:jc w:val="center"/>
              <w:rPr>
                <w:rFonts w:eastAsia="仿宋_GB2312"/>
                <w:b/>
                <w:bCs/>
                <w:color w:val="auto"/>
                <w:szCs w:val="21"/>
                <w:highlight w:val="none"/>
              </w:rPr>
            </w:pPr>
            <w:r>
              <w:rPr>
                <w:rFonts w:eastAsia="仿宋_GB2312"/>
                <w:b/>
                <w:bCs/>
                <w:color w:val="auto"/>
                <w:szCs w:val="21"/>
                <w:highlight w:val="none"/>
              </w:rPr>
              <w:t>100</w:t>
            </w:r>
          </w:p>
        </w:tc>
        <w:tc>
          <w:tcPr>
            <w:tcW w:w="1154" w:type="pct"/>
            <w:tcBorders>
              <w:top w:val="nil"/>
              <w:left w:val="nil"/>
              <w:bottom w:val="single" w:color="auto" w:sz="4" w:space="0"/>
              <w:right w:val="single" w:color="auto" w:sz="4" w:space="0"/>
            </w:tcBorders>
            <w:shd w:val="clear" w:color="auto" w:fill="auto"/>
            <w:vAlign w:val="center"/>
          </w:tcPr>
          <w:p w14:paraId="2049D794">
            <w:pPr>
              <w:shd w:val="clear" w:fill="FFFFFF" w:themeFill="background1"/>
              <w:jc w:val="center"/>
              <w:rPr>
                <w:rFonts w:eastAsia="仿宋_GB2312"/>
                <w:b/>
                <w:bCs/>
                <w:color w:val="auto"/>
                <w:szCs w:val="21"/>
                <w:highlight w:val="none"/>
              </w:rPr>
            </w:pPr>
            <w:r>
              <w:rPr>
                <w:rFonts w:hint="eastAsia" w:eastAsia="仿宋_GB2312"/>
                <w:color w:val="auto"/>
                <w:highlight w:val="none"/>
              </w:rPr>
              <w:t>100</w:t>
            </w:r>
            <w:r>
              <w:rPr>
                <w:rFonts w:eastAsia="仿宋_GB2312"/>
                <w:color w:val="auto"/>
                <w:highlight w:val="none"/>
              </w:rPr>
              <w:t>%</w:t>
            </w:r>
          </w:p>
        </w:tc>
      </w:tr>
    </w:tbl>
    <w:p w14:paraId="4E1966ED">
      <w:pPr>
        <w:shd w:val="clear" w:fill="FFFFFF" w:themeFill="background1"/>
        <w:spacing w:line="560" w:lineRule="exact"/>
        <w:ind w:firstLine="640" w:firstLineChars="200"/>
        <w:rPr>
          <w:rFonts w:eastAsia="黑体"/>
          <w:color w:val="auto"/>
          <w:sz w:val="32"/>
          <w:szCs w:val="32"/>
          <w:highlight w:val="none"/>
        </w:rPr>
      </w:pPr>
      <w:r>
        <w:rPr>
          <w:rFonts w:eastAsia="黑体"/>
          <w:color w:val="auto"/>
          <w:sz w:val="32"/>
          <w:szCs w:val="32"/>
          <w:highlight w:val="none"/>
        </w:rPr>
        <w:t>四、绩效评价指标分析</w:t>
      </w:r>
    </w:p>
    <w:p w14:paraId="791A9A8E">
      <w:pPr>
        <w:pStyle w:val="10"/>
        <w:shd w:val="clear" w:fill="FFFFFF" w:themeFill="background1"/>
        <w:spacing w:before="0" w:after="0" w:line="560" w:lineRule="exact"/>
        <w:ind w:firstLine="643" w:firstLineChars="200"/>
        <w:jc w:val="both"/>
        <w:rPr>
          <w:rFonts w:ascii="Times New Roman" w:hAnsi="Times New Roman" w:eastAsia="楷体_GB2312"/>
          <w:color w:val="auto"/>
          <w:highlight w:val="none"/>
        </w:rPr>
      </w:pPr>
      <w:r>
        <w:rPr>
          <w:rFonts w:ascii="Times New Roman" w:hAnsi="Times New Roman" w:eastAsia="楷体_GB2312"/>
          <w:color w:val="auto"/>
          <w:highlight w:val="none"/>
        </w:rPr>
        <w:t>（一）项目决策情况</w:t>
      </w:r>
    </w:p>
    <w:p w14:paraId="54FF92DB">
      <w:pPr>
        <w:shd w:val="clear" w:fill="FFFFFF" w:themeFill="background1"/>
        <w:spacing w:line="600" w:lineRule="exact"/>
        <w:ind w:firstLine="640" w:firstLineChars="200"/>
        <w:outlineLvl w:val="0"/>
        <w:rPr>
          <w:rFonts w:eastAsia="仿宋_GB2312"/>
          <w:color w:val="auto"/>
          <w:sz w:val="32"/>
          <w:szCs w:val="32"/>
          <w:highlight w:val="none"/>
        </w:rPr>
      </w:pPr>
      <w:r>
        <w:rPr>
          <w:rFonts w:eastAsia="仿宋_GB2312"/>
          <w:color w:val="auto"/>
          <w:sz w:val="32"/>
          <w:szCs w:val="32"/>
          <w:highlight w:val="none"/>
        </w:rPr>
        <w:t>项目决策类指标包括项目立项、绩效目标和资金投入三方面的内容，由</w:t>
      </w:r>
      <w:r>
        <w:rPr>
          <w:rFonts w:hint="eastAsia" w:eastAsia="仿宋_GB2312"/>
          <w:color w:val="auto"/>
          <w:sz w:val="32"/>
          <w:szCs w:val="32"/>
          <w:highlight w:val="none"/>
        </w:rPr>
        <w:t>6</w:t>
      </w:r>
      <w:r>
        <w:rPr>
          <w:rFonts w:eastAsia="仿宋_GB2312"/>
          <w:color w:val="auto"/>
          <w:sz w:val="32"/>
          <w:szCs w:val="32"/>
          <w:highlight w:val="none"/>
        </w:rPr>
        <w:t>个三级指标构成，权重分值为20分，实际得分</w:t>
      </w:r>
      <w:r>
        <w:rPr>
          <w:rFonts w:hint="eastAsia" w:eastAsia="仿宋_GB2312"/>
          <w:color w:val="auto"/>
          <w:sz w:val="32"/>
          <w:szCs w:val="32"/>
          <w:highlight w:val="none"/>
        </w:rPr>
        <w:t>20</w:t>
      </w:r>
      <w:r>
        <w:rPr>
          <w:rFonts w:eastAsia="仿宋_GB2312"/>
          <w:color w:val="auto"/>
          <w:sz w:val="32"/>
          <w:szCs w:val="32"/>
          <w:highlight w:val="none"/>
        </w:rPr>
        <w:t>分，得分率为</w:t>
      </w:r>
      <w:r>
        <w:rPr>
          <w:rFonts w:hint="eastAsia" w:eastAsia="仿宋_GB2312"/>
          <w:color w:val="auto"/>
          <w:sz w:val="32"/>
          <w:szCs w:val="32"/>
          <w:highlight w:val="none"/>
        </w:rPr>
        <w:t>100</w:t>
      </w:r>
      <w:r>
        <w:rPr>
          <w:rFonts w:eastAsia="仿宋_GB2312"/>
          <w:color w:val="auto"/>
          <w:sz w:val="32"/>
          <w:szCs w:val="32"/>
          <w:highlight w:val="none"/>
        </w:rPr>
        <w:t>%。</w:t>
      </w:r>
    </w:p>
    <w:p w14:paraId="3B191ECA">
      <w:pPr>
        <w:pStyle w:val="19"/>
        <w:shd w:val="clear" w:fill="FFFFFF" w:themeFill="background1"/>
        <w:spacing w:line="560" w:lineRule="exact"/>
        <w:ind w:firstLine="640"/>
        <w:rPr>
          <w:rFonts w:eastAsia="仿宋_GB2312"/>
          <w:b/>
          <w:bCs/>
          <w:color w:val="auto"/>
          <w:sz w:val="32"/>
          <w:szCs w:val="32"/>
          <w:highlight w:val="none"/>
        </w:rPr>
      </w:pPr>
      <w:r>
        <w:rPr>
          <w:rFonts w:eastAsia="仿宋_GB2312"/>
          <w:b/>
          <w:bCs/>
          <w:color w:val="auto"/>
          <w:sz w:val="32"/>
          <w:szCs w:val="32"/>
          <w:highlight w:val="none"/>
        </w:rPr>
        <w:t>1.项目立项</w:t>
      </w:r>
    </w:p>
    <w:p w14:paraId="484BF376">
      <w:pPr>
        <w:shd w:val="clear" w:fill="FFFFFF" w:themeFill="background1"/>
        <w:spacing w:line="600" w:lineRule="exact"/>
        <w:ind w:firstLine="640" w:firstLineChars="200"/>
        <w:outlineLvl w:val="0"/>
        <w:rPr>
          <w:rFonts w:eastAsia="仿宋_GB2312"/>
          <w:color w:val="auto"/>
          <w:sz w:val="32"/>
          <w:szCs w:val="32"/>
          <w:highlight w:val="none"/>
        </w:rPr>
      </w:pPr>
      <w:r>
        <w:rPr>
          <w:rFonts w:eastAsia="仿宋_GB2312"/>
          <w:color w:val="auto"/>
          <w:sz w:val="32"/>
          <w:szCs w:val="32"/>
          <w:highlight w:val="none"/>
        </w:rPr>
        <w:t>（1）立项依据充分性</w:t>
      </w:r>
    </w:p>
    <w:p w14:paraId="5122D293">
      <w:pPr>
        <w:shd w:val="clear" w:fill="FFFFFF" w:themeFill="background1"/>
        <w:spacing w:line="600" w:lineRule="exact"/>
        <w:ind w:firstLine="640" w:firstLineChars="200"/>
        <w:outlineLvl w:val="0"/>
        <w:rPr>
          <w:rFonts w:eastAsia="仿宋_GB2312"/>
          <w:color w:val="auto"/>
          <w:sz w:val="32"/>
          <w:szCs w:val="32"/>
          <w:highlight w:val="none"/>
        </w:rPr>
      </w:pPr>
      <w:r>
        <w:rPr>
          <w:rFonts w:eastAsia="仿宋_GB2312"/>
          <w:color w:val="auto"/>
          <w:sz w:val="32"/>
          <w:szCs w:val="32"/>
          <w:highlight w:val="none"/>
        </w:rPr>
        <w:t>该项目立项符合</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基本公共卫生服务规范</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2022版</w:t>
      </w:r>
      <w:r>
        <w:rPr>
          <w:rFonts w:hint="eastAsia" w:eastAsia="仿宋_GB2312"/>
          <w:color w:val="auto"/>
          <w:sz w:val="32"/>
          <w:szCs w:val="32"/>
          <w:highlight w:val="none"/>
          <w:lang w:eastAsia="zh-CN"/>
        </w:rPr>
        <w:t>）《关于做好2024年基本公共卫生服务工作的通知》</w:t>
      </w:r>
      <w:r>
        <w:rPr>
          <w:rFonts w:eastAsia="仿宋_GB2312"/>
          <w:color w:val="auto"/>
          <w:sz w:val="32"/>
          <w:szCs w:val="32"/>
          <w:highlight w:val="none"/>
        </w:rPr>
        <w:t>，符合行业规划要求，围绕本年度工作重点和工作计划制定经费预算，属于公共财政支持范围。本项目与部门内部其他相关项目不重复。部门发展规划及职能文件等归档完整。</w:t>
      </w:r>
    </w:p>
    <w:p w14:paraId="0F348A0D">
      <w:pPr>
        <w:shd w:val="clear" w:fill="FFFFFF" w:themeFill="background1"/>
        <w:spacing w:line="600" w:lineRule="exact"/>
        <w:ind w:firstLine="640" w:firstLineChars="200"/>
        <w:outlineLvl w:val="0"/>
        <w:rPr>
          <w:rFonts w:eastAsia="仿宋_GB2312"/>
          <w:color w:val="auto"/>
          <w:sz w:val="32"/>
          <w:szCs w:val="32"/>
          <w:highlight w:val="none"/>
        </w:rPr>
      </w:pPr>
      <w:r>
        <w:rPr>
          <w:rFonts w:eastAsia="仿宋_GB2312"/>
          <w:color w:val="auto"/>
          <w:sz w:val="32"/>
          <w:szCs w:val="32"/>
          <w:highlight w:val="none"/>
        </w:rPr>
        <w:t>（2）立项程序规范性</w:t>
      </w:r>
    </w:p>
    <w:p w14:paraId="05A56386">
      <w:pPr>
        <w:shd w:val="clear" w:fill="FFFFFF" w:themeFill="background1"/>
        <w:spacing w:line="600" w:lineRule="exact"/>
        <w:ind w:firstLine="640" w:firstLineChars="200"/>
        <w:outlineLvl w:val="0"/>
        <w:rPr>
          <w:rFonts w:eastAsia="仿宋_GB2312"/>
          <w:color w:val="auto"/>
          <w:sz w:val="32"/>
          <w:szCs w:val="32"/>
          <w:highlight w:val="none"/>
        </w:rPr>
      </w:pPr>
      <w:r>
        <w:rPr>
          <w:rFonts w:eastAsia="仿宋_GB2312"/>
          <w:color w:val="auto"/>
          <w:sz w:val="32"/>
          <w:szCs w:val="32"/>
          <w:highlight w:val="none"/>
        </w:rPr>
        <w:t>项目申请、设立过程符合相关要求，严格按照审批流程准备符合要求的文件、材料；根据</w:t>
      </w:r>
      <w:r>
        <w:rPr>
          <w:rFonts w:hint="eastAsia" w:eastAsia="仿宋_GB2312"/>
          <w:color w:val="auto"/>
          <w:sz w:val="32"/>
          <w:szCs w:val="32"/>
          <w:highlight w:val="none"/>
          <w:lang w:val="en-US" w:eastAsia="zh-CN"/>
        </w:rPr>
        <w:t>十五项基本公共卫生工作及</w:t>
      </w:r>
      <w:r>
        <w:rPr>
          <w:rFonts w:eastAsia="仿宋_GB2312"/>
          <w:color w:val="auto"/>
          <w:sz w:val="32"/>
          <w:szCs w:val="32"/>
          <w:highlight w:val="none"/>
        </w:rPr>
        <w:t>决算依据编制工作计划和经费预算，经过与部门项目分管领导沟通、筛选确定经费预算计划，确定最终预算方案。项目的审批文件、材料符合相关要求，项目事前经过必要的专家论证、风险评估、绩效评估、集体决策，保障了程序的规范性。</w:t>
      </w:r>
    </w:p>
    <w:p w14:paraId="731D7630">
      <w:pPr>
        <w:pStyle w:val="19"/>
        <w:shd w:val="clear" w:fill="FFFFFF" w:themeFill="background1"/>
        <w:spacing w:line="560" w:lineRule="exact"/>
        <w:ind w:firstLine="640"/>
        <w:rPr>
          <w:rFonts w:eastAsia="仿宋_GB2312"/>
          <w:b/>
          <w:bCs/>
          <w:color w:val="auto"/>
          <w:sz w:val="32"/>
          <w:szCs w:val="32"/>
          <w:highlight w:val="none"/>
        </w:rPr>
      </w:pPr>
      <w:r>
        <w:rPr>
          <w:rFonts w:eastAsia="仿宋_GB2312"/>
          <w:b/>
          <w:bCs/>
          <w:color w:val="auto"/>
          <w:sz w:val="32"/>
          <w:szCs w:val="32"/>
          <w:highlight w:val="none"/>
        </w:rPr>
        <w:t>2.绩效目标</w:t>
      </w:r>
    </w:p>
    <w:p w14:paraId="04238631">
      <w:pPr>
        <w:shd w:val="clear" w:fill="FFFFFF" w:themeFill="background1"/>
        <w:spacing w:line="600" w:lineRule="exact"/>
        <w:ind w:firstLine="640" w:firstLineChars="200"/>
        <w:outlineLvl w:val="0"/>
        <w:rPr>
          <w:rFonts w:eastAsia="仿宋_GB2312"/>
          <w:color w:val="auto"/>
          <w:sz w:val="32"/>
          <w:szCs w:val="32"/>
          <w:highlight w:val="none"/>
        </w:rPr>
      </w:pPr>
      <w:r>
        <w:rPr>
          <w:rFonts w:eastAsia="仿宋_GB2312"/>
          <w:color w:val="auto"/>
          <w:sz w:val="32"/>
          <w:szCs w:val="32"/>
          <w:highlight w:val="none"/>
        </w:rPr>
        <w:t>（1）绩效目标合理性</w:t>
      </w:r>
    </w:p>
    <w:p w14:paraId="3AA8B09E">
      <w:pPr>
        <w:shd w:val="clear" w:fill="FFFFFF" w:themeFill="background1"/>
        <w:spacing w:line="600" w:lineRule="exact"/>
        <w:ind w:firstLine="640" w:firstLineChars="200"/>
        <w:outlineLvl w:val="0"/>
        <w:rPr>
          <w:rFonts w:eastAsia="仿宋_GB2312"/>
          <w:color w:val="auto"/>
          <w:sz w:val="32"/>
          <w:szCs w:val="32"/>
          <w:highlight w:val="none"/>
        </w:rPr>
      </w:pPr>
      <w:r>
        <w:rPr>
          <w:rFonts w:eastAsia="仿宋_GB2312"/>
          <w:color w:val="auto"/>
          <w:sz w:val="32"/>
          <w:szCs w:val="32"/>
          <w:highlight w:val="none"/>
        </w:rPr>
        <w:t>年初结合实际工作内容设定绩效目标，绩效目标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14:paraId="0A692F22">
      <w:pPr>
        <w:shd w:val="clear" w:fill="FFFFFF" w:themeFill="background1"/>
        <w:spacing w:line="600" w:lineRule="exact"/>
        <w:ind w:firstLine="640" w:firstLineChars="200"/>
        <w:outlineLvl w:val="0"/>
        <w:rPr>
          <w:rFonts w:eastAsia="仿宋_GB2312"/>
          <w:color w:val="auto"/>
          <w:sz w:val="32"/>
          <w:szCs w:val="32"/>
          <w:highlight w:val="none"/>
        </w:rPr>
      </w:pPr>
      <w:r>
        <w:rPr>
          <w:rFonts w:eastAsia="仿宋_GB2312"/>
          <w:color w:val="auto"/>
          <w:sz w:val="32"/>
          <w:szCs w:val="32"/>
          <w:highlight w:val="none"/>
        </w:rPr>
        <w:t>（2）绩效指标明确性</w:t>
      </w:r>
    </w:p>
    <w:p w14:paraId="759E6864">
      <w:pPr>
        <w:shd w:val="clear" w:fill="FFFFFF" w:themeFill="background1"/>
        <w:spacing w:line="600" w:lineRule="exact"/>
        <w:ind w:firstLine="640" w:firstLineChars="200"/>
        <w:outlineLvl w:val="0"/>
        <w:rPr>
          <w:rFonts w:eastAsia="仿宋_GB2312"/>
          <w:color w:val="auto"/>
          <w:sz w:val="32"/>
          <w:szCs w:val="32"/>
          <w:highlight w:val="none"/>
        </w:rPr>
      </w:pPr>
      <w:r>
        <w:rPr>
          <w:rFonts w:eastAsia="仿宋_GB2312"/>
          <w:color w:val="auto"/>
          <w:sz w:val="32"/>
          <w:szCs w:val="32"/>
          <w:highlight w:val="none"/>
        </w:rPr>
        <w:t>项目设置了明确的预期产出效益和效果，将绩效目标细化分解为具体的绩效指标，绩效目标与项目目标任务数相对应，绩效目标设定的绩效指标清晰、细化、可衡量。</w:t>
      </w:r>
    </w:p>
    <w:p w14:paraId="1F436C05">
      <w:pPr>
        <w:pStyle w:val="19"/>
        <w:shd w:val="clear" w:fill="FFFFFF" w:themeFill="background1"/>
        <w:spacing w:line="560" w:lineRule="exact"/>
        <w:ind w:firstLine="640"/>
        <w:rPr>
          <w:rFonts w:eastAsia="仿宋_GB2312"/>
          <w:b/>
          <w:bCs/>
          <w:color w:val="auto"/>
          <w:sz w:val="32"/>
          <w:szCs w:val="32"/>
          <w:highlight w:val="none"/>
        </w:rPr>
      </w:pPr>
      <w:r>
        <w:rPr>
          <w:rFonts w:eastAsia="仿宋_GB2312"/>
          <w:b/>
          <w:bCs/>
          <w:color w:val="auto"/>
          <w:sz w:val="32"/>
          <w:szCs w:val="32"/>
          <w:highlight w:val="none"/>
        </w:rPr>
        <w:t>3.资金投入</w:t>
      </w:r>
    </w:p>
    <w:p w14:paraId="17E9BB3B">
      <w:pPr>
        <w:shd w:val="clear" w:fill="FFFFFF" w:themeFill="background1"/>
        <w:spacing w:line="600" w:lineRule="exact"/>
        <w:ind w:firstLine="640" w:firstLineChars="200"/>
        <w:outlineLvl w:val="0"/>
        <w:rPr>
          <w:rFonts w:eastAsia="仿宋_GB2312"/>
          <w:color w:val="auto"/>
          <w:sz w:val="32"/>
          <w:szCs w:val="32"/>
          <w:highlight w:val="none"/>
        </w:rPr>
      </w:pPr>
      <w:r>
        <w:rPr>
          <w:rFonts w:eastAsia="仿宋_GB2312"/>
          <w:color w:val="auto"/>
          <w:sz w:val="32"/>
          <w:szCs w:val="32"/>
          <w:highlight w:val="none"/>
        </w:rPr>
        <w:t>（1）预算编制科学性</w:t>
      </w:r>
    </w:p>
    <w:p w14:paraId="0E3BA6D9">
      <w:pPr>
        <w:shd w:val="clear" w:fill="FFFFFF" w:themeFill="background1"/>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6629B54E">
      <w:pPr>
        <w:shd w:val="clear" w:fill="FFFFFF" w:themeFill="background1"/>
        <w:spacing w:line="600" w:lineRule="exact"/>
        <w:ind w:firstLine="640" w:firstLineChars="200"/>
        <w:outlineLvl w:val="0"/>
        <w:rPr>
          <w:rFonts w:eastAsia="仿宋_GB2312"/>
          <w:color w:val="auto"/>
          <w:sz w:val="32"/>
          <w:szCs w:val="32"/>
          <w:highlight w:val="none"/>
        </w:rPr>
      </w:pPr>
      <w:r>
        <w:rPr>
          <w:rFonts w:eastAsia="仿宋_GB2312"/>
          <w:color w:val="auto"/>
          <w:sz w:val="32"/>
          <w:szCs w:val="32"/>
          <w:highlight w:val="none"/>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363D2405">
      <w:pPr>
        <w:shd w:val="clear" w:fill="FFFFFF" w:themeFill="background1"/>
        <w:spacing w:line="600" w:lineRule="exact"/>
        <w:ind w:firstLine="640" w:firstLineChars="200"/>
        <w:outlineLvl w:val="0"/>
        <w:rPr>
          <w:rFonts w:eastAsia="仿宋_GB2312"/>
          <w:color w:val="auto"/>
          <w:sz w:val="32"/>
          <w:szCs w:val="32"/>
          <w:highlight w:val="none"/>
        </w:rPr>
      </w:pPr>
      <w:r>
        <w:rPr>
          <w:rFonts w:eastAsia="仿宋_GB2312"/>
          <w:color w:val="auto"/>
          <w:sz w:val="32"/>
          <w:szCs w:val="32"/>
          <w:highlight w:val="none"/>
        </w:rPr>
        <w:t>（2）资金分配合理性</w:t>
      </w:r>
    </w:p>
    <w:p w14:paraId="5E6CF431">
      <w:pPr>
        <w:shd w:val="clear" w:fill="FFFFFF" w:themeFill="background1"/>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790BE6B2">
      <w:pPr>
        <w:shd w:val="clear" w:fill="FFFFFF" w:themeFill="background1"/>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73E69578">
      <w:pPr>
        <w:shd w:val="clear" w:fill="FFFFFF" w:themeFill="background1"/>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26F8BFF4">
      <w:pPr>
        <w:pStyle w:val="10"/>
        <w:numPr>
          <w:ilvl w:val="0"/>
          <w:numId w:val="3"/>
        </w:numPr>
        <w:shd w:val="clear" w:fill="FFFFFF" w:themeFill="background1"/>
        <w:spacing w:before="0" w:after="0" w:line="560" w:lineRule="exact"/>
        <w:ind w:firstLine="643"/>
        <w:jc w:val="both"/>
        <w:rPr>
          <w:rFonts w:ascii="Times New Roman" w:hAnsi="Times New Roman" w:eastAsia="楷体"/>
          <w:color w:val="auto"/>
          <w:highlight w:val="none"/>
        </w:rPr>
      </w:pPr>
      <w:r>
        <w:rPr>
          <w:rFonts w:ascii="Times New Roman" w:hAnsi="Times New Roman" w:eastAsia="楷体"/>
          <w:color w:val="auto"/>
          <w:highlight w:val="none"/>
        </w:rPr>
        <w:t>项目过程情况</w:t>
      </w:r>
    </w:p>
    <w:p w14:paraId="4D45CD27">
      <w:pPr>
        <w:shd w:val="clear" w:fill="FFFFFF" w:themeFill="background1"/>
        <w:spacing w:line="600" w:lineRule="exact"/>
        <w:ind w:firstLine="640" w:firstLineChars="200"/>
        <w:outlineLvl w:val="0"/>
        <w:rPr>
          <w:rFonts w:eastAsia="仿宋_GB2312"/>
          <w:color w:val="auto"/>
          <w:sz w:val="32"/>
          <w:szCs w:val="32"/>
          <w:highlight w:val="none"/>
        </w:rPr>
      </w:pPr>
      <w:r>
        <w:rPr>
          <w:rFonts w:eastAsia="仿宋_GB2312"/>
          <w:color w:val="auto"/>
          <w:sz w:val="32"/>
          <w:szCs w:val="32"/>
          <w:highlight w:val="none"/>
        </w:rPr>
        <w:t>项目过程类指标包括资金管理和组织实施两方面的内容，由5个三级指标构成，权重分值为20分，实际得分</w:t>
      </w:r>
      <w:r>
        <w:rPr>
          <w:rFonts w:hint="eastAsia" w:eastAsia="仿宋_GB2312"/>
          <w:color w:val="auto"/>
          <w:sz w:val="32"/>
          <w:szCs w:val="32"/>
          <w:highlight w:val="none"/>
        </w:rPr>
        <w:t>20</w:t>
      </w:r>
      <w:r>
        <w:rPr>
          <w:rFonts w:eastAsia="仿宋_GB2312"/>
          <w:color w:val="auto"/>
          <w:sz w:val="32"/>
          <w:szCs w:val="32"/>
          <w:highlight w:val="none"/>
        </w:rPr>
        <w:t>分，得分率为</w:t>
      </w:r>
      <w:r>
        <w:rPr>
          <w:rFonts w:hint="eastAsia" w:eastAsia="仿宋_GB2312"/>
          <w:color w:val="auto"/>
          <w:sz w:val="32"/>
          <w:szCs w:val="32"/>
          <w:highlight w:val="none"/>
        </w:rPr>
        <w:t>100</w:t>
      </w:r>
      <w:r>
        <w:rPr>
          <w:rFonts w:eastAsia="仿宋_GB2312"/>
          <w:color w:val="auto"/>
          <w:sz w:val="32"/>
          <w:szCs w:val="32"/>
          <w:highlight w:val="none"/>
        </w:rPr>
        <w:t>%。</w:t>
      </w:r>
    </w:p>
    <w:p w14:paraId="5FB407A9">
      <w:pPr>
        <w:pStyle w:val="19"/>
        <w:shd w:val="clear" w:fill="FFFFFF" w:themeFill="background1"/>
        <w:spacing w:line="560" w:lineRule="exact"/>
        <w:ind w:firstLine="640"/>
        <w:rPr>
          <w:rFonts w:eastAsia="仿宋_GB2312"/>
          <w:b/>
          <w:bCs/>
          <w:color w:val="auto"/>
          <w:sz w:val="32"/>
          <w:szCs w:val="32"/>
          <w:highlight w:val="none"/>
        </w:rPr>
      </w:pPr>
      <w:r>
        <w:rPr>
          <w:rFonts w:eastAsia="仿宋_GB2312"/>
          <w:b/>
          <w:bCs/>
          <w:color w:val="auto"/>
          <w:sz w:val="32"/>
          <w:szCs w:val="32"/>
          <w:highlight w:val="none"/>
        </w:rPr>
        <w:t>1.资金管理</w:t>
      </w:r>
    </w:p>
    <w:p w14:paraId="76E36D20">
      <w:pPr>
        <w:shd w:val="clear" w:fill="FFFFFF" w:themeFill="background1"/>
        <w:spacing w:line="600" w:lineRule="exact"/>
        <w:ind w:firstLine="640" w:firstLineChars="200"/>
        <w:outlineLvl w:val="0"/>
        <w:rPr>
          <w:rFonts w:eastAsia="仿宋_GB2312"/>
          <w:color w:val="auto"/>
          <w:sz w:val="32"/>
          <w:szCs w:val="32"/>
          <w:highlight w:val="none"/>
        </w:rPr>
      </w:pPr>
      <w:r>
        <w:rPr>
          <w:rFonts w:eastAsia="仿宋_GB2312"/>
          <w:color w:val="auto"/>
          <w:sz w:val="32"/>
          <w:szCs w:val="32"/>
          <w:highlight w:val="none"/>
        </w:rPr>
        <w:t>（1）资金到位率</w:t>
      </w:r>
    </w:p>
    <w:p w14:paraId="1A94D17E">
      <w:pPr>
        <w:shd w:val="clear" w:fill="FFFFFF" w:themeFill="background1"/>
        <w:spacing w:line="600" w:lineRule="exact"/>
        <w:ind w:firstLine="640" w:firstLineChars="200"/>
        <w:outlineLvl w:val="0"/>
        <w:rPr>
          <w:rFonts w:eastAsia="仿宋_GB2312"/>
          <w:color w:val="auto"/>
          <w:sz w:val="32"/>
          <w:szCs w:val="32"/>
          <w:highlight w:val="none"/>
        </w:rPr>
      </w:pPr>
      <w:r>
        <w:rPr>
          <w:rFonts w:eastAsia="仿宋_GB2312"/>
          <w:color w:val="auto"/>
          <w:sz w:val="32"/>
          <w:szCs w:val="32"/>
          <w:highlight w:val="none"/>
        </w:rPr>
        <w:t>本项目总投资</w:t>
      </w:r>
      <w:r>
        <w:rPr>
          <w:rFonts w:hint="eastAsia" w:eastAsia="仿宋_GB2312"/>
          <w:color w:val="auto"/>
          <w:sz w:val="32"/>
          <w:szCs w:val="32"/>
          <w:highlight w:val="none"/>
        </w:rPr>
        <w:t>360.99</w:t>
      </w:r>
      <w:r>
        <w:rPr>
          <w:rFonts w:eastAsia="仿宋_GB2312"/>
          <w:color w:val="auto"/>
          <w:sz w:val="32"/>
          <w:szCs w:val="32"/>
          <w:highlight w:val="none"/>
        </w:rPr>
        <w:t>万元，财政资金及时足额到位，到位率</w:t>
      </w:r>
      <w:r>
        <w:rPr>
          <w:rFonts w:hint="eastAsia" w:eastAsia="仿宋_GB2312"/>
          <w:color w:val="auto"/>
          <w:sz w:val="32"/>
          <w:szCs w:val="32"/>
          <w:highlight w:val="none"/>
        </w:rPr>
        <w:t>100</w:t>
      </w:r>
      <w:r>
        <w:rPr>
          <w:rFonts w:eastAsia="仿宋_GB2312"/>
          <w:color w:val="auto"/>
          <w:sz w:val="32"/>
          <w:szCs w:val="32"/>
          <w:highlight w:val="none"/>
        </w:rPr>
        <w:t>%，预算资金按计划进度执行。</w:t>
      </w:r>
    </w:p>
    <w:p w14:paraId="3E9611EC">
      <w:pPr>
        <w:shd w:val="clear" w:fill="FFFFFF" w:themeFill="background1"/>
        <w:spacing w:line="600" w:lineRule="exact"/>
        <w:ind w:firstLine="640" w:firstLineChars="200"/>
        <w:outlineLvl w:val="0"/>
        <w:rPr>
          <w:rFonts w:eastAsia="仿宋_GB2312"/>
          <w:color w:val="auto"/>
          <w:sz w:val="32"/>
          <w:szCs w:val="32"/>
          <w:highlight w:val="none"/>
        </w:rPr>
      </w:pPr>
      <w:r>
        <w:rPr>
          <w:rFonts w:eastAsia="仿宋_GB2312"/>
          <w:color w:val="auto"/>
          <w:sz w:val="32"/>
          <w:szCs w:val="32"/>
          <w:highlight w:val="none"/>
        </w:rPr>
        <w:t>（2）预算执行率</w:t>
      </w:r>
    </w:p>
    <w:p w14:paraId="1E4B2CDF">
      <w:pPr>
        <w:shd w:val="clear" w:fill="FFFFFF" w:themeFill="background1"/>
        <w:spacing w:line="600" w:lineRule="exact"/>
        <w:ind w:firstLine="640" w:firstLineChars="200"/>
        <w:outlineLvl w:val="0"/>
        <w:rPr>
          <w:rFonts w:eastAsia="仿宋_GB2312"/>
          <w:color w:val="auto"/>
          <w:sz w:val="32"/>
          <w:szCs w:val="32"/>
          <w:highlight w:val="none"/>
        </w:rPr>
      </w:pPr>
      <w:r>
        <w:rPr>
          <w:rFonts w:eastAsia="仿宋_GB2312"/>
          <w:color w:val="auto"/>
          <w:sz w:val="32"/>
          <w:szCs w:val="32"/>
          <w:highlight w:val="none"/>
        </w:rPr>
        <w:t>预算编制较为详细，项目资金支出总体能够按照预算执行，预算资金支出</w:t>
      </w:r>
      <w:r>
        <w:rPr>
          <w:rFonts w:hint="eastAsia" w:eastAsia="仿宋_GB2312"/>
          <w:color w:val="auto"/>
          <w:sz w:val="32"/>
          <w:szCs w:val="32"/>
          <w:highlight w:val="none"/>
        </w:rPr>
        <w:t>250.99</w:t>
      </w:r>
      <w:r>
        <w:rPr>
          <w:rFonts w:eastAsia="仿宋_GB2312"/>
          <w:color w:val="auto"/>
          <w:sz w:val="32"/>
          <w:szCs w:val="32"/>
          <w:highlight w:val="none"/>
        </w:rPr>
        <w:t>万元，预算执行率为</w:t>
      </w:r>
      <w:r>
        <w:rPr>
          <w:rFonts w:hint="eastAsia" w:eastAsia="仿宋_GB2312"/>
          <w:color w:val="auto"/>
          <w:sz w:val="32"/>
          <w:szCs w:val="32"/>
          <w:highlight w:val="none"/>
        </w:rPr>
        <w:t>100</w:t>
      </w:r>
      <w:r>
        <w:rPr>
          <w:rFonts w:eastAsia="仿宋_GB2312"/>
          <w:color w:val="auto"/>
          <w:sz w:val="32"/>
          <w:szCs w:val="32"/>
          <w:highlight w:val="none"/>
        </w:rPr>
        <w:t>%。</w:t>
      </w:r>
    </w:p>
    <w:p w14:paraId="66A9C071">
      <w:pPr>
        <w:shd w:val="clear" w:fill="FFFFFF" w:themeFill="background1"/>
        <w:spacing w:line="600" w:lineRule="exact"/>
        <w:ind w:firstLine="640" w:firstLineChars="200"/>
        <w:outlineLvl w:val="0"/>
        <w:rPr>
          <w:rFonts w:eastAsia="仿宋_GB2312"/>
          <w:color w:val="auto"/>
          <w:sz w:val="32"/>
          <w:szCs w:val="32"/>
          <w:highlight w:val="none"/>
        </w:rPr>
      </w:pPr>
      <w:r>
        <w:rPr>
          <w:rFonts w:eastAsia="仿宋_GB2312"/>
          <w:color w:val="auto"/>
          <w:sz w:val="32"/>
          <w:szCs w:val="32"/>
          <w:highlight w:val="none"/>
        </w:rPr>
        <w:t>（3）资金使用合规性</w:t>
      </w:r>
    </w:p>
    <w:p w14:paraId="29AF3FE4">
      <w:pPr>
        <w:shd w:val="clear" w:fill="FFFFFF" w:themeFill="background1"/>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本项目的资金使用严格遵循了</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关于下达2016年乌鲁木齐市基本公共卫生服务项目资金计划</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乌发改社会[2016]258号</w:t>
      </w:r>
      <w:r>
        <w:rPr>
          <w:rFonts w:hint="eastAsia" w:eastAsia="仿宋_GB2312"/>
          <w:color w:val="auto"/>
          <w:sz w:val="32"/>
          <w:szCs w:val="32"/>
          <w:highlight w:val="none"/>
          <w:lang w:eastAsia="zh-CN"/>
        </w:rPr>
        <w:t>、《国家财政基本公共卫生服务补助资金》乌财社</w:t>
      </w:r>
      <w:r>
        <w:rPr>
          <w:rFonts w:hint="eastAsia" w:eastAsia="仿宋_GB2312"/>
          <w:color w:val="auto"/>
          <w:sz w:val="32"/>
          <w:szCs w:val="32"/>
          <w:highlight w:val="none"/>
          <w:lang w:val="en-US" w:eastAsia="zh-CN"/>
        </w:rPr>
        <w:t>[</w:t>
      </w:r>
      <w:r>
        <w:rPr>
          <w:rFonts w:hint="eastAsia" w:eastAsia="仿宋_GB2312"/>
          <w:color w:val="auto"/>
          <w:sz w:val="32"/>
          <w:szCs w:val="32"/>
          <w:highlight w:val="none"/>
          <w:lang w:eastAsia="zh-CN"/>
        </w:rPr>
        <w:t>2023</w:t>
      </w:r>
      <w:r>
        <w:rPr>
          <w:rFonts w:hint="eastAsia" w:eastAsia="仿宋_GB2312"/>
          <w:color w:val="auto"/>
          <w:sz w:val="32"/>
          <w:szCs w:val="32"/>
          <w:highlight w:val="none"/>
          <w:lang w:val="en-US" w:eastAsia="zh-CN"/>
        </w:rPr>
        <w:t>]</w:t>
      </w:r>
      <w:r>
        <w:rPr>
          <w:rFonts w:hint="eastAsia" w:eastAsia="仿宋_GB2312"/>
          <w:color w:val="auto"/>
          <w:sz w:val="32"/>
          <w:szCs w:val="32"/>
          <w:highlight w:val="none"/>
          <w:lang w:eastAsia="zh-CN"/>
        </w:rPr>
        <w:t>266号-2024</w:t>
      </w:r>
      <w:r>
        <w:rPr>
          <w:rFonts w:hint="eastAsia" w:eastAsia="仿宋_GB2312"/>
          <w:color w:val="auto"/>
          <w:sz w:val="32"/>
          <w:szCs w:val="32"/>
          <w:highlight w:val="none"/>
          <w:lang w:val="en-US" w:eastAsia="zh-CN"/>
        </w:rPr>
        <w:t>等</w:t>
      </w:r>
      <w:r>
        <w:rPr>
          <w:rFonts w:eastAsia="仿宋_GB2312"/>
          <w:color w:val="auto"/>
          <w:sz w:val="32"/>
          <w:szCs w:val="32"/>
          <w:highlight w:val="none"/>
        </w:rPr>
        <w:t>国家相关法律法规与财务制度，确保了资金的合规性与安全性。在资金使用过程中，我们建立了完善的财务管理体系，对资金的流动进行了全程监控与记录。</w:t>
      </w:r>
    </w:p>
    <w:p w14:paraId="34AF4F15">
      <w:pPr>
        <w:shd w:val="clear" w:fill="FFFFFF" w:themeFill="background1"/>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4BAC2A8B">
      <w:pPr>
        <w:shd w:val="clear" w:fill="FFFFFF" w:themeFill="background1"/>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2E3D6B05">
      <w:pPr>
        <w:pStyle w:val="19"/>
        <w:shd w:val="clear" w:fill="FFFFFF" w:themeFill="background1"/>
        <w:spacing w:line="560" w:lineRule="exact"/>
        <w:ind w:firstLine="640"/>
        <w:rPr>
          <w:rFonts w:eastAsia="仿宋_GB2312"/>
          <w:b/>
          <w:bCs/>
          <w:color w:val="auto"/>
          <w:sz w:val="32"/>
          <w:szCs w:val="32"/>
          <w:highlight w:val="none"/>
        </w:rPr>
      </w:pPr>
      <w:r>
        <w:rPr>
          <w:rFonts w:eastAsia="仿宋_GB2312"/>
          <w:b/>
          <w:bCs/>
          <w:color w:val="auto"/>
          <w:sz w:val="32"/>
          <w:szCs w:val="32"/>
          <w:highlight w:val="none"/>
        </w:rPr>
        <w:t>2.组织实施</w:t>
      </w:r>
    </w:p>
    <w:p w14:paraId="1C72E200">
      <w:pPr>
        <w:shd w:val="clear" w:fill="FFFFFF" w:themeFill="background1"/>
        <w:spacing w:line="600" w:lineRule="exact"/>
        <w:ind w:firstLine="640" w:firstLineChars="200"/>
        <w:outlineLvl w:val="0"/>
        <w:rPr>
          <w:rFonts w:eastAsia="仿宋_GB2312"/>
          <w:color w:val="auto"/>
          <w:sz w:val="32"/>
          <w:szCs w:val="32"/>
          <w:highlight w:val="none"/>
        </w:rPr>
      </w:pPr>
      <w:r>
        <w:rPr>
          <w:rFonts w:eastAsia="仿宋_GB2312"/>
          <w:color w:val="auto"/>
          <w:sz w:val="32"/>
          <w:szCs w:val="32"/>
          <w:highlight w:val="none"/>
        </w:rPr>
        <w:t>（1）管理制度健全性</w:t>
      </w:r>
    </w:p>
    <w:p w14:paraId="337C6306">
      <w:pPr>
        <w:shd w:val="clear" w:fill="FFFFFF" w:themeFill="background1"/>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本项目拥有一套完善、健全的管理制度体系，为项目的成功实施提供了坚实的制度保障。项目管理制度的制定紧密结合了项目的特点与实际情况，涵盖了项目的策划、组织、实施、监控与收尾等各个环节。</w:t>
      </w:r>
    </w:p>
    <w:p w14:paraId="0DFF6418">
      <w:pPr>
        <w:shd w:val="clear" w:fill="FFFFFF" w:themeFill="background1"/>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在制度设计上，我们注重了制度的科学性与可操作性，确保制度能够切实指导项目的执行与管理。</w:t>
      </w:r>
    </w:p>
    <w:p w14:paraId="5F7D16C1">
      <w:pPr>
        <w:shd w:val="clear" w:fill="FFFFFF" w:themeFill="background1"/>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2D43B680">
      <w:pPr>
        <w:shd w:val="clear" w:fill="FFFFFF" w:themeFill="background1"/>
        <w:spacing w:line="600" w:lineRule="exact"/>
        <w:ind w:firstLine="640" w:firstLineChars="200"/>
        <w:outlineLvl w:val="0"/>
        <w:rPr>
          <w:rFonts w:eastAsia="仿宋_GB2312"/>
          <w:color w:val="auto"/>
          <w:sz w:val="32"/>
          <w:szCs w:val="32"/>
          <w:highlight w:val="none"/>
        </w:rPr>
      </w:pPr>
      <w:r>
        <w:rPr>
          <w:rFonts w:eastAsia="仿宋_GB2312"/>
          <w:color w:val="auto"/>
          <w:sz w:val="32"/>
          <w:szCs w:val="32"/>
          <w:highlight w:val="none"/>
        </w:rPr>
        <w:t>综上所述，本项目的管理制度是健全的、有效的，既符合项目的实际情况，又满足了项目管理的需要。管理制度的健全性为项目的成功实施提供了有力的保障，也为项目的绩效评价奠定了坚实的基础。</w:t>
      </w:r>
    </w:p>
    <w:p w14:paraId="25F53A1B">
      <w:pPr>
        <w:shd w:val="clear" w:fill="FFFFFF" w:themeFill="background1"/>
        <w:spacing w:line="600" w:lineRule="exact"/>
        <w:ind w:firstLine="640" w:firstLineChars="200"/>
        <w:outlineLvl w:val="0"/>
        <w:rPr>
          <w:rFonts w:eastAsia="仿宋_GB2312"/>
          <w:color w:val="auto"/>
          <w:sz w:val="32"/>
          <w:szCs w:val="32"/>
          <w:highlight w:val="none"/>
        </w:rPr>
      </w:pPr>
      <w:r>
        <w:rPr>
          <w:rFonts w:eastAsia="仿宋_GB2312"/>
          <w:color w:val="auto"/>
          <w:sz w:val="32"/>
          <w:szCs w:val="32"/>
          <w:highlight w:val="none"/>
        </w:rPr>
        <w:t>（2）制度执行有效性</w:t>
      </w:r>
    </w:p>
    <w:p w14:paraId="374989D7">
      <w:pPr>
        <w:shd w:val="clear" w:fill="FFFFFF" w:themeFill="background1"/>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效执行。</w:t>
      </w:r>
    </w:p>
    <w:p w14:paraId="25EFC6F3">
      <w:pPr>
        <w:shd w:val="clear" w:fill="FFFFFF" w:themeFill="background1"/>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在具体执行过程中，项目团队成员严格按照制度要求进行操作。同时，我们还建立了有效的沟通机制与反馈机制，确保项目信息的及时传递与问题的及时解决，进一步提高了制度执行的效率与效果。</w:t>
      </w:r>
    </w:p>
    <w:p w14:paraId="17CA6889">
      <w:pPr>
        <w:shd w:val="clear" w:fill="FFFFFF" w:themeFill="background1"/>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综上所述，本项目的管理制度在执行过程中表现出了高度的有效性，既确保了项目的顺利进行，又实现了项目目标的有效达成。</w:t>
      </w:r>
    </w:p>
    <w:p w14:paraId="1465E157">
      <w:pPr>
        <w:pStyle w:val="12"/>
        <w:numPr>
          <w:ilvl w:val="0"/>
          <w:numId w:val="3"/>
        </w:numPr>
        <w:shd w:val="clear" w:fill="FFFFFF" w:themeFill="background1"/>
        <w:spacing w:line="560" w:lineRule="exact"/>
        <w:ind w:firstLine="643" w:firstLineChars="0"/>
        <w:rPr>
          <w:rFonts w:eastAsia="楷体_GB2312"/>
          <w:b/>
          <w:bCs/>
          <w:color w:val="auto"/>
          <w:sz w:val="32"/>
          <w:szCs w:val="32"/>
          <w:highlight w:val="none"/>
        </w:rPr>
      </w:pPr>
      <w:r>
        <w:rPr>
          <w:rFonts w:eastAsia="楷体_GB2312"/>
          <w:b/>
          <w:bCs/>
          <w:color w:val="auto"/>
          <w:sz w:val="32"/>
          <w:szCs w:val="32"/>
          <w:highlight w:val="none"/>
        </w:rPr>
        <w:t>项目产出情况</w:t>
      </w:r>
    </w:p>
    <w:p w14:paraId="78985A95">
      <w:pPr>
        <w:shd w:val="clear" w:fill="FFFFFF" w:themeFill="background1"/>
        <w:spacing w:line="600" w:lineRule="exact"/>
        <w:ind w:firstLine="640" w:firstLineChars="200"/>
        <w:outlineLvl w:val="0"/>
        <w:rPr>
          <w:rFonts w:eastAsia="仿宋_GB2312"/>
          <w:color w:val="auto"/>
          <w:sz w:val="32"/>
          <w:szCs w:val="32"/>
          <w:highlight w:val="none"/>
        </w:rPr>
      </w:pPr>
      <w:r>
        <w:rPr>
          <w:rFonts w:eastAsia="仿宋_GB2312"/>
          <w:color w:val="auto"/>
          <w:sz w:val="32"/>
          <w:szCs w:val="32"/>
          <w:highlight w:val="none"/>
        </w:rPr>
        <w:t>项目产出类指标包括产出数量、产出质量、产出时效、产出成本四方面的内容，由</w:t>
      </w:r>
      <w:r>
        <w:rPr>
          <w:rFonts w:hint="eastAsia" w:eastAsia="仿宋_GB2312"/>
          <w:color w:val="auto"/>
          <w:sz w:val="32"/>
          <w:szCs w:val="32"/>
          <w:highlight w:val="none"/>
          <w:lang w:val="en-US" w:eastAsia="zh-CN"/>
        </w:rPr>
        <w:t>10</w:t>
      </w:r>
      <w:r>
        <w:rPr>
          <w:rFonts w:eastAsia="仿宋_GB2312"/>
          <w:color w:val="auto"/>
          <w:sz w:val="32"/>
          <w:szCs w:val="32"/>
          <w:highlight w:val="none"/>
        </w:rPr>
        <w:t>个三级指标构成，权重分为40分，实际得分</w:t>
      </w:r>
      <w:r>
        <w:rPr>
          <w:rFonts w:hint="eastAsia" w:eastAsia="仿宋_GB2312"/>
          <w:color w:val="auto"/>
          <w:sz w:val="32"/>
          <w:szCs w:val="32"/>
          <w:highlight w:val="none"/>
        </w:rPr>
        <w:t>40</w:t>
      </w:r>
      <w:r>
        <w:rPr>
          <w:rFonts w:eastAsia="仿宋_GB2312"/>
          <w:color w:val="auto"/>
          <w:sz w:val="32"/>
          <w:szCs w:val="32"/>
          <w:highlight w:val="none"/>
        </w:rPr>
        <w:t>分，得分率为</w:t>
      </w:r>
      <w:r>
        <w:rPr>
          <w:rFonts w:hint="eastAsia" w:eastAsia="仿宋_GB2312"/>
          <w:color w:val="auto"/>
          <w:sz w:val="32"/>
          <w:szCs w:val="32"/>
          <w:highlight w:val="none"/>
        </w:rPr>
        <w:t>100</w:t>
      </w:r>
      <w:r>
        <w:rPr>
          <w:rFonts w:eastAsia="仿宋_GB2312"/>
          <w:color w:val="auto"/>
          <w:sz w:val="32"/>
          <w:szCs w:val="32"/>
          <w:highlight w:val="none"/>
        </w:rPr>
        <w:t>%。具体产出指标完成情况如下：</w:t>
      </w:r>
    </w:p>
    <w:p w14:paraId="7B2E0243">
      <w:pPr>
        <w:shd w:val="clear" w:fill="FFFFFF" w:themeFill="background1"/>
        <w:spacing w:line="600" w:lineRule="exact"/>
        <w:ind w:firstLine="640" w:firstLineChars="200"/>
        <w:outlineLvl w:val="0"/>
        <w:rPr>
          <w:rFonts w:eastAsia="仿宋_GB2312"/>
          <w:color w:val="auto"/>
          <w:sz w:val="32"/>
          <w:szCs w:val="32"/>
          <w:highlight w:val="none"/>
        </w:rPr>
      </w:pPr>
      <w:r>
        <w:rPr>
          <w:rFonts w:eastAsia="仿宋_GB2312"/>
          <w:color w:val="auto"/>
          <w:sz w:val="32"/>
          <w:szCs w:val="32"/>
          <w:highlight w:val="none"/>
        </w:rPr>
        <w:fldChar w:fldCharType="begin"/>
      </w:r>
      <w:r>
        <w:rPr>
          <w:rFonts w:eastAsia="仿宋_GB2312"/>
          <w:color w:val="auto"/>
          <w:sz w:val="32"/>
          <w:szCs w:val="32"/>
          <w:highlight w:val="none"/>
        </w:rPr>
        <w:instrText xml:space="preserve"> = 1 \* GB3 </w:instrText>
      </w:r>
      <w:r>
        <w:rPr>
          <w:rFonts w:eastAsia="仿宋_GB2312"/>
          <w:color w:val="auto"/>
          <w:sz w:val="32"/>
          <w:szCs w:val="32"/>
          <w:highlight w:val="none"/>
        </w:rPr>
        <w:fldChar w:fldCharType="separate"/>
      </w:r>
      <w:r>
        <w:rPr>
          <w:rFonts w:eastAsia="仿宋_GB2312"/>
          <w:color w:val="auto"/>
          <w:sz w:val="32"/>
          <w:szCs w:val="32"/>
          <w:highlight w:val="none"/>
        </w:rPr>
        <w:t>①</w:t>
      </w:r>
      <w:r>
        <w:rPr>
          <w:rFonts w:eastAsia="仿宋_GB2312"/>
          <w:color w:val="auto"/>
          <w:sz w:val="32"/>
          <w:szCs w:val="32"/>
          <w:highlight w:val="none"/>
        </w:rPr>
        <w:fldChar w:fldCharType="end"/>
      </w:r>
      <w:r>
        <w:rPr>
          <w:rFonts w:eastAsia="仿宋_GB2312"/>
          <w:color w:val="auto"/>
          <w:sz w:val="32"/>
          <w:szCs w:val="32"/>
          <w:highlight w:val="none"/>
        </w:rPr>
        <w:t>数量指标：</w:t>
      </w:r>
    </w:p>
    <w:p w14:paraId="18008E49">
      <w:pPr>
        <w:shd w:val="clear" w:fill="FFFFFF" w:themeFill="background1"/>
        <w:spacing w:line="600" w:lineRule="exact"/>
        <w:ind w:firstLine="640" w:firstLineChars="200"/>
        <w:outlineLvl w:val="0"/>
        <w:rPr>
          <w:rFonts w:eastAsia="仿宋_GB2312"/>
          <w:color w:val="auto"/>
          <w:sz w:val="32"/>
          <w:szCs w:val="32"/>
          <w:highlight w:val="none"/>
        </w:rPr>
      </w:pPr>
      <w:r>
        <w:rPr>
          <w:rFonts w:eastAsia="仿宋_GB2312"/>
          <w:color w:val="auto"/>
          <w:sz w:val="32"/>
          <w:szCs w:val="32"/>
          <w:highlight w:val="none"/>
        </w:rPr>
        <w:t>指标1：本中心项目受益人数，指标值：</w:t>
      </w:r>
      <w:r>
        <w:rPr>
          <w:rFonts w:hint="eastAsia" w:eastAsia="仿宋_GB2312"/>
          <w:color w:val="auto"/>
          <w:sz w:val="32"/>
          <w:szCs w:val="32"/>
          <w:highlight w:val="none"/>
        </w:rPr>
        <w:t>&gt;=</w:t>
      </w:r>
      <w:r>
        <w:rPr>
          <w:rFonts w:hint="eastAsia" w:eastAsia="仿宋_GB2312"/>
          <w:color w:val="auto"/>
          <w:sz w:val="32"/>
          <w:szCs w:val="32"/>
          <w:highlight w:val="none"/>
          <w:lang w:val="en-US" w:eastAsia="zh-CN"/>
        </w:rPr>
        <w:t>12732</w:t>
      </w:r>
      <w:r>
        <w:rPr>
          <w:rFonts w:hint="eastAsia" w:eastAsia="仿宋_GB2312"/>
          <w:color w:val="auto"/>
          <w:sz w:val="32"/>
          <w:szCs w:val="32"/>
          <w:highlight w:val="none"/>
        </w:rPr>
        <w:t>人</w:t>
      </w:r>
      <w:r>
        <w:rPr>
          <w:rFonts w:eastAsia="仿宋_GB2312"/>
          <w:color w:val="auto"/>
          <w:sz w:val="32"/>
          <w:szCs w:val="32"/>
          <w:highlight w:val="none"/>
        </w:rPr>
        <w:t>，实际完成值：</w:t>
      </w:r>
      <w:r>
        <w:rPr>
          <w:rFonts w:hint="eastAsia" w:eastAsia="仿宋_GB2312"/>
          <w:color w:val="auto"/>
          <w:sz w:val="32"/>
          <w:szCs w:val="32"/>
          <w:highlight w:val="none"/>
          <w:lang w:val="en-US" w:eastAsia="zh-CN"/>
        </w:rPr>
        <w:t>12732</w:t>
      </w:r>
      <w:r>
        <w:rPr>
          <w:rFonts w:hint="eastAsia" w:eastAsia="仿宋_GB2312"/>
          <w:color w:val="auto"/>
          <w:sz w:val="32"/>
          <w:szCs w:val="32"/>
          <w:highlight w:val="none"/>
        </w:rPr>
        <w:t>人</w:t>
      </w:r>
      <w:r>
        <w:rPr>
          <w:rFonts w:eastAsia="仿宋_GB2312"/>
          <w:color w:val="auto"/>
          <w:sz w:val="32"/>
          <w:szCs w:val="32"/>
          <w:highlight w:val="none"/>
        </w:rPr>
        <w:t>，指标完成率</w:t>
      </w:r>
      <w:r>
        <w:rPr>
          <w:rFonts w:hint="eastAsia" w:eastAsia="仿宋_GB2312"/>
          <w:color w:val="auto"/>
          <w:sz w:val="32"/>
          <w:szCs w:val="32"/>
          <w:highlight w:val="none"/>
        </w:rPr>
        <w:t>100</w:t>
      </w:r>
      <w:r>
        <w:rPr>
          <w:rFonts w:eastAsia="仿宋_GB2312"/>
          <w:color w:val="auto"/>
          <w:sz w:val="32"/>
          <w:szCs w:val="32"/>
          <w:highlight w:val="none"/>
        </w:rPr>
        <w:t>%</w:t>
      </w:r>
      <w:r>
        <w:rPr>
          <w:rFonts w:hint="eastAsia" w:eastAsia="仿宋_GB2312"/>
          <w:color w:val="auto"/>
          <w:sz w:val="32"/>
          <w:szCs w:val="32"/>
          <w:highlight w:val="none"/>
        </w:rPr>
        <w:t>。</w:t>
      </w:r>
    </w:p>
    <w:p w14:paraId="1F5E8117">
      <w:pPr>
        <w:shd w:val="clear" w:fill="FFFFFF" w:themeFill="background1"/>
        <w:spacing w:line="600" w:lineRule="exact"/>
        <w:ind w:firstLine="640" w:firstLineChars="200"/>
        <w:outlineLvl w:val="0"/>
        <w:rPr>
          <w:rFonts w:eastAsia="仿宋_GB2312"/>
          <w:color w:val="auto"/>
          <w:sz w:val="32"/>
          <w:szCs w:val="32"/>
          <w:highlight w:val="none"/>
        </w:rPr>
      </w:pPr>
      <w:r>
        <w:rPr>
          <w:rFonts w:hint="eastAsia" w:eastAsia="仿宋_GB2312"/>
          <w:color w:val="auto"/>
          <w:sz w:val="32"/>
          <w:szCs w:val="32"/>
          <w:highlight w:val="none"/>
        </w:rPr>
        <w:t>指标2：下属站受益人数，</w:t>
      </w:r>
      <w:r>
        <w:rPr>
          <w:rFonts w:eastAsia="仿宋_GB2312"/>
          <w:color w:val="auto"/>
          <w:sz w:val="32"/>
          <w:szCs w:val="32"/>
          <w:highlight w:val="none"/>
        </w:rPr>
        <w:t>指标值：</w:t>
      </w:r>
      <w:r>
        <w:rPr>
          <w:rFonts w:hint="eastAsia" w:eastAsia="仿宋_GB2312"/>
          <w:color w:val="auto"/>
          <w:sz w:val="32"/>
          <w:szCs w:val="32"/>
          <w:highlight w:val="none"/>
        </w:rPr>
        <w:t>&gt;=</w:t>
      </w:r>
      <w:r>
        <w:rPr>
          <w:rFonts w:hint="eastAsia" w:eastAsia="仿宋_GB2312"/>
          <w:color w:val="auto"/>
          <w:sz w:val="32"/>
          <w:szCs w:val="32"/>
          <w:highlight w:val="none"/>
          <w:lang w:val="en-US" w:eastAsia="zh-CN"/>
        </w:rPr>
        <w:t>36383</w:t>
      </w:r>
      <w:r>
        <w:rPr>
          <w:rFonts w:hint="eastAsia" w:eastAsia="仿宋_GB2312"/>
          <w:color w:val="auto"/>
          <w:sz w:val="32"/>
          <w:szCs w:val="32"/>
          <w:highlight w:val="none"/>
        </w:rPr>
        <w:t>人</w:t>
      </w:r>
      <w:r>
        <w:rPr>
          <w:rFonts w:eastAsia="仿宋_GB2312"/>
          <w:color w:val="auto"/>
          <w:sz w:val="32"/>
          <w:szCs w:val="32"/>
          <w:highlight w:val="none"/>
        </w:rPr>
        <w:t>，实际完成值：</w:t>
      </w:r>
      <w:r>
        <w:rPr>
          <w:rFonts w:hint="eastAsia" w:eastAsia="仿宋_GB2312"/>
          <w:color w:val="auto"/>
          <w:sz w:val="32"/>
          <w:szCs w:val="32"/>
          <w:highlight w:val="none"/>
          <w:lang w:val="en-US" w:eastAsia="zh-CN"/>
        </w:rPr>
        <w:t>36383</w:t>
      </w:r>
      <w:r>
        <w:rPr>
          <w:rFonts w:hint="eastAsia" w:eastAsia="仿宋_GB2312"/>
          <w:color w:val="auto"/>
          <w:sz w:val="32"/>
          <w:szCs w:val="32"/>
          <w:highlight w:val="none"/>
        </w:rPr>
        <w:t>人</w:t>
      </w:r>
      <w:r>
        <w:rPr>
          <w:rFonts w:eastAsia="仿宋_GB2312"/>
          <w:color w:val="auto"/>
          <w:sz w:val="32"/>
          <w:szCs w:val="32"/>
          <w:highlight w:val="none"/>
        </w:rPr>
        <w:t>，指标完成率</w:t>
      </w:r>
      <w:r>
        <w:rPr>
          <w:rFonts w:hint="eastAsia" w:eastAsia="仿宋_GB2312"/>
          <w:color w:val="auto"/>
          <w:sz w:val="32"/>
          <w:szCs w:val="32"/>
          <w:highlight w:val="none"/>
        </w:rPr>
        <w:t>100</w:t>
      </w:r>
      <w:r>
        <w:rPr>
          <w:rFonts w:eastAsia="仿宋_GB2312"/>
          <w:color w:val="auto"/>
          <w:sz w:val="32"/>
          <w:szCs w:val="32"/>
          <w:highlight w:val="none"/>
        </w:rPr>
        <w:t>%</w:t>
      </w:r>
      <w:r>
        <w:rPr>
          <w:rFonts w:hint="eastAsia" w:eastAsia="仿宋_GB2312"/>
          <w:color w:val="auto"/>
          <w:sz w:val="32"/>
          <w:szCs w:val="32"/>
          <w:highlight w:val="none"/>
        </w:rPr>
        <w:t>。</w:t>
      </w:r>
    </w:p>
    <w:p w14:paraId="4AA4AE30">
      <w:pPr>
        <w:shd w:val="clear" w:fill="FFFFFF" w:themeFill="background1"/>
        <w:spacing w:line="600" w:lineRule="exact"/>
        <w:ind w:firstLine="640" w:firstLineChars="200"/>
        <w:outlineLvl w:val="0"/>
        <w:rPr>
          <w:rFonts w:eastAsia="仿宋_GB2312"/>
          <w:color w:val="auto"/>
          <w:sz w:val="32"/>
          <w:szCs w:val="32"/>
          <w:highlight w:val="none"/>
        </w:rPr>
      </w:pPr>
      <w:r>
        <w:rPr>
          <w:rFonts w:eastAsia="仿宋_GB2312"/>
          <w:color w:val="auto"/>
          <w:sz w:val="32"/>
          <w:szCs w:val="32"/>
          <w:highlight w:val="none"/>
        </w:rPr>
        <w:fldChar w:fldCharType="begin"/>
      </w:r>
      <w:r>
        <w:rPr>
          <w:rFonts w:eastAsia="仿宋_GB2312"/>
          <w:color w:val="auto"/>
          <w:sz w:val="32"/>
          <w:szCs w:val="32"/>
          <w:highlight w:val="none"/>
        </w:rPr>
        <w:instrText xml:space="preserve"> = 2 \* GB3 </w:instrText>
      </w:r>
      <w:r>
        <w:rPr>
          <w:rFonts w:eastAsia="仿宋_GB2312"/>
          <w:color w:val="auto"/>
          <w:sz w:val="32"/>
          <w:szCs w:val="32"/>
          <w:highlight w:val="none"/>
        </w:rPr>
        <w:fldChar w:fldCharType="separate"/>
      </w:r>
      <w:r>
        <w:rPr>
          <w:rFonts w:eastAsia="仿宋_GB2312"/>
          <w:color w:val="auto"/>
          <w:sz w:val="32"/>
          <w:szCs w:val="32"/>
          <w:highlight w:val="none"/>
        </w:rPr>
        <w:t>②</w:t>
      </w:r>
      <w:r>
        <w:rPr>
          <w:rFonts w:eastAsia="仿宋_GB2312"/>
          <w:color w:val="auto"/>
          <w:sz w:val="32"/>
          <w:szCs w:val="32"/>
          <w:highlight w:val="none"/>
        </w:rPr>
        <w:fldChar w:fldCharType="end"/>
      </w:r>
      <w:r>
        <w:rPr>
          <w:rFonts w:eastAsia="仿宋_GB2312"/>
          <w:color w:val="auto"/>
          <w:sz w:val="32"/>
          <w:szCs w:val="32"/>
          <w:highlight w:val="none"/>
        </w:rPr>
        <w:t>质量指标：</w:t>
      </w:r>
    </w:p>
    <w:p w14:paraId="4231A3CB">
      <w:pPr>
        <w:shd w:val="clear" w:fill="FFFFFF" w:themeFill="background1"/>
        <w:spacing w:line="600" w:lineRule="exact"/>
        <w:ind w:firstLine="640" w:firstLineChars="200"/>
        <w:outlineLvl w:val="0"/>
        <w:rPr>
          <w:rFonts w:hint="eastAsia" w:eastAsia="仿宋_GB2312"/>
          <w:color w:val="auto"/>
          <w:sz w:val="32"/>
          <w:szCs w:val="32"/>
          <w:highlight w:val="none"/>
          <w:lang w:eastAsia="zh-CN"/>
        </w:rPr>
      </w:pPr>
      <w:r>
        <w:rPr>
          <w:rFonts w:hint="eastAsia" w:eastAsia="仿宋_GB2312"/>
          <w:color w:val="auto"/>
          <w:sz w:val="32"/>
          <w:szCs w:val="32"/>
          <w:highlight w:val="none"/>
          <w:lang w:val="en-US" w:eastAsia="zh-CN"/>
        </w:rPr>
        <w:t>指标</w:t>
      </w:r>
      <w:r>
        <w:rPr>
          <w:rFonts w:hint="eastAsia" w:eastAsia="仿宋_GB2312"/>
          <w:color w:val="auto"/>
          <w:sz w:val="32"/>
          <w:szCs w:val="32"/>
          <w:highlight w:val="none"/>
        </w:rPr>
        <w:t>1：</w:t>
      </w:r>
      <w:r>
        <w:rPr>
          <w:rFonts w:eastAsia="仿宋_GB2312"/>
          <w:color w:val="auto"/>
          <w:sz w:val="32"/>
          <w:szCs w:val="32"/>
          <w:highlight w:val="none"/>
        </w:rPr>
        <w:t>居民规范化电子健康档案覆盖率，指标值：</w:t>
      </w:r>
      <w:r>
        <w:rPr>
          <w:rFonts w:hint="eastAsia" w:eastAsia="仿宋_GB2312"/>
          <w:color w:val="auto"/>
          <w:sz w:val="32"/>
          <w:szCs w:val="32"/>
          <w:highlight w:val="none"/>
        </w:rPr>
        <w:t>&gt;=65%</w:t>
      </w:r>
      <w:r>
        <w:rPr>
          <w:rFonts w:eastAsia="仿宋_GB2312"/>
          <w:color w:val="auto"/>
          <w:sz w:val="32"/>
          <w:szCs w:val="32"/>
          <w:highlight w:val="none"/>
        </w:rPr>
        <w:t>，实际完成值：</w:t>
      </w:r>
      <w:r>
        <w:rPr>
          <w:rFonts w:hint="eastAsia" w:eastAsia="仿宋_GB2312"/>
          <w:color w:val="auto"/>
          <w:sz w:val="32"/>
          <w:szCs w:val="32"/>
          <w:highlight w:val="none"/>
        </w:rPr>
        <w:t>65%</w:t>
      </w:r>
      <w:r>
        <w:rPr>
          <w:rFonts w:eastAsia="仿宋_GB2312"/>
          <w:color w:val="auto"/>
          <w:sz w:val="32"/>
          <w:szCs w:val="32"/>
          <w:highlight w:val="none"/>
        </w:rPr>
        <w:t>，指标完成率</w:t>
      </w:r>
      <w:r>
        <w:rPr>
          <w:rFonts w:hint="eastAsia" w:eastAsia="仿宋_GB2312"/>
          <w:color w:val="auto"/>
          <w:sz w:val="32"/>
          <w:szCs w:val="32"/>
          <w:highlight w:val="none"/>
        </w:rPr>
        <w:t>100</w:t>
      </w:r>
      <w:r>
        <w:rPr>
          <w:rFonts w:eastAsia="仿宋_GB2312"/>
          <w:color w:val="auto"/>
          <w:sz w:val="32"/>
          <w:szCs w:val="32"/>
          <w:highlight w:val="none"/>
        </w:rPr>
        <w:t>%</w:t>
      </w:r>
      <w:r>
        <w:rPr>
          <w:rFonts w:hint="eastAsia" w:eastAsia="仿宋_GB2312"/>
          <w:color w:val="auto"/>
          <w:sz w:val="32"/>
          <w:szCs w:val="32"/>
          <w:highlight w:val="none"/>
          <w:lang w:eastAsia="zh-CN"/>
        </w:rPr>
        <w:t>。</w:t>
      </w:r>
    </w:p>
    <w:p w14:paraId="76B60506">
      <w:pPr>
        <w:shd w:val="clear" w:fill="FFFFFF" w:themeFill="background1"/>
        <w:spacing w:line="600" w:lineRule="exact"/>
        <w:ind w:firstLine="640" w:firstLineChars="200"/>
        <w:outlineLvl w:val="0"/>
        <w:rPr>
          <w:rFonts w:hint="eastAsia" w:eastAsia="仿宋_GB2312"/>
          <w:color w:val="auto"/>
          <w:sz w:val="32"/>
          <w:szCs w:val="32"/>
          <w:highlight w:val="none"/>
          <w:lang w:eastAsia="zh-CN"/>
        </w:rPr>
      </w:pPr>
      <w:r>
        <w:rPr>
          <w:rFonts w:hint="eastAsia" w:eastAsia="仿宋_GB2312"/>
          <w:color w:val="auto"/>
          <w:sz w:val="32"/>
          <w:szCs w:val="32"/>
          <w:highlight w:val="none"/>
          <w:lang w:val="en-US" w:eastAsia="zh-CN"/>
        </w:rPr>
        <w:t>指标2</w:t>
      </w:r>
      <w:r>
        <w:rPr>
          <w:rFonts w:hint="eastAsia" w:eastAsia="仿宋_GB2312"/>
          <w:color w:val="auto"/>
          <w:sz w:val="32"/>
          <w:szCs w:val="32"/>
          <w:highlight w:val="none"/>
        </w:rPr>
        <w:t>：0-6岁儿童眼保健和视力检查覆盖率</w:t>
      </w:r>
      <w:r>
        <w:rPr>
          <w:rFonts w:eastAsia="仿宋_GB2312"/>
          <w:color w:val="auto"/>
          <w:sz w:val="32"/>
          <w:szCs w:val="32"/>
          <w:highlight w:val="none"/>
        </w:rPr>
        <w:t>，指标值：</w:t>
      </w:r>
      <w:r>
        <w:rPr>
          <w:rFonts w:hint="eastAsia" w:eastAsia="仿宋_GB2312"/>
          <w:color w:val="auto"/>
          <w:sz w:val="32"/>
          <w:szCs w:val="32"/>
          <w:highlight w:val="none"/>
        </w:rPr>
        <w:t>&gt;=9</w:t>
      </w:r>
      <w:r>
        <w:rPr>
          <w:rFonts w:hint="eastAsia" w:eastAsia="仿宋_GB2312"/>
          <w:color w:val="auto"/>
          <w:sz w:val="32"/>
          <w:szCs w:val="32"/>
          <w:highlight w:val="none"/>
          <w:lang w:val="en-US" w:eastAsia="zh-CN"/>
        </w:rPr>
        <w:t>2</w:t>
      </w:r>
      <w:r>
        <w:rPr>
          <w:rFonts w:hint="eastAsia" w:eastAsia="仿宋_GB2312"/>
          <w:color w:val="auto"/>
          <w:sz w:val="32"/>
          <w:szCs w:val="32"/>
          <w:highlight w:val="none"/>
        </w:rPr>
        <w:t>%</w:t>
      </w:r>
      <w:r>
        <w:rPr>
          <w:rFonts w:eastAsia="仿宋_GB2312"/>
          <w:color w:val="auto"/>
          <w:sz w:val="32"/>
          <w:szCs w:val="32"/>
          <w:highlight w:val="none"/>
        </w:rPr>
        <w:t>，实际完成值：</w:t>
      </w:r>
      <w:r>
        <w:rPr>
          <w:rFonts w:hint="eastAsia" w:eastAsia="仿宋_GB2312"/>
          <w:color w:val="auto"/>
          <w:sz w:val="32"/>
          <w:szCs w:val="32"/>
          <w:highlight w:val="none"/>
          <w:lang w:val="en-US" w:eastAsia="zh-CN"/>
        </w:rPr>
        <w:t>92</w:t>
      </w:r>
      <w:r>
        <w:rPr>
          <w:rFonts w:hint="eastAsia" w:eastAsia="仿宋_GB2312"/>
          <w:color w:val="auto"/>
          <w:sz w:val="32"/>
          <w:szCs w:val="32"/>
          <w:highlight w:val="none"/>
        </w:rPr>
        <w:t>%</w:t>
      </w:r>
      <w:r>
        <w:rPr>
          <w:rFonts w:eastAsia="仿宋_GB2312"/>
          <w:color w:val="auto"/>
          <w:sz w:val="32"/>
          <w:szCs w:val="32"/>
          <w:highlight w:val="none"/>
        </w:rPr>
        <w:t>，指标完成率</w:t>
      </w:r>
      <w:r>
        <w:rPr>
          <w:rFonts w:hint="eastAsia" w:eastAsia="仿宋_GB2312"/>
          <w:color w:val="auto"/>
          <w:sz w:val="32"/>
          <w:szCs w:val="32"/>
          <w:highlight w:val="none"/>
        </w:rPr>
        <w:t>100</w:t>
      </w:r>
      <w:r>
        <w:rPr>
          <w:rFonts w:eastAsia="仿宋_GB2312"/>
          <w:color w:val="auto"/>
          <w:sz w:val="32"/>
          <w:szCs w:val="32"/>
          <w:highlight w:val="none"/>
        </w:rPr>
        <w:t>%</w:t>
      </w:r>
      <w:r>
        <w:rPr>
          <w:rFonts w:hint="eastAsia" w:eastAsia="仿宋_GB2312"/>
          <w:color w:val="auto"/>
          <w:sz w:val="32"/>
          <w:szCs w:val="32"/>
          <w:highlight w:val="none"/>
          <w:lang w:eastAsia="zh-CN"/>
        </w:rPr>
        <w:t>。</w:t>
      </w:r>
    </w:p>
    <w:p w14:paraId="5B09708A">
      <w:pPr>
        <w:shd w:val="clear" w:fill="FFFFFF" w:themeFill="background1"/>
        <w:spacing w:line="600" w:lineRule="exact"/>
        <w:ind w:firstLine="640" w:firstLineChars="200"/>
        <w:outlineLvl w:val="0"/>
        <w:rPr>
          <w:rFonts w:hint="eastAsia" w:eastAsia="仿宋_GB2312"/>
          <w:color w:val="auto"/>
          <w:sz w:val="32"/>
          <w:szCs w:val="32"/>
          <w:highlight w:val="none"/>
        </w:rPr>
      </w:pPr>
      <w:r>
        <w:rPr>
          <w:rFonts w:hint="eastAsia" w:eastAsia="仿宋_GB2312"/>
          <w:color w:val="auto"/>
          <w:sz w:val="32"/>
          <w:szCs w:val="32"/>
          <w:highlight w:val="none"/>
          <w:lang w:val="en-US" w:eastAsia="zh-CN"/>
        </w:rPr>
        <w:t>指标3</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孕产妇系统管理率，</w:t>
      </w:r>
      <w:r>
        <w:rPr>
          <w:rFonts w:eastAsia="仿宋_GB2312"/>
          <w:color w:val="auto"/>
          <w:sz w:val="32"/>
          <w:szCs w:val="32"/>
          <w:highlight w:val="none"/>
        </w:rPr>
        <w:t>指标值：</w:t>
      </w:r>
      <w:r>
        <w:rPr>
          <w:rFonts w:hint="eastAsia" w:eastAsia="仿宋_GB2312"/>
          <w:color w:val="auto"/>
          <w:sz w:val="32"/>
          <w:szCs w:val="32"/>
          <w:highlight w:val="none"/>
        </w:rPr>
        <w:t>&gt;=85%</w:t>
      </w:r>
      <w:r>
        <w:rPr>
          <w:rFonts w:eastAsia="仿宋_GB2312"/>
          <w:color w:val="auto"/>
          <w:sz w:val="32"/>
          <w:szCs w:val="32"/>
          <w:highlight w:val="none"/>
        </w:rPr>
        <w:t>，实际完成值：</w:t>
      </w:r>
      <w:r>
        <w:rPr>
          <w:rFonts w:hint="eastAsia" w:eastAsia="仿宋_GB2312"/>
          <w:color w:val="auto"/>
          <w:sz w:val="32"/>
          <w:szCs w:val="32"/>
          <w:highlight w:val="none"/>
          <w:lang w:val="en-US" w:eastAsia="zh-CN"/>
        </w:rPr>
        <w:t>85</w:t>
      </w:r>
      <w:r>
        <w:rPr>
          <w:rFonts w:hint="eastAsia" w:eastAsia="仿宋_GB2312"/>
          <w:color w:val="auto"/>
          <w:sz w:val="32"/>
          <w:szCs w:val="32"/>
          <w:highlight w:val="none"/>
        </w:rPr>
        <w:t>%</w:t>
      </w:r>
      <w:r>
        <w:rPr>
          <w:rFonts w:eastAsia="仿宋_GB2312"/>
          <w:color w:val="auto"/>
          <w:sz w:val="32"/>
          <w:szCs w:val="32"/>
          <w:highlight w:val="none"/>
        </w:rPr>
        <w:t>，指标完成率</w:t>
      </w:r>
      <w:r>
        <w:rPr>
          <w:rFonts w:hint="eastAsia" w:eastAsia="仿宋_GB2312"/>
          <w:color w:val="auto"/>
          <w:sz w:val="32"/>
          <w:szCs w:val="32"/>
          <w:highlight w:val="none"/>
        </w:rPr>
        <w:t>100</w:t>
      </w:r>
      <w:r>
        <w:rPr>
          <w:rFonts w:eastAsia="仿宋_GB2312"/>
          <w:color w:val="auto"/>
          <w:sz w:val="32"/>
          <w:szCs w:val="32"/>
          <w:highlight w:val="none"/>
        </w:rPr>
        <w:t>%</w:t>
      </w:r>
      <w:r>
        <w:rPr>
          <w:rFonts w:hint="eastAsia" w:eastAsia="仿宋_GB2312"/>
          <w:color w:val="auto"/>
          <w:sz w:val="32"/>
          <w:szCs w:val="32"/>
          <w:highlight w:val="none"/>
          <w:lang w:eastAsia="zh-CN"/>
        </w:rPr>
        <w:t>。</w:t>
      </w:r>
    </w:p>
    <w:p w14:paraId="711630D1">
      <w:pPr>
        <w:shd w:val="clear" w:fill="FFFFFF" w:themeFill="background1"/>
        <w:spacing w:line="600" w:lineRule="exact"/>
        <w:ind w:firstLine="640" w:firstLineChars="200"/>
        <w:outlineLvl w:val="0"/>
        <w:rPr>
          <w:rFonts w:hint="eastAsia" w:eastAsia="仿宋_GB2312"/>
          <w:color w:val="auto"/>
          <w:sz w:val="32"/>
          <w:szCs w:val="32"/>
          <w:highlight w:val="none"/>
          <w:lang w:eastAsia="zh-CN"/>
        </w:rPr>
      </w:pPr>
      <w:r>
        <w:rPr>
          <w:rFonts w:hint="eastAsia" w:eastAsia="仿宋_GB2312"/>
          <w:color w:val="auto"/>
          <w:sz w:val="32"/>
          <w:szCs w:val="32"/>
          <w:highlight w:val="none"/>
          <w:lang w:val="en-US" w:eastAsia="zh-CN"/>
        </w:rPr>
        <w:t>指标4：指标5：0-6岁儿童健康管理率，</w:t>
      </w:r>
      <w:r>
        <w:rPr>
          <w:rFonts w:eastAsia="仿宋_GB2312"/>
          <w:color w:val="auto"/>
          <w:sz w:val="32"/>
          <w:szCs w:val="32"/>
          <w:highlight w:val="none"/>
        </w:rPr>
        <w:t>指标值：</w:t>
      </w:r>
      <w:r>
        <w:rPr>
          <w:rFonts w:hint="eastAsia" w:eastAsia="仿宋_GB2312"/>
          <w:color w:val="auto"/>
          <w:sz w:val="32"/>
          <w:szCs w:val="32"/>
          <w:highlight w:val="none"/>
        </w:rPr>
        <w:t>&gt;=9</w:t>
      </w:r>
      <w:r>
        <w:rPr>
          <w:rFonts w:hint="eastAsia" w:eastAsia="仿宋_GB2312"/>
          <w:color w:val="auto"/>
          <w:sz w:val="32"/>
          <w:szCs w:val="32"/>
          <w:highlight w:val="none"/>
          <w:lang w:val="en-US" w:eastAsia="zh-CN"/>
        </w:rPr>
        <w:t>2</w:t>
      </w:r>
      <w:r>
        <w:rPr>
          <w:rFonts w:hint="eastAsia" w:eastAsia="仿宋_GB2312"/>
          <w:color w:val="auto"/>
          <w:sz w:val="32"/>
          <w:szCs w:val="32"/>
          <w:highlight w:val="none"/>
        </w:rPr>
        <w:t>%</w:t>
      </w:r>
      <w:r>
        <w:rPr>
          <w:rFonts w:eastAsia="仿宋_GB2312"/>
          <w:color w:val="auto"/>
          <w:sz w:val="32"/>
          <w:szCs w:val="32"/>
          <w:highlight w:val="none"/>
        </w:rPr>
        <w:t>，实际完成值：</w:t>
      </w:r>
      <w:r>
        <w:rPr>
          <w:rFonts w:hint="eastAsia" w:eastAsia="仿宋_GB2312"/>
          <w:color w:val="auto"/>
          <w:sz w:val="32"/>
          <w:szCs w:val="32"/>
          <w:highlight w:val="none"/>
          <w:lang w:val="en-US" w:eastAsia="zh-CN"/>
        </w:rPr>
        <w:t>92</w:t>
      </w:r>
      <w:r>
        <w:rPr>
          <w:rFonts w:hint="eastAsia" w:eastAsia="仿宋_GB2312"/>
          <w:color w:val="auto"/>
          <w:sz w:val="32"/>
          <w:szCs w:val="32"/>
          <w:highlight w:val="none"/>
        </w:rPr>
        <w:t>%</w:t>
      </w:r>
      <w:r>
        <w:rPr>
          <w:rFonts w:eastAsia="仿宋_GB2312"/>
          <w:color w:val="auto"/>
          <w:sz w:val="32"/>
          <w:szCs w:val="32"/>
          <w:highlight w:val="none"/>
        </w:rPr>
        <w:t>，指标完成率</w:t>
      </w:r>
      <w:r>
        <w:rPr>
          <w:rFonts w:hint="eastAsia" w:eastAsia="仿宋_GB2312"/>
          <w:color w:val="auto"/>
          <w:sz w:val="32"/>
          <w:szCs w:val="32"/>
          <w:highlight w:val="none"/>
        </w:rPr>
        <w:t>100</w:t>
      </w:r>
      <w:r>
        <w:rPr>
          <w:rFonts w:eastAsia="仿宋_GB2312"/>
          <w:color w:val="auto"/>
          <w:sz w:val="32"/>
          <w:szCs w:val="32"/>
          <w:highlight w:val="none"/>
        </w:rPr>
        <w:t>%</w:t>
      </w:r>
      <w:r>
        <w:rPr>
          <w:rFonts w:hint="eastAsia" w:eastAsia="仿宋_GB2312"/>
          <w:color w:val="auto"/>
          <w:sz w:val="32"/>
          <w:szCs w:val="32"/>
          <w:highlight w:val="none"/>
          <w:lang w:eastAsia="zh-CN"/>
        </w:rPr>
        <w:t>。</w:t>
      </w:r>
    </w:p>
    <w:p w14:paraId="55D29FA6">
      <w:pPr>
        <w:shd w:val="clear" w:fill="FFFFFF" w:themeFill="background1"/>
        <w:spacing w:line="600" w:lineRule="exact"/>
        <w:ind w:firstLine="640" w:firstLineChars="200"/>
        <w:outlineLvl w:val="0"/>
        <w:rPr>
          <w:rFonts w:hint="eastAsia" w:eastAsia="仿宋_GB2312"/>
          <w:color w:val="auto"/>
          <w:sz w:val="32"/>
          <w:szCs w:val="32"/>
          <w:highlight w:val="none"/>
          <w:lang w:eastAsia="zh-CN"/>
        </w:rPr>
      </w:pPr>
      <w:r>
        <w:rPr>
          <w:rFonts w:hint="eastAsia" w:eastAsia="仿宋_GB2312"/>
          <w:color w:val="auto"/>
          <w:sz w:val="32"/>
          <w:szCs w:val="32"/>
          <w:highlight w:val="none"/>
          <w:lang w:val="en-US" w:eastAsia="zh-CN"/>
        </w:rPr>
        <w:t>指标5：适龄儿童国家免疫规划疫苗接种率，</w:t>
      </w:r>
      <w:r>
        <w:rPr>
          <w:rFonts w:eastAsia="仿宋_GB2312"/>
          <w:color w:val="auto"/>
          <w:sz w:val="32"/>
          <w:szCs w:val="32"/>
          <w:highlight w:val="none"/>
        </w:rPr>
        <w:t>指标值：</w:t>
      </w:r>
      <w:r>
        <w:rPr>
          <w:rFonts w:hint="eastAsia" w:eastAsia="仿宋_GB2312"/>
          <w:color w:val="auto"/>
          <w:sz w:val="32"/>
          <w:szCs w:val="32"/>
          <w:highlight w:val="none"/>
          <w:lang w:val="en-US" w:eastAsia="zh-CN"/>
        </w:rPr>
        <w:t>&gt;=95%，</w:t>
      </w:r>
      <w:r>
        <w:rPr>
          <w:rFonts w:eastAsia="仿宋_GB2312"/>
          <w:color w:val="auto"/>
          <w:sz w:val="32"/>
          <w:szCs w:val="32"/>
          <w:highlight w:val="none"/>
        </w:rPr>
        <w:t>实际完成值：</w:t>
      </w:r>
      <w:r>
        <w:rPr>
          <w:rFonts w:hint="eastAsia" w:eastAsia="仿宋_GB2312"/>
          <w:color w:val="auto"/>
          <w:sz w:val="32"/>
          <w:szCs w:val="32"/>
          <w:highlight w:val="none"/>
          <w:lang w:val="en-US" w:eastAsia="zh-CN"/>
        </w:rPr>
        <w:t>95</w:t>
      </w:r>
      <w:r>
        <w:rPr>
          <w:rFonts w:hint="eastAsia" w:eastAsia="仿宋_GB2312"/>
          <w:color w:val="auto"/>
          <w:sz w:val="32"/>
          <w:szCs w:val="32"/>
          <w:highlight w:val="none"/>
        </w:rPr>
        <w:t>%</w:t>
      </w:r>
      <w:r>
        <w:rPr>
          <w:rFonts w:eastAsia="仿宋_GB2312"/>
          <w:color w:val="auto"/>
          <w:sz w:val="32"/>
          <w:szCs w:val="32"/>
          <w:highlight w:val="none"/>
        </w:rPr>
        <w:t>，指标完成率</w:t>
      </w:r>
      <w:r>
        <w:rPr>
          <w:rFonts w:hint="eastAsia" w:eastAsia="仿宋_GB2312"/>
          <w:color w:val="auto"/>
          <w:sz w:val="32"/>
          <w:szCs w:val="32"/>
          <w:highlight w:val="none"/>
        </w:rPr>
        <w:t>100</w:t>
      </w:r>
      <w:r>
        <w:rPr>
          <w:rFonts w:eastAsia="仿宋_GB2312"/>
          <w:color w:val="auto"/>
          <w:sz w:val="32"/>
          <w:szCs w:val="32"/>
          <w:highlight w:val="none"/>
        </w:rPr>
        <w:t>%</w:t>
      </w:r>
      <w:r>
        <w:rPr>
          <w:rFonts w:hint="eastAsia" w:eastAsia="仿宋_GB2312"/>
          <w:color w:val="auto"/>
          <w:sz w:val="32"/>
          <w:szCs w:val="32"/>
          <w:highlight w:val="none"/>
          <w:lang w:eastAsia="zh-CN"/>
        </w:rPr>
        <w:t>。</w:t>
      </w:r>
    </w:p>
    <w:p w14:paraId="552B38DE">
      <w:pPr>
        <w:shd w:val="clear" w:fill="FFFFFF" w:themeFill="background1"/>
        <w:spacing w:line="600" w:lineRule="exact"/>
        <w:ind w:firstLine="640" w:firstLineChars="200"/>
        <w:outlineLvl w:val="0"/>
        <w:rPr>
          <w:rFonts w:eastAsia="仿宋_GB2312"/>
          <w:color w:val="auto"/>
          <w:sz w:val="32"/>
          <w:szCs w:val="32"/>
          <w:highlight w:val="none"/>
        </w:rPr>
      </w:pPr>
      <w:r>
        <w:rPr>
          <w:rFonts w:eastAsia="仿宋_GB2312"/>
          <w:color w:val="auto"/>
          <w:sz w:val="32"/>
          <w:szCs w:val="32"/>
          <w:highlight w:val="none"/>
        </w:rPr>
        <w:fldChar w:fldCharType="begin"/>
      </w:r>
      <w:r>
        <w:rPr>
          <w:rFonts w:eastAsia="仿宋_GB2312"/>
          <w:color w:val="auto"/>
          <w:sz w:val="32"/>
          <w:szCs w:val="32"/>
          <w:highlight w:val="none"/>
        </w:rPr>
        <w:instrText xml:space="preserve"> = 3 \* GB3 </w:instrText>
      </w:r>
      <w:r>
        <w:rPr>
          <w:rFonts w:eastAsia="仿宋_GB2312"/>
          <w:color w:val="auto"/>
          <w:sz w:val="32"/>
          <w:szCs w:val="32"/>
          <w:highlight w:val="none"/>
        </w:rPr>
        <w:fldChar w:fldCharType="separate"/>
      </w:r>
      <w:r>
        <w:rPr>
          <w:rFonts w:eastAsia="仿宋_GB2312"/>
          <w:color w:val="auto"/>
          <w:sz w:val="32"/>
          <w:szCs w:val="32"/>
          <w:highlight w:val="none"/>
        </w:rPr>
        <w:t>③</w:t>
      </w:r>
      <w:r>
        <w:rPr>
          <w:rFonts w:eastAsia="仿宋_GB2312"/>
          <w:color w:val="auto"/>
          <w:sz w:val="32"/>
          <w:szCs w:val="32"/>
          <w:highlight w:val="none"/>
        </w:rPr>
        <w:fldChar w:fldCharType="end"/>
      </w:r>
      <w:r>
        <w:rPr>
          <w:rFonts w:eastAsia="仿宋_GB2312"/>
          <w:color w:val="auto"/>
          <w:sz w:val="32"/>
          <w:szCs w:val="32"/>
          <w:highlight w:val="none"/>
        </w:rPr>
        <w:t>时效指标：</w:t>
      </w:r>
    </w:p>
    <w:p w14:paraId="304D4E39">
      <w:pPr>
        <w:shd w:val="clear" w:fill="FFFFFF" w:themeFill="background1"/>
        <w:spacing w:line="600" w:lineRule="exact"/>
        <w:ind w:firstLine="640" w:firstLineChars="200"/>
        <w:outlineLvl w:val="0"/>
        <w:rPr>
          <w:rFonts w:hint="eastAsia" w:eastAsia="仿宋_GB2312"/>
          <w:color w:val="auto"/>
          <w:sz w:val="32"/>
          <w:szCs w:val="32"/>
          <w:highlight w:val="none"/>
        </w:rPr>
      </w:pPr>
      <w:r>
        <w:rPr>
          <w:rFonts w:hint="eastAsia" w:eastAsia="仿宋_GB2312"/>
          <w:color w:val="auto"/>
          <w:sz w:val="32"/>
          <w:szCs w:val="32"/>
          <w:highlight w:val="none"/>
        </w:rPr>
        <w:t>资金拨付及时率（%）</w:t>
      </w:r>
      <w:r>
        <w:rPr>
          <w:rFonts w:hint="eastAsia" w:eastAsia="仿宋_GB2312"/>
          <w:color w:val="auto"/>
          <w:sz w:val="32"/>
          <w:szCs w:val="32"/>
          <w:highlight w:val="none"/>
          <w:lang w:eastAsia="zh-CN"/>
        </w:rPr>
        <w:t>，</w:t>
      </w:r>
      <w:r>
        <w:rPr>
          <w:rFonts w:eastAsia="仿宋_GB2312"/>
          <w:color w:val="auto"/>
          <w:sz w:val="32"/>
          <w:szCs w:val="32"/>
          <w:highlight w:val="none"/>
        </w:rPr>
        <w:t>指标值：</w:t>
      </w:r>
      <w:r>
        <w:rPr>
          <w:rFonts w:hint="eastAsia" w:eastAsia="仿宋_GB2312"/>
          <w:color w:val="auto"/>
          <w:sz w:val="32"/>
          <w:szCs w:val="32"/>
          <w:highlight w:val="none"/>
          <w:lang w:val="en-US" w:eastAsia="zh-CN"/>
        </w:rPr>
        <w:t>=100%，</w:t>
      </w:r>
      <w:r>
        <w:rPr>
          <w:rFonts w:eastAsia="仿宋_GB2312"/>
          <w:color w:val="auto"/>
          <w:sz w:val="32"/>
          <w:szCs w:val="32"/>
          <w:highlight w:val="none"/>
        </w:rPr>
        <w:t>实际完成值：</w:t>
      </w:r>
      <w:r>
        <w:rPr>
          <w:rFonts w:hint="eastAsia" w:eastAsia="仿宋_GB2312"/>
          <w:color w:val="auto"/>
          <w:sz w:val="32"/>
          <w:szCs w:val="32"/>
          <w:highlight w:val="none"/>
          <w:lang w:val="en-US" w:eastAsia="zh-CN"/>
        </w:rPr>
        <w:t>100</w:t>
      </w:r>
      <w:r>
        <w:rPr>
          <w:rFonts w:hint="eastAsia" w:eastAsia="仿宋_GB2312"/>
          <w:color w:val="auto"/>
          <w:sz w:val="32"/>
          <w:szCs w:val="32"/>
          <w:highlight w:val="none"/>
        </w:rPr>
        <w:t>%</w:t>
      </w:r>
      <w:r>
        <w:rPr>
          <w:rFonts w:eastAsia="仿宋_GB2312"/>
          <w:color w:val="auto"/>
          <w:sz w:val="32"/>
          <w:szCs w:val="32"/>
          <w:highlight w:val="none"/>
        </w:rPr>
        <w:t>，指标完成率</w:t>
      </w:r>
      <w:r>
        <w:rPr>
          <w:rFonts w:hint="eastAsia" w:eastAsia="仿宋_GB2312"/>
          <w:color w:val="auto"/>
          <w:sz w:val="32"/>
          <w:szCs w:val="32"/>
          <w:highlight w:val="none"/>
        </w:rPr>
        <w:t>100</w:t>
      </w:r>
      <w:r>
        <w:rPr>
          <w:rFonts w:eastAsia="仿宋_GB2312"/>
          <w:color w:val="auto"/>
          <w:sz w:val="32"/>
          <w:szCs w:val="32"/>
          <w:highlight w:val="none"/>
        </w:rPr>
        <w:t>%</w:t>
      </w:r>
      <w:r>
        <w:rPr>
          <w:rFonts w:hint="eastAsia" w:eastAsia="仿宋_GB2312"/>
          <w:color w:val="auto"/>
          <w:sz w:val="32"/>
          <w:szCs w:val="32"/>
          <w:highlight w:val="none"/>
          <w:lang w:eastAsia="zh-CN"/>
        </w:rPr>
        <w:t>。</w:t>
      </w:r>
    </w:p>
    <w:p w14:paraId="69187410">
      <w:pPr>
        <w:shd w:val="clear" w:fill="FFFFFF" w:themeFill="background1"/>
        <w:spacing w:line="600" w:lineRule="exact"/>
        <w:ind w:firstLine="640" w:firstLineChars="200"/>
        <w:outlineLvl w:val="0"/>
        <w:rPr>
          <w:rFonts w:eastAsia="仿宋_GB2312"/>
          <w:color w:val="auto"/>
          <w:sz w:val="32"/>
          <w:szCs w:val="32"/>
          <w:highlight w:val="none"/>
        </w:rPr>
      </w:pPr>
      <w:r>
        <w:rPr>
          <w:rFonts w:eastAsia="仿宋_GB2312"/>
          <w:color w:val="auto"/>
          <w:sz w:val="32"/>
          <w:szCs w:val="32"/>
          <w:highlight w:val="none"/>
        </w:rPr>
        <w:fldChar w:fldCharType="begin"/>
      </w:r>
      <w:r>
        <w:rPr>
          <w:rFonts w:eastAsia="仿宋_GB2312"/>
          <w:color w:val="auto"/>
          <w:sz w:val="32"/>
          <w:szCs w:val="32"/>
          <w:highlight w:val="none"/>
        </w:rPr>
        <w:instrText xml:space="preserve"> = 4 \* GB3 </w:instrText>
      </w:r>
      <w:r>
        <w:rPr>
          <w:rFonts w:eastAsia="仿宋_GB2312"/>
          <w:color w:val="auto"/>
          <w:sz w:val="32"/>
          <w:szCs w:val="32"/>
          <w:highlight w:val="none"/>
        </w:rPr>
        <w:fldChar w:fldCharType="separate"/>
      </w:r>
      <w:r>
        <w:rPr>
          <w:rFonts w:eastAsia="仿宋_GB2312"/>
          <w:color w:val="auto"/>
          <w:sz w:val="32"/>
          <w:szCs w:val="32"/>
          <w:highlight w:val="none"/>
        </w:rPr>
        <w:t>④</w:t>
      </w:r>
      <w:r>
        <w:rPr>
          <w:rFonts w:eastAsia="仿宋_GB2312"/>
          <w:color w:val="auto"/>
          <w:sz w:val="32"/>
          <w:szCs w:val="32"/>
          <w:highlight w:val="none"/>
        </w:rPr>
        <w:fldChar w:fldCharType="end"/>
      </w:r>
      <w:r>
        <w:rPr>
          <w:rFonts w:eastAsia="仿宋_GB2312"/>
          <w:color w:val="auto"/>
          <w:sz w:val="32"/>
          <w:szCs w:val="32"/>
          <w:highlight w:val="none"/>
        </w:rPr>
        <w:t>成本指标：</w:t>
      </w:r>
    </w:p>
    <w:p w14:paraId="116F5E5B">
      <w:pPr>
        <w:shd w:val="clear" w:fill="FFFFFF" w:themeFill="background1"/>
        <w:spacing w:line="600" w:lineRule="exact"/>
        <w:ind w:firstLine="640" w:firstLineChars="200"/>
        <w:outlineLvl w:val="0"/>
        <w:rPr>
          <w:rFonts w:hint="eastAsia" w:eastAsia="仿宋_GB2312"/>
          <w:color w:val="auto"/>
          <w:sz w:val="32"/>
          <w:szCs w:val="32"/>
          <w:highlight w:val="none"/>
          <w:lang w:eastAsia="zh-CN"/>
        </w:rPr>
      </w:pPr>
      <w:r>
        <w:rPr>
          <w:rFonts w:hint="eastAsia" w:eastAsia="仿宋_GB2312"/>
          <w:color w:val="auto"/>
          <w:sz w:val="32"/>
          <w:szCs w:val="32"/>
          <w:highlight w:val="none"/>
          <w:lang w:val="en-US" w:eastAsia="zh-CN"/>
        </w:rPr>
        <w:t>指标1：拨付下属站经费，指标值：&lt;=215.99万元，</w:t>
      </w:r>
      <w:r>
        <w:rPr>
          <w:rFonts w:eastAsia="仿宋_GB2312"/>
          <w:color w:val="auto"/>
          <w:sz w:val="32"/>
          <w:szCs w:val="32"/>
          <w:highlight w:val="none"/>
        </w:rPr>
        <w:t>实际完成值：</w:t>
      </w:r>
      <w:r>
        <w:rPr>
          <w:rFonts w:hint="eastAsia" w:eastAsia="仿宋_GB2312"/>
          <w:color w:val="auto"/>
          <w:sz w:val="32"/>
          <w:szCs w:val="32"/>
          <w:highlight w:val="none"/>
          <w:lang w:val="en-US" w:eastAsia="zh-CN"/>
        </w:rPr>
        <w:t>=215.99万元</w:t>
      </w:r>
      <w:r>
        <w:rPr>
          <w:rFonts w:eastAsia="仿宋_GB2312"/>
          <w:color w:val="auto"/>
          <w:sz w:val="32"/>
          <w:szCs w:val="32"/>
          <w:highlight w:val="none"/>
        </w:rPr>
        <w:t>，指标完成率</w:t>
      </w:r>
      <w:r>
        <w:rPr>
          <w:rFonts w:hint="eastAsia" w:eastAsia="仿宋_GB2312"/>
          <w:color w:val="auto"/>
          <w:sz w:val="32"/>
          <w:szCs w:val="32"/>
          <w:highlight w:val="none"/>
        </w:rPr>
        <w:t>100</w:t>
      </w:r>
      <w:r>
        <w:rPr>
          <w:rFonts w:eastAsia="仿宋_GB2312"/>
          <w:color w:val="auto"/>
          <w:sz w:val="32"/>
          <w:szCs w:val="32"/>
          <w:highlight w:val="none"/>
        </w:rPr>
        <w:t>%</w:t>
      </w:r>
      <w:r>
        <w:rPr>
          <w:rFonts w:hint="eastAsia" w:eastAsia="仿宋_GB2312"/>
          <w:color w:val="auto"/>
          <w:sz w:val="32"/>
          <w:szCs w:val="32"/>
          <w:highlight w:val="none"/>
          <w:lang w:eastAsia="zh-CN"/>
        </w:rPr>
        <w:t>。</w:t>
      </w:r>
    </w:p>
    <w:p w14:paraId="279B4C70">
      <w:pPr>
        <w:shd w:val="clear" w:fill="FFFFFF" w:themeFill="background1"/>
        <w:spacing w:line="600" w:lineRule="exact"/>
        <w:ind w:firstLine="640" w:firstLineChars="200"/>
        <w:outlineLvl w:val="0"/>
        <w:rPr>
          <w:rFonts w:hint="default" w:eastAsia="仿宋_GB2312"/>
          <w:color w:val="auto"/>
          <w:sz w:val="32"/>
          <w:szCs w:val="32"/>
          <w:highlight w:val="none"/>
          <w:lang w:val="en-US" w:eastAsia="zh-CN"/>
        </w:rPr>
      </w:pPr>
      <w:r>
        <w:rPr>
          <w:rFonts w:hint="eastAsia" w:eastAsia="仿宋_GB2312"/>
          <w:color w:val="auto"/>
          <w:sz w:val="32"/>
          <w:szCs w:val="32"/>
          <w:highlight w:val="none"/>
          <w:lang w:val="en-US" w:eastAsia="zh-CN"/>
        </w:rPr>
        <w:t>指标2：项目经费，指标值：&lt;=35万元，</w:t>
      </w:r>
      <w:r>
        <w:rPr>
          <w:rFonts w:eastAsia="仿宋_GB2312"/>
          <w:color w:val="auto"/>
          <w:sz w:val="32"/>
          <w:szCs w:val="32"/>
          <w:highlight w:val="none"/>
        </w:rPr>
        <w:t>实际完成值：</w:t>
      </w:r>
      <w:r>
        <w:rPr>
          <w:rFonts w:hint="eastAsia" w:eastAsia="仿宋_GB2312"/>
          <w:color w:val="auto"/>
          <w:sz w:val="32"/>
          <w:szCs w:val="32"/>
          <w:highlight w:val="none"/>
          <w:lang w:val="en-US" w:eastAsia="zh-CN"/>
        </w:rPr>
        <w:t>=35万元</w:t>
      </w:r>
      <w:r>
        <w:rPr>
          <w:rFonts w:eastAsia="仿宋_GB2312"/>
          <w:color w:val="auto"/>
          <w:sz w:val="32"/>
          <w:szCs w:val="32"/>
          <w:highlight w:val="none"/>
        </w:rPr>
        <w:t>，指标完成率</w:t>
      </w:r>
      <w:r>
        <w:rPr>
          <w:rFonts w:hint="eastAsia" w:eastAsia="仿宋_GB2312"/>
          <w:color w:val="auto"/>
          <w:sz w:val="32"/>
          <w:szCs w:val="32"/>
          <w:highlight w:val="none"/>
        </w:rPr>
        <w:t>100</w:t>
      </w:r>
      <w:r>
        <w:rPr>
          <w:rFonts w:eastAsia="仿宋_GB2312"/>
          <w:color w:val="auto"/>
          <w:sz w:val="32"/>
          <w:szCs w:val="32"/>
          <w:highlight w:val="none"/>
        </w:rPr>
        <w:t>%</w:t>
      </w:r>
      <w:r>
        <w:rPr>
          <w:rFonts w:hint="eastAsia" w:eastAsia="仿宋_GB2312"/>
          <w:color w:val="auto"/>
          <w:sz w:val="32"/>
          <w:szCs w:val="32"/>
          <w:highlight w:val="none"/>
          <w:lang w:eastAsia="zh-CN"/>
        </w:rPr>
        <w:t>。</w:t>
      </w:r>
    </w:p>
    <w:p w14:paraId="7142DFFC">
      <w:pPr>
        <w:pStyle w:val="12"/>
        <w:numPr>
          <w:ilvl w:val="0"/>
          <w:numId w:val="3"/>
        </w:numPr>
        <w:shd w:val="clear" w:fill="FFFFFF" w:themeFill="background1"/>
        <w:spacing w:line="560" w:lineRule="exact"/>
        <w:ind w:firstLine="643" w:firstLineChars="0"/>
        <w:rPr>
          <w:rFonts w:eastAsia="楷体_GB2312"/>
          <w:b/>
          <w:bCs/>
          <w:color w:val="auto"/>
          <w:sz w:val="32"/>
          <w:szCs w:val="32"/>
          <w:highlight w:val="none"/>
        </w:rPr>
      </w:pPr>
      <w:r>
        <w:rPr>
          <w:rFonts w:eastAsia="楷体_GB2312"/>
          <w:b/>
          <w:bCs/>
          <w:color w:val="auto"/>
          <w:sz w:val="32"/>
          <w:szCs w:val="32"/>
          <w:highlight w:val="none"/>
        </w:rPr>
        <w:t>项目效益情况</w:t>
      </w:r>
    </w:p>
    <w:p w14:paraId="117E9490">
      <w:pPr>
        <w:shd w:val="clear" w:fill="FFFFFF" w:themeFill="background1"/>
        <w:spacing w:line="600" w:lineRule="exact"/>
        <w:ind w:firstLine="640" w:firstLineChars="200"/>
        <w:outlineLvl w:val="0"/>
        <w:rPr>
          <w:rFonts w:eastAsia="仿宋_GB2312"/>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项目效益类指标包括项目实施效益和满意度两方面的内容</w:t>
      </w:r>
      <w:r>
        <w:rPr>
          <w:rFonts w:eastAsia="仿宋_GB2312"/>
          <w:color w:val="auto"/>
          <w:sz w:val="32"/>
          <w:szCs w:val="32"/>
          <w:highlight w:val="none"/>
        </w:rPr>
        <w:t>，由</w:t>
      </w:r>
      <w:r>
        <w:rPr>
          <w:rFonts w:hint="eastAsia" w:eastAsia="仿宋_GB2312"/>
          <w:color w:val="auto"/>
          <w:sz w:val="32"/>
          <w:szCs w:val="32"/>
          <w:highlight w:val="none"/>
        </w:rPr>
        <w:t>2</w:t>
      </w:r>
      <w:r>
        <w:rPr>
          <w:rFonts w:eastAsia="仿宋_GB2312"/>
          <w:color w:val="auto"/>
          <w:sz w:val="32"/>
          <w:szCs w:val="32"/>
          <w:highlight w:val="none"/>
        </w:rPr>
        <w:t>个三级指标构成，权重分为20分，实际得分</w:t>
      </w:r>
      <w:r>
        <w:rPr>
          <w:rFonts w:hint="eastAsia" w:eastAsia="仿宋_GB2312"/>
          <w:color w:val="auto"/>
          <w:sz w:val="32"/>
          <w:szCs w:val="32"/>
          <w:highlight w:val="none"/>
        </w:rPr>
        <w:t>20</w:t>
      </w:r>
      <w:r>
        <w:rPr>
          <w:rFonts w:eastAsia="仿宋_GB2312"/>
          <w:color w:val="auto"/>
          <w:sz w:val="32"/>
          <w:szCs w:val="32"/>
          <w:highlight w:val="none"/>
        </w:rPr>
        <w:t>分，得分率为</w:t>
      </w:r>
      <w:r>
        <w:rPr>
          <w:rFonts w:hint="eastAsia" w:eastAsia="仿宋_GB2312"/>
          <w:color w:val="auto"/>
          <w:sz w:val="32"/>
          <w:szCs w:val="32"/>
          <w:highlight w:val="none"/>
        </w:rPr>
        <w:t>100</w:t>
      </w:r>
      <w:r>
        <w:rPr>
          <w:rFonts w:eastAsia="仿宋_GB2312"/>
          <w:color w:val="auto"/>
          <w:sz w:val="32"/>
          <w:szCs w:val="32"/>
          <w:highlight w:val="none"/>
        </w:rPr>
        <w:t>%。具体效益指标及满意度指标完成情况如下：</w:t>
      </w:r>
    </w:p>
    <w:p w14:paraId="3E8FDC19">
      <w:pPr>
        <w:shd w:val="clear" w:fill="FFFFFF" w:themeFill="background1"/>
        <w:spacing w:line="600" w:lineRule="exact"/>
        <w:ind w:firstLine="640" w:firstLineChars="200"/>
        <w:outlineLvl w:val="0"/>
        <w:rPr>
          <w:rFonts w:hint="default" w:eastAsia="仿宋_GB2312"/>
          <w:color w:val="auto"/>
          <w:sz w:val="32"/>
          <w:szCs w:val="32"/>
          <w:highlight w:val="none"/>
        </w:rPr>
      </w:pPr>
      <w:r>
        <w:rPr>
          <w:rFonts w:hint="default" w:eastAsia="仿宋_GB2312"/>
          <w:color w:val="auto"/>
          <w:sz w:val="32"/>
          <w:szCs w:val="32"/>
          <w:highlight w:val="none"/>
          <w:lang w:val="en-US" w:eastAsia="zh-CN"/>
        </w:rPr>
        <w:t>①</w:t>
      </w:r>
      <w:r>
        <w:rPr>
          <w:rFonts w:hint="default" w:eastAsia="仿宋_GB2312"/>
          <w:color w:val="auto"/>
          <w:sz w:val="32"/>
          <w:szCs w:val="32"/>
          <w:highlight w:val="none"/>
        </w:rPr>
        <w:t>经济效益指标：</w:t>
      </w:r>
    </w:p>
    <w:p w14:paraId="3795DB6B">
      <w:pPr>
        <w:shd w:val="clear" w:fill="FFFFFF" w:themeFill="background1"/>
        <w:spacing w:line="600" w:lineRule="exact"/>
        <w:ind w:firstLine="640" w:firstLineChars="200"/>
        <w:outlineLvl w:val="0"/>
        <w:rPr>
          <w:rFonts w:eastAsia="仿宋_GB2312"/>
          <w:color w:val="auto"/>
          <w:sz w:val="32"/>
          <w:szCs w:val="32"/>
          <w:highlight w:val="none"/>
        </w:rPr>
      </w:pPr>
      <w:r>
        <w:rPr>
          <w:rFonts w:hint="eastAsia" w:eastAsia="仿宋_GB2312"/>
          <w:color w:val="auto"/>
          <w:sz w:val="32"/>
          <w:szCs w:val="32"/>
          <w:highlight w:val="none"/>
          <w:lang w:val="en-US" w:eastAsia="zh-CN"/>
        </w:rPr>
        <w:t>2024年我单位该项目未设置此条指标。</w:t>
      </w:r>
    </w:p>
    <w:p w14:paraId="271F750A">
      <w:pPr>
        <w:shd w:val="clear" w:fill="FFFFFF" w:themeFill="background1"/>
        <w:spacing w:line="600" w:lineRule="exact"/>
        <w:ind w:firstLine="640" w:firstLineChars="200"/>
        <w:outlineLvl w:val="0"/>
        <w:rPr>
          <w:rFonts w:eastAsia="仿宋_GB2312"/>
          <w:color w:val="auto"/>
          <w:sz w:val="32"/>
          <w:szCs w:val="32"/>
          <w:highlight w:val="none"/>
        </w:rPr>
      </w:pPr>
      <w:r>
        <w:rPr>
          <w:rFonts w:eastAsia="仿宋_GB2312"/>
          <w:color w:val="auto"/>
          <w:sz w:val="32"/>
          <w:szCs w:val="32"/>
          <w:highlight w:val="none"/>
        </w:rPr>
        <w:t>②社会效益指标：</w:t>
      </w:r>
    </w:p>
    <w:p w14:paraId="12B67902">
      <w:pPr>
        <w:shd w:val="clear" w:fill="FFFFFF" w:themeFill="background1"/>
        <w:spacing w:line="600" w:lineRule="exact"/>
        <w:ind w:firstLine="640" w:firstLineChars="200"/>
        <w:outlineLvl w:val="0"/>
        <w:rPr>
          <w:rFonts w:hint="eastAsia" w:eastAsia="仿宋_GB2312"/>
          <w:color w:val="auto"/>
          <w:sz w:val="32"/>
          <w:szCs w:val="32"/>
          <w:highlight w:val="none"/>
          <w:lang w:eastAsia="zh-CN"/>
        </w:rPr>
      </w:pPr>
      <w:r>
        <w:rPr>
          <w:rFonts w:hint="eastAsia" w:eastAsia="仿宋_GB2312"/>
          <w:color w:val="auto"/>
          <w:sz w:val="32"/>
          <w:szCs w:val="32"/>
          <w:highlight w:val="none"/>
          <w:lang w:val="en-US" w:eastAsia="zh-CN"/>
        </w:rPr>
        <w:t>指标1：</w:t>
      </w:r>
      <w:r>
        <w:rPr>
          <w:rFonts w:hint="eastAsia" w:eastAsia="仿宋_GB2312"/>
          <w:color w:val="auto"/>
          <w:sz w:val="32"/>
          <w:szCs w:val="32"/>
          <w:highlight w:val="none"/>
        </w:rPr>
        <w:t>城乡居民公共卫生服务差距</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指标值：不断缩小，实际完成值：100%，</w:t>
      </w:r>
      <w:r>
        <w:rPr>
          <w:rFonts w:eastAsia="仿宋_GB2312"/>
          <w:color w:val="auto"/>
          <w:sz w:val="32"/>
          <w:szCs w:val="32"/>
          <w:highlight w:val="none"/>
        </w:rPr>
        <w:t>指标完成率</w:t>
      </w:r>
      <w:r>
        <w:rPr>
          <w:rFonts w:hint="eastAsia" w:eastAsia="仿宋_GB2312"/>
          <w:color w:val="auto"/>
          <w:sz w:val="32"/>
          <w:szCs w:val="32"/>
          <w:highlight w:val="none"/>
        </w:rPr>
        <w:t>100</w:t>
      </w:r>
      <w:r>
        <w:rPr>
          <w:rFonts w:eastAsia="仿宋_GB2312"/>
          <w:color w:val="auto"/>
          <w:sz w:val="32"/>
          <w:szCs w:val="32"/>
          <w:highlight w:val="none"/>
        </w:rPr>
        <w:t>%</w:t>
      </w:r>
      <w:r>
        <w:rPr>
          <w:rFonts w:hint="eastAsia" w:eastAsia="仿宋_GB2312"/>
          <w:color w:val="auto"/>
          <w:sz w:val="32"/>
          <w:szCs w:val="32"/>
          <w:highlight w:val="none"/>
          <w:lang w:eastAsia="zh-CN"/>
        </w:rPr>
        <w:t>。</w:t>
      </w:r>
    </w:p>
    <w:p w14:paraId="162D1D29">
      <w:pPr>
        <w:shd w:val="clear" w:fill="FFFFFF" w:themeFill="background1"/>
        <w:spacing w:line="600" w:lineRule="exact"/>
        <w:ind w:firstLine="640" w:firstLineChars="200"/>
        <w:outlineLvl w:val="0"/>
        <w:rPr>
          <w:rFonts w:hint="default" w:eastAsia="仿宋_GB2312"/>
          <w:color w:val="auto"/>
          <w:sz w:val="32"/>
          <w:szCs w:val="32"/>
          <w:highlight w:val="none"/>
          <w:lang w:val="en-US" w:eastAsia="zh-CN"/>
        </w:rPr>
      </w:pPr>
      <w:r>
        <w:rPr>
          <w:rFonts w:hint="default" w:eastAsia="仿宋_GB2312"/>
          <w:color w:val="auto"/>
          <w:sz w:val="32"/>
          <w:szCs w:val="32"/>
          <w:highlight w:val="none"/>
          <w:lang w:val="en-US" w:eastAsia="zh-CN"/>
        </w:rPr>
        <w:t>③生态效益指标：</w:t>
      </w:r>
    </w:p>
    <w:p w14:paraId="0449C272">
      <w:pPr>
        <w:shd w:val="clear" w:fill="FFFFFF" w:themeFill="background1"/>
        <w:spacing w:line="600" w:lineRule="exact"/>
        <w:ind w:firstLine="640" w:firstLineChars="200"/>
        <w:outlineLvl w:val="0"/>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2024年我单位该项目未设置此条指标。</w:t>
      </w:r>
    </w:p>
    <w:p w14:paraId="556ABF16">
      <w:pPr>
        <w:shd w:val="clear" w:fill="FFFFFF" w:themeFill="background1"/>
        <w:spacing w:line="600" w:lineRule="exact"/>
        <w:ind w:firstLine="640" w:firstLineChars="200"/>
        <w:outlineLvl w:val="0"/>
        <w:rPr>
          <w:color w:val="auto"/>
          <w:highlight w:val="none"/>
        </w:rPr>
      </w:pPr>
      <w:r>
        <w:rPr>
          <w:rFonts w:hint="eastAsia" w:eastAsia="仿宋_GB2312"/>
          <w:color w:val="auto"/>
          <w:sz w:val="32"/>
          <w:szCs w:val="32"/>
          <w:highlight w:val="none"/>
          <w:lang w:val="en-US" w:eastAsia="zh-CN"/>
        </w:rPr>
        <w:t>指标2：</w:t>
      </w:r>
      <w:r>
        <w:rPr>
          <w:rFonts w:hint="eastAsia" w:eastAsia="仿宋_GB2312"/>
          <w:color w:val="auto"/>
          <w:sz w:val="32"/>
          <w:szCs w:val="32"/>
          <w:highlight w:val="none"/>
        </w:rPr>
        <w:t>提高基本公共卫生服务水平</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指标值：不断提高，实际完成值：100%，</w:t>
      </w:r>
      <w:r>
        <w:rPr>
          <w:rFonts w:eastAsia="仿宋_GB2312"/>
          <w:color w:val="auto"/>
          <w:sz w:val="32"/>
          <w:szCs w:val="32"/>
          <w:highlight w:val="none"/>
        </w:rPr>
        <w:t>指标完成率</w:t>
      </w:r>
      <w:r>
        <w:rPr>
          <w:rFonts w:hint="eastAsia" w:eastAsia="仿宋_GB2312"/>
          <w:color w:val="auto"/>
          <w:sz w:val="32"/>
          <w:szCs w:val="32"/>
          <w:highlight w:val="none"/>
        </w:rPr>
        <w:t>100</w:t>
      </w:r>
      <w:r>
        <w:rPr>
          <w:rFonts w:eastAsia="仿宋_GB2312"/>
          <w:color w:val="auto"/>
          <w:sz w:val="32"/>
          <w:szCs w:val="32"/>
          <w:highlight w:val="none"/>
        </w:rPr>
        <w:t>%</w:t>
      </w:r>
      <w:r>
        <w:rPr>
          <w:rFonts w:hint="eastAsia" w:eastAsia="仿宋_GB2312"/>
          <w:color w:val="auto"/>
          <w:sz w:val="32"/>
          <w:szCs w:val="32"/>
          <w:highlight w:val="none"/>
          <w:lang w:eastAsia="zh-CN"/>
        </w:rPr>
        <w:t>。</w:t>
      </w:r>
    </w:p>
    <w:p w14:paraId="71A5625D">
      <w:pPr>
        <w:shd w:val="clear" w:fill="FFFFFF" w:themeFill="background1"/>
        <w:spacing w:line="600" w:lineRule="exact"/>
        <w:ind w:firstLine="640" w:firstLineChars="200"/>
        <w:outlineLvl w:val="0"/>
        <w:rPr>
          <w:rFonts w:hint="default" w:eastAsia="仿宋_GB2312"/>
          <w:color w:val="auto"/>
          <w:sz w:val="32"/>
          <w:szCs w:val="32"/>
          <w:highlight w:val="none"/>
          <w:lang w:val="en-US" w:eastAsia="zh-CN"/>
        </w:rPr>
      </w:pPr>
      <w:r>
        <w:rPr>
          <w:rFonts w:hint="default" w:eastAsia="仿宋_GB2312"/>
          <w:color w:val="auto"/>
          <w:sz w:val="32"/>
          <w:szCs w:val="32"/>
          <w:highlight w:val="none"/>
          <w:lang w:val="en-US" w:eastAsia="zh-CN"/>
        </w:rPr>
        <w:t>2.满意度</w:t>
      </w:r>
    </w:p>
    <w:p w14:paraId="7378DB69">
      <w:pPr>
        <w:shd w:val="clear" w:fill="FFFFFF" w:themeFill="background1"/>
        <w:spacing w:line="600" w:lineRule="exact"/>
        <w:ind w:firstLine="640" w:firstLineChars="200"/>
        <w:outlineLvl w:val="0"/>
        <w:rPr>
          <w:rFonts w:hint="eastAsia"/>
          <w:color w:val="auto"/>
          <w:highlight w:val="none"/>
          <w:lang w:eastAsia="zh-CN"/>
        </w:rPr>
      </w:pPr>
      <w:r>
        <w:rPr>
          <w:rFonts w:hint="eastAsia" w:eastAsia="仿宋_GB2312"/>
          <w:color w:val="auto"/>
          <w:sz w:val="32"/>
          <w:szCs w:val="32"/>
          <w:highlight w:val="none"/>
          <w:lang w:val="en-US" w:eastAsia="zh-CN"/>
        </w:rPr>
        <w:t>2024年我单位该项目未设置此条指标。</w:t>
      </w:r>
    </w:p>
    <w:p w14:paraId="60BFED51">
      <w:pPr>
        <w:shd w:val="clear" w:fill="FFFFFF" w:themeFill="background1"/>
        <w:spacing w:line="560" w:lineRule="exact"/>
        <w:ind w:firstLine="643" w:firstLineChars="200"/>
        <w:rPr>
          <w:rFonts w:eastAsia="楷体_GB2312"/>
          <w:b/>
          <w:bCs/>
          <w:color w:val="auto"/>
          <w:sz w:val="32"/>
          <w:szCs w:val="32"/>
          <w:highlight w:val="none"/>
        </w:rPr>
      </w:pPr>
      <w:r>
        <w:rPr>
          <w:rFonts w:eastAsia="楷体_GB2312"/>
          <w:b/>
          <w:bCs/>
          <w:color w:val="auto"/>
          <w:sz w:val="32"/>
          <w:szCs w:val="32"/>
          <w:highlight w:val="none"/>
        </w:rPr>
        <w:t>（五）预算执行进度与绩效指标总体完成率偏差</w:t>
      </w:r>
    </w:p>
    <w:p w14:paraId="56BD265D">
      <w:pPr>
        <w:pStyle w:val="19"/>
        <w:shd w:val="clear" w:fill="FFFFFF" w:themeFill="background1"/>
        <w:spacing w:line="560" w:lineRule="exact"/>
        <w:ind w:firstLine="640"/>
        <w:rPr>
          <w:rFonts w:eastAsia="方正仿宋_GBK"/>
          <w:color w:val="auto"/>
          <w:sz w:val="32"/>
          <w:szCs w:val="32"/>
          <w:highlight w:val="none"/>
        </w:rPr>
      </w:pPr>
      <w:r>
        <w:rPr>
          <w:rFonts w:hint="eastAsia" w:eastAsia="方正仿宋_GBK"/>
          <w:color w:val="auto"/>
          <w:sz w:val="32"/>
          <w:szCs w:val="32"/>
          <w:highlight w:val="none"/>
        </w:rPr>
        <w:t>基本公共卫生服务</w:t>
      </w:r>
      <w:r>
        <w:rPr>
          <w:rFonts w:eastAsia="方正仿宋_GBK"/>
          <w:color w:val="auto"/>
          <w:sz w:val="32"/>
          <w:szCs w:val="32"/>
          <w:highlight w:val="none"/>
        </w:rPr>
        <w:t>项目年初预算</w:t>
      </w:r>
      <w:r>
        <w:rPr>
          <w:rFonts w:hint="eastAsia" w:eastAsia="方正仿宋_GBK"/>
          <w:color w:val="auto"/>
          <w:sz w:val="32"/>
          <w:szCs w:val="32"/>
          <w:highlight w:val="none"/>
        </w:rPr>
        <w:t>360.99</w:t>
      </w:r>
      <w:r>
        <w:rPr>
          <w:rFonts w:eastAsia="方正仿宋_GBK"/>
          <w:color w:val="auto"/>
          <w:sz w:val="32"/>
          <w:szCs w:val="32"/>
          <w:highlight w:val="none"/>
        </w:rPr>
        <w:t>万元，全年预算</w:t>
      </w:r>
      <w:r>
        <w:rPr>
          <w:rFonts w:hint="eastAsia" w:eastAsia="方正仿宋_GBK"/>
          <w:color w:val="auto"/>
          <w:sz w:val="32"/>
          <w:szCs w:val="32"/>
          <w:highlight w:val="none"/>
        </w:rPr>
        <w:t>360.99</w:t>
      </w:r>
      <w:r>
        <w:rPr>
          <w:rFonts w:eastAsia="方正仿宋_GBK"/>
          <w:color w:val="auto"/>
          <w:sz w:val="32"/>
          <w:szCs w:val="32"/>
          <w:highlight w:val="none"/>
        </w:rPr>
        <w:t>万元，实际支出</w:t>
      </w:r>
      <w:r>
        <w:rPr>
          <w:rFonts w:hint="eastAsia" w:eastAsia="方正仿宋_GBK"/>
          <w:color w:val="auto"/>
          <w:sz w:val="32"/>
          <w:szCs w:val="32"/>
          <w:highlight w:val="none"/>
        </w:rPr>
        <w:t>250.99</w:t>
      </w:r>
      <w:r>
        <w:rPr>
          <w:rFonts w:eastAsia="方正仿宋_GBK"/>
          <w:color w:val="auto"/>
          <w:sz w:val="32"/>
          <w:szCs w:val="32"/>
          <w:highlight w:val="none"/>
        </w:rPr>
        <w:t>万元，预算执行率为</w:t>
      </w:r>
      <w:r>
        <w:rPr>
          <w:rFonts w:hint="eastAsia" w:eastAsia="方正仿宋_GBK"/>
          <w:color w:val="auto"/>
          <w:sz w:val="32"/>
          <w:szCs w:val="32"/>
          <w:highlight w:val="none"/>
        </w:rPr>
        <w:t>100</w:t>
      </w:r>
      <w:r>
        <w:rPr>
          <w:rFonts w:eastAsia="方正仿宋_GBK"/>
          <w:color w:val="auto"/>
          <w:sz w:val="32"/>
          <w:szCs w:val="32"/>
          <w:highlight w:val="none"/>
        </w:rPr>
        <w:t>%，项目绩效指标总体完成率为</w:t>
      </w:r>
      <w:r>
        <w:rPr>
          <w:rFonts w:hint="eastAsia" w:eastAsia="方正仿宋_GBK"/>
          <w:color w:val="auto"/>
          <w:sz w:val="32"/>
          <w:szCs w:val="32"/>
          <w:highlight w:val="none"/>
        </w:rPr>
        <w:t>100</w:t>
      </w:r>
      <w:r>
        <w:rPr>
          <w:rFonts w:eastAsia="方正仿宋_GBK"/>
          <w:color w:val="auto"/>
          <w:sz w:val="32"/>
          <w:szCs w:val="32"/>
          <w:highlight w:val="none"/>
        </w:rPr>
        <w:t>%，总体偏差率为</w:t>
      </w:r>
      <w:r>
        <w:rPr>
          <w:rFonts w:hint="eastAsia" w:eastAsia="方正仿宋_GBK"/>
          <w:color w:val="auto"/>
          <w:sz w:val="32"/>
          <w:szCs w:val="32"/>
          <w:highlight w:val="none"/>
        </w:rPr>
        <w:t>0</w:t>
      </w:r>
      <w:r>
        <w:rPr>
          <w:rFonts w:eastAsia="方正仿宋_GBK"/>
          <w:color w:val="auto"/>
          <w:sz w:val="32"/>
          <w:szCs w:val="32"/>
          <w:highlight w:val="none"/>
        </w:rPr>
        <w:t>%</w:t>
      </w:r>
      <w:r>
        <w:rPr>
          <w:rFonts w:hint="eastAsia"/>
          <w:color w:val="auto"/>
          <w:highlight w:val="none"/>
        </w:rPr>
        <w:t>。</w:t>
      </w:r>
    </w:p>
    <w:p w14:paraId="3B6ED30B">
      <w:pPr>
        <w:shd w:val="clear" w:fill="FFFFFF" w:themeFill="background1"/>
        <w:spacing w:line="560" w:lineRule="exact"/>
        <w:ind w:firstLine="640" w:firstLineChars="200"/>
        <w:rPr>
          <w:rStyle w:val="18"/>
          <w:rFonts w:ascii="Times New Roman" w:hAnsi="Times New Roman" w:cs="Times New Roman"/>
          <w:color w:val="auto"/>
          <w:highlight w:val="none"/>
        </w:rPr>
      </w:pPr>
      <w:r>
        <w:rPr>
          <w:rFonts w:hint="eastAsia" w:eastAsia="黑体"/>
          <w:color w:val="auto"/>
          <w:sz w:val="32"/>
          <w:szCs w:val="32"/>
          <w:highlight w:val="none"/>
        </w:rPr>
        <w:t>五、</w:t>
      </w:r>
      <w:r>
        <w:rPr>
          <w:rFonts w:eastAsia="黑体"/>
          <w:color w:val="auto"/>
          <w:sz w:val="32"/>
          <w:szCs w:val="32"/>
          <w:highlight w:val="none"/>
        </w:rPr>
        <w:t>主要经验及做法、存在的问题及原因分析</w:t>
      </w:r>
    </w:p>
    <w:p w14:paraId="5F3FA312">
      <w:pPr>
        <w:shd w:val="clear" w:fill="FFFFFF" w:themeFill="background1"/>
        <w:spacing w:line="560" w:lineRule="exact"/>
        <w:ind w:firstLine="627" w:firstLineChars="200"/>
        <w:rPr>
          <w:rFonts w:eastAsia="楷体"/>
          <w:b/>
          <w:color w:val="auto"/>
          <w:spacing w:val="-4"/>
          <w:sz w:val="32"/>
          <w:szCs w:val="32"/>
          <w:highlight w:val="none"/>
        </w:rPr>
      </w:pPr>
      <w:r>
        <w:rPr>
          <w:rFonts w:eastAsia="楷体"/>
          <w:b/>
          <w:color w:val="auto"/>
          <w:spacing w:val="-4"/>
          <w:sz w:val="32"/>
          <w:szCs w:val="32"/>
          <w:highlight w:val="none"/>
        </w:rPr>
        <w:t>（一）主要经验及做法</w:t>
      </w:r>
    </w:p>
    <w:p w14:paraId="5A627D74">
      <w:pPr>
        <w:shd w:val="clear" w:fill="FFFFFF" w:themeFill="background1"/>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为确保项目顺利进行，提前做好项目规划，将所列计划再三审核。在项目实施过程中做好定期监督检查，严格按照项目管理规范进行，在项目资金使用过程中，严格落实把关，</w:t>
      </w:r>
      <w:r>
        <w:rPr>
          <w:rFonts w:hint="eastAsia" w:eastAsia="仿宋_GB2312"/>
          <w:color w:val="auto"/>
          <w:sz w:val="32"/>
          <w:szCs w:val="32"/>
          <w:highlight w:val="none"/>
          <w:lang w:val="en-US" w:eastAsia="zh-CN"/>
        </w:rPr>
        <w:t>每季度接受上级部门对资金使用进行考核，发现不规范及时整改。每季度对各站的资金使用进行考核，指导各站规范使用经费。</w:t>
      </w:r>
      <w:r>
        <w:rPr>
          <w:rFonts w:eastAsia="仿宋_GB2312"/>
          <w:color w:val="auto"/>
          <w:sz w:val="32"/>
          <w:szCs w:val="32"/>
          <w:highlight w:val="none"/>
        </w:rPr>
        <w:t>按照项目资金使用范围做好审核工作，让项目资金落于实处。</w:t>
      </w:r>
      <w:r>
        <w:rPr>
          <w:rFonts w:hint="eastAsia" w:eastAsia="仿宋_GB2312"/>
          <w:color w:val="auto"/>
          <w:sz w:val="32"/>
          <w:szCs w:val="32"/>
          <w:highlight w:val="none"/>
          <w:lang w:val="en-US" w:eastAsia="zh-CN"/>
        </w:rPr>
        <w:t>每季度接受上级考核时候会随机抽取居民电话核实真实性，检查档案录入的规范性</w:t>
      </w:r>
      <w:r>
        <w:rPr>
          <w:rFonts w:eastAsia="仿宋_GB2312"/>
          <w:color w:val="auto"/>
          <w:sz w:val="32"/>
          <w:szCs w:val="32"/>
          <w:highlight w:val="none"/>
        </w:rPr>
        <w:t>，做好受益群众民意调查及项目防范工作。</w:t>
      </w:r>
    </w:p>
    <w:p w14:paraId="1B9CC4F7">
      <w:pPr>
        <w:pStyle w:val="10"/>
        <w:shd w:val="clear" w:fill="FFFFFF" w:themeFill="background1"/>
        <w:spacing w:before="0" w:after="0" w:line="560" w:lineRule="exact"/>
        <w:ind w:firstLine="640" w:firstLineChars="200"/>
        <w:jc w:val="left"/>
        <w:rPr>
          <w:rFonts w:ascii="Times New Roman" w:hAnsi="Times New Roman" w:eastAsia="仿宋_GB2312"/>
          <w:b w:val="0"/>
          <w:bCs w:val="0"/>
          <w:color w:val="auto"/>
          <w:kern w:val="2"/>
          <w:highlight w:val="none"/>
        </w:rPr>
      </w:pPr>
      <w:r>
        <w:rPr>
          <w:rFonts w:ascii="Times New Roman" w:hAnsi="Times New Roman" w:eastAsia="仿宋_GB2312"/>
          <w:b w:val="0"/>
          <w:bCs w:val="0"/>
          <w:color w:val="auto"/>
          <w:kern w:val="2"/>
          <w:highlight w:val="none"/>
        </w:rPr>
        <w:t>严格坚持先做事、后验收、再拨付的原则，</w:t>
      </w:r>
      <w:r>
        <w:rPr>
          <w:rFonts w:hint="eastAsia" w:ascii="Times New Roman" w:hAnsi="Times New Roman" w:eastAsia="仿宋_GB2312"/>
          <w:b w:val="0"/>
          <w:bCs w:val="0"/>
          <w:color w:val="auto"/>
          <w:kern w:val="2"/>
          <w:highlight w:val="none"/>
        </w:rPr>
        <w:t>杜绝</w:t>
      </w:r>
      <w:r>
        <w:rPr>
          <w:rFonts w:ascii="Times New Roman" w:hAnsi="Times New Roman" w:eastAsia="仿宋_GB2312"/>
          <w:b w:val="0"/>
          <w:bCs w:val="0"/>
          <w:color w:val="auto"/>
          <w:kern w:val="2"/>
          <w:highlight w:val="none"/>
        </w:rPr>
        <w:t>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31564C73">
      <w:pPr>
        <w:keepNext/>
        <w:keepLines/>
        <w:numPr>
          <w:ilvl w:val="0"/>
          <w:numId w:val="4"/>
        </w:numPr>
        <w:shd w:val="clear" w:fill="FFFFFF" w:themeFill="background1"/>
        <w:spacing w:line="560" w:lineRule="exact"/>
        <w:ind w:firstLine="643" w:firstLineChars="200"/>
        <w:rPr>
          <w:rFonts w:eastAsia="楷体_GB2312"/>
          <w:b/>
          <w:bCs/>
          <w:color w:val="auto"/>
          <w:sz w:val="32"/>
          <w:szCs w:val="32"/>
          <w:highlight w:val="none"/>
        </w:rPr>
      </w:pPr>
      <w:r>
        <w:rPr>
          <w:rFonts w:eastAsia="楷体_GB2312"/>
          <w:b/>
          <w:bCs/>
          <w:color w:val="auto"/>
          <w:sz w:val="32"/>
          <w:szCs w:val="32"/>
          <w:highlight w:val="none"/>
        </w:rPr>
        <w:t>存在的问题及原因分析</w:t>
      </w:r>
    </w:p>
    <w:p w14:paraId="6F43CC48">
      <w:pPr>
        <w:shd w:val="clear" w:fill="FFFFFF" w:themeFill="background1"/>
        <w:spacing w:line="600" w:lineRule="exact"/>
        <w:ind w:firstLine="640" w:firstLineChars="200"/>
        <w:outlineLvl w:val="0"/>
        <w:rPr>
          <w:rFonts w:eastAsia="仿宋_GB2312"/>
          <w:color w:val="auto"/>
          <w:sz w:val="32"/>
          <w:szCs w:val="32"/>
          <w:highlight w:val="none"/>
        </w:rPr>
      </w:pPr>
      <w:r>
        <w:rPr>
          <w:rFonts w:eastAsia="仿宋_GB2312"/>
          <w:color w:val="auto"/>
          <w:sz w:val="32"/>
          <w:szCs w:val="32"/>
          <w:highlight w:val="none"/>
        </w:rPr>
        <w:t>1.相关绩效管理方面专业知识的系统性学习有待加强。</w:t>
      </w:r>
      <w:r>
        <w:rPr>
          <w:rFonts w:hint="eastAsia" w:eastAsia="仿宋_GB2312"/>
          <w:color w:val="auto"/>
          <w:sz w:val="32"/>
          <w:szCs w:val="32"/>
          <w:highlight w:val="none"/>
          <w:lang w:val="en-US" w:eastAsia="zh-CN"/>
        </w:rPr>
        <w:t>不仅仅是对财务人员进行培训，还要加强公卫科负责此项评价的人员进行培训，在年初填报和项目结束后评价报告应该接受相关专业培训，正确上报指标并规范填写评价报告。</w:t>
      </w:r>
      <w:r>
        <w:rPr>
          <w:rFonts w:eastAsia="仿宋_GB2312"/>
          <w:color w:val="auto"/>
          <w:sz w:val="32"/>
          <w:szCs w:val="32"/>
          <w:highlight w:val="none"/>
        </w:rPr>
        <w:t>各项指标的设置要进一步优化、完善，主要在细化、量化上改进。在绩效自评过程中，由于部分人员缺乏相关绩效管理专业知识，自评价工作还存在自我审定的局限性，影响评价质量。</w:t>
      </w:r>
    </w:p>
    <w:p w14:paraId="7CE2F762">
      <w:pPr>
        <w:shd w:val="clear" w:fill="FFFFFF" w:themeFill="background1"/>
        <w:spacing w:line="600" w:lineRule="exact"/>
        <w:ind w:firstLine="640" w:firstLineChars="200"/>
        <w:outlineLvl w:val="0"/>
        <w:rPr>
          <w:rFonts w:eastAsia="仿宋_GB2312"/>
          <w:color w:val="auto"/>
          <w:sz w:val="32"/>
          <w:szCs w:val="32"/>
          <w:highlight w:val="none"/>
        </w:rPr>
      </w:pPr>
      <w:r>
        <w:rPr>
          <w:rFonts w:eastAsia="仿宋_GB2312"/>
          <w:color w:val="auto"/>
          <w:sz w:val="32"/>
          <w:szCs w:val="32"/>
          <w:highlight w:val="none"/>
        </w:rPr>
        <w:t>2.因轮岗、调动</w:t>
      </w:r>
      <w:r>
        <w:rPr>
          <w:rFonts w:hint="eastAsia" w:eastAsia="仿宋_GB2312"/>
          <w:color w:val="auto"/>
          <w:sz w:val="32"/>
          <w:szCs w:val="32"/>
          <w:highlight w:val="none"/>
        </w:rPr>
        <w:t>等</w:t>
      </w:r>
      <w:r>
        <w:rPr>
          <w:rFonts w:eastAsia="仿宋_GB2312"/>
          <w:color w:val="auto"/>
          <w:sz w:val="32"/>
          <w:szCs w:val="32"/>
          <w:highlight w:val="none"/>
        </w:rPr>
        <w:t>因素使我单位绩效工作人员流动频繁，</w:t>
      </w:r>
      <w:r>
        <w:rPr>
          <w:rFonts w:hint="eastAsia" w:eastAsia="仿宋_GB2312"/>
          <w:color w:val="auto"/>
          <w:sz w:val="32"/>
          <w:szCs w:val="32"/>
          <w:highlight w:val="none"/>
        </w:rPr>
        <w:t>造成</w:t>
      </w:r>
      <w:r>
        <w:rPr>
          <w:rFonts w:eastAsia="仿宋_GB2312"/>
          <w:color w:val="auto"/>
          <w:sz w:val="32"/>
          <w:szCs w:val="32"/>
          <w:highlight w:val="none"/>
        </w:rPr>
        <w:t>工作衔接不到位的情况。</w:t>
      </w:r>
    </w:p>
    <w:p w14:paraId="6CF8C38D">
      <w:pPr>
        <w:shd w:val="clear" w:fill="FFFFFF" w:themeFill="background1"/>
        <w:spacing w:line="560" w:lineRule="exact"/>
        <w:ind w:firstLine="640" w:firstLineChars="200"/>
        <w:rPr>
          <w:rFonts w:eastAsia="黑体"/>
          <w:color w:val="auto"/>
          <w:sz w:val="32"/>
          <w:szCs w:val="32"/>
          <w:highlight w:val="none"/>
        </w:rPr>
      </w:pPr>
      <w:r>
        <w:rPr>
          <w:rFonts w:hint="eastAsia" w:eastAsia="黑体"/>
          <w:color w:val="auto"/>
          <w:sz w:val="32"/>
          <w:szCs w:val="32"/>
          <w:highlight w:val="none"/>
        </w:rPr>
        <w:t>六、</w:t>
      </w:r>
      <w:r>
        <w:rPr>
          <w:rFonts w:eastAsia="黑体"/>
          <w:color w:val="auto"/>
          <w:sz w:val="32"/>
          <w:szCs w:val="32"/>
          <w:highlight w:val="none"/>
        </w:rPr>
        <w:t>有关建议</w:t>
      </w:r>
    </w:p>
    <w:p w14:paraId="2E12E3CA">
      <w:pPr>
        <w:shd w:val="clear" w:fill="FFFFFF" w:themeFill="background1"/>
        <w:spacing w:line="600" w:lineRule="exact"/>
        <w:ind w:firstLine="640" w:firstLineChars="200"/>
        <w:outlineLvl w:val="0"/>
        <w:rPr>
          <w:rFonts w:eastAsia="仿宋_GB2312"/>
          <w:color w:val="auto"/>
          <w:sz w:val="32"/>
          <w:szCs w:val="32"/>
          <w:highlight w:val="none"/>
        </w:rPr>
      </w:pPr>
      <w:r>
        <w:rPr>
          <w:rFonts w:eastAsia="仿宋_GB2312"/>
          <w:color w:val="auto"/>
          <w:sz w:val="32"/>
          <w:szCs w:val="32"/>
          <w:highlight w:val="none"/>
        </w:rPr>
        <w:t>1.多进行有关绩效管理工作方面的培训。积极组织第三方开展绩效管理工作培训，进一步夯实业务基础，提高我单位绩效人员水平。</w:t>
      </w:r>
    </w:p>
    <w:p w14:paraId="5D804712">
      <w:pPr>
        <w:shd w:val="clear" w:fill="FFFFFF" w:themeFill="background1"/>
        <w:spacing w:line="600" w:lineRule="exact"/>
        <w:ind w:firstLine="640" w:firstLineChars="200"/>
        <w:outlineLvl w:val="0"/>
        <w:rPr>
          <w:rFonts w:eastAsia="仿宋_GB2312"/>
          <w:color w:val="auto"/>
          <w:sz w:val="32"/>
          <w:szCs w:val="32"/>
          <w:highlight w:val="none"/>
        </w:rPr>
      </w:pPr>
      <w:r>
        <w:rPr>
          <w:rFonts w:eastAsia="仿宋_GB2312"/>
          <w:color w:val="auto"/>
          <w:sz w:val="32"/>
          <w:szCs w:val="32"/>
          <w:highlight w:val="none"/>
        </w:rPr>
        <w:t>2.专门设定对绩效工作人员定职、定岗、定责等相关制度措施，进一步提升我单位绩效管理工作业务水平，扎实做好绩效管理工作。</w:t>
      </w:r>
    </w:p>
    <w:p w14:paraId="69B4E074">
      <w:pPr>
        <w:shd w:val="clear" w:fill="FFFFFF" w:themeFill="background1"/>
        <w:spacing w:line="600" w:lineRule="exact"/>
        <w:ind w:firstLine="640" w:firstLineChars="200"/>
        <w:outlineLvl w:val="0"/>
        <w:rPr>
          <w:rFonts w:eastAsia="仿宋_GB2312"/>
          <w:color w:val="auto"/>
          <w:sz w:val="32"/>
          <w:szCs w:val="32"/>
          <w:highlight w:val="none"/>
        </w:rPr>
      </w:pPr>
      <w:r>
        <w:rPr>
          <w:rFonts w:eastAsia="仿宋_GB2312"/>
          <w:color w:val="auto"/>
          <w:sz w:val="32"/>
          <w:szCs w:val="32"/>
          <w:highlight w:val="none"/>
        </w:rPr>
        <w:t>3.进一步规范项目建设的程序。项目前期做好可行性研究报告，更加细化实施方案，严格执行资金管理办法和财政资金管理制度，严格按照项目实施方案、招投标管理办法等稳步推进工作，各部门单位根据自己项目的特点进行总结。</w:t>
      </w:r>
    </w:p>
    <w:p w14:paraId="79076F34">
      <w:pPr>
        <w:shd w:val="clear" w:fill="FFFFFF" w:themeFill="background1"/>
        <w:spacing w:line="600" w:lineRule="exact"/>
        <w:ind w:firstLine="640" w:firstLineChars="200"/>
        <w:outlineLvl w:val="0"/>
        <w:rPr>
          <w:color w:val="auto"/>
          <w:sz w:val="22"/>
          <w:szCs w:val="28"/>
          <w:highlight w:val="none"/>
        </w:rPr>
      </w:pPr>
      <w:r>
        <w:rPr>
          <w:rFonts w:eastAsia="仿宋_GB2312"/>
          <w:color w:val="auto"/>
          <w:sz w:val="32"/>
          <w:szCs w:val="32"/>
          <w:highlight w:val="none"/>
        </w:rPr>
        <w:t>4.进一步完善项目评价过程中有关数据和资料的收集、整理、审核及分析。项目启动时同步做好档案的归纳与整理，及时整理、收集、汇总，健全档案资料。项目后续管理有待进一步加强和跟踪</w:t>
      </w:r>
      <w:r>
        <w:rPr>
          <w:rFonts w:eastAsia="仿宋_GB2312"/>
          <w:color w:val="auto"/>
          <w:sz w:val="36"/>
          <w:szCs w:val="32"/>
          <w:highlight w:val="none"/>
        </w:rPr>
        <w:t>。</w:t>
      </w:r>
    </w:p>
    <w:p w14:paraId="0B8A30E4">
      <w:pPr>
        <w:shd w:val="clear" w:fill="FFFFFF" w:themeFill="background1"/>
        <w:spacing w:line="560" w:lineRule="exact"/>
        <w:ind w:firstLine="640" w:firstLineChars="200"/>
        <w:rPr>
          <w:rFonts w:eastAsia="黑体"/>
          <w:color w:val="auto"/>
          <w:sz w:val="32"/>
          <w:szCs w:val="32"/>
          <w:highlight w:val="none"/>
        </w:rPr>
      </w:pPr>
      <w:r>
        <w:rPr>
          <w:rFonts w:hint="eastAsia" w:eastAsia="黑体"/>
          <w:color w:val="auto"/>
          <w:sz w:val="32"/>
          <w:szCs w:val="32"/>
          <w:highlight w:val="none"/>
        </w:rPr>
        <w:t>七、</w:t>
      </w:r>
      <w:r>
        <w:rPr>
          <w:rFonts w:eastAsia="黑体"/>
          <w:color w:val="auto"/>
          <w:sz w:val="32"/>
          <w:szCs w:val="32"/>
          <w:highlight w:val="none"/>
        </w:rPr>
        <w:t>其他需要说</w:t>
      </w:r>
      <w:bookmarkStart w:id="0" w:name="page8"/>
      <w:bookmarkEnd w:id="0"/>
      <w:r>
        <w:rPr>
          <w:rFonts w:eastAsia="黑体"/>
          <w:color w:val="auto"/>
          <w:sz w:val="32"/>
          <w:szCs w:val="32"/>
          <w:highlight w:val="none"/>
        </w:rPr>
        <w:t>明的问题</w:t>
      </w:r>
    </w:p>
    <w:p w14:paraId="5BE53344">
      <w:pPr>
        <w:pStyle w:val="13"/>
        <w:shd w:val="clear" w:fill="FFFFFF" w:themeFill="background1"/>
        <w:spacing w:after="0" w:line="560" w:lineRule="exact"/>
        <w:ind w:left="0" w:leftChars="0" w:firstLine="64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本项目无其他需说明的问题。</w:t>
      </w:r>
    </w:p>
    <w:p w14:paraId="6B1828FD">
      <w:pPr>
        <w:pStyle w:val="13"/>
        <w:shd w:val="clear" w:fill="FFFFFF" w:themeFill="background1"/>
        <w:spacing w:after="0" w:line="560" w:lineRule="exact"/>
        <w:ind w:left="0" w:leftChars="0" w:firstLine="0" w:firstLineChars="0"/>
        <w:rPr>
          <w:rFonts w:ascii="Times New Roman" w:hAnsi="Times New Roman" w:eastAsia="仿宋_GB2312"/>
          <w:color w:val="auto"/>
          <w:sz w:val="32"/>
          <w:szCs w:val="32"/>
          <w:highlight w:val="none"/>
        </w:rPr>
      </w:pPr>
    </w:p>
    <w:p w14:paraId="4D27214F">
      <w:pPr>
        <w:pStyle w:val="13"/>
        <w:shd w:val="clear" w:fill="FFFFFF" w:themeFill="background1"/>
        <w:spacing w:after="0" w:line="560" w:lineRule="exact"/>
        <w:ind w:left="0" w:leftChars="0" w:firstLine="643"/>
        <w:rPr>
          <w:rFonts w:ascii="Times New Roman" w:hAnsi="Times New Roman" w:eastAsia="仿宋_GB2312"/>
          <w:b/>
          <w:bCs/>
          <w:color w:val="auto"/>
          <w:sz w:val="32"/>
          <w:szCs w:val="32"/>
          <w:highlight w:val="none"/>
        </w:rPr>
      </w:pPr>
    </w:p>
    <w:p w14:paraId="25064BAA">
      <w:pPr>
        <w:pStyle w:val="13"/>
        <w:shd w:val="clear" w:fill="FFFFFF" w:themeFill="background1"/>
        <w:spacing w:after="0" w:line="560" w:lineRule="exact"/>
        <w:ind w:left="0" w:leftChars="0" w:firstLine="640"/>
        <w:rPr>
          <w:rFonts w:ascii="Times New Roman" w:hAnsi="Times New Roman" w:eastAsia="仿宋_GB2312"/>
          <w:color w:val="auto"/>
          <w:sz w:val="32"/>
          <w:szCs w:val="32"/>
          <w:highlight w:val="none"/>
        </w:rPr>
      </w:pPr>
    </w:p>
    <w:p w14:paraId="64B8C74E">
      <w:pPr>
        <w:pStyle w:val="13"/>
        <w:shd w:val="clear" w:fill="FFFFFF" w:themeFill="background1"/>
        <w:spacing w:after="0" w:line="560" w:lineRule="exact"/>
        <w:ind w:left="0" w:leftChars="0" w:firstLine="640"/>
        <w:rPr>
          <w:rFonts w:ascii="Times New Roman" w:hAnsi="Times New Roman" w:eastAsia="仿宋_GB2312"/>
          <w:color w:val="auto"/>
          <w:sz w:val="32"/>
          <w:szCs w:val="32"/>
          <w:highlight w:val="none"/>
        </w:rPr>
      </w:pPr>
    </w:p>
    <w:p w14:paraId="79A684AD">
      <w:pPr>
        <w:pStyle w:val="13"/>
        <w:shd w:val="clear" w:fill="FFFFFF" w:themeFill="background1"/>
        <w:spacing w:after="0" w:line="560" w:lineRule="exact"/>
        <w:ind w:left="0" w:leftChars="0" w:firstLine="0" w:firstLineChars="0"/>
        <w:rPr>
          <w:rFonts w:ascii="Times New Roman" w:hAnsi="Times New Roman" w:eastAsia="仿宋_GB2312"/>
          <w:color w:val="auto"/>
          <w:sz w:val="32"/>
          <w:szCs w:val="32"/>
          <w:highlight w:val="none"/>
        </w:rPr>
      </w:pPr>
    </w:p>
    <w:p w14:paraId="2DE07BB6">
      <w:pPr>
        <w:shd w:val="clear" w:fill="FFFFFF" w:themeFill="background1"/>
        <w:spacing w:line="600" w:lineRule="exact"/>
        <w:rPr>
          <w:rFonts w:eastAsia="黑体"/>
          <w:color w:val="auto"/>
          <w:sz w:val="32"/>
          <w:szCs w:val="32"/>
          <w:highlight w:val="none"/>
        </w:rPr>
        <w:sectPr>
          <w:footerReference r:id="rId3" w:type="default"/>
          <w:pgSz w:w="11906" w:h="16838"/>
          <w:pgMar w:top="1440" w:right="1558" w:bottom="1440" w:left="1800" w:header="851" w:footer="992" w:gutter="0"/>
          <w:pgNumType w:start="1"/>
          <w:cols w:space="425" w:num="1"/>
          <w:docGrid w:type="lines" w:linePitch="312" w:charSpace="0"/>
        </w:sectPr>
      </w:pPr>
    </w:p>
    <w:p w14:paraId="5C2EDE15">
      <w:pPr>
        <w:shd w:val="clear" w:fill="FFFFFF" w:themeFill="background1"/>
        <w:spacing w:line="600" w:lineRule="exact"/>
        <w:rPr>
          <w:rFonts w:eastAsia="黑体"/>
          <w:color w:val="auto"/>
          <w:sz w:val="32"/>
          <w:szCs w:val="32"/>
          <w:highlight w:val="none"/>
        </w:rPr>
      </w:pPr>
      <w:r>
        <w:rPr>
          <w:rFonts w:hint="eastAsia" w:eastAsia="黑体"/>
          <w:color w:val="auto"/>
          <w:sz w:val="32"/>
          <w:szCs w:val="32"/>
          <w:highlight w:val="none"/>
        </w:rPr>
        <w:t>附件1</w:t>
      </w:r>
    </w:p>
    <w:p w14:paraId="18FA47CE">
      <w:pPr>
        <w:pStyle w:val="19"/>
        <w:shd w:val="clear" w:fill="FFFFFF" w:themeFill="background1"/>
        <w:ind w:firstLine="562"/>
        <w:jc w:val="center"/>
        <w:rPr>
          <w:rFonts w:ascii="仿宋_GB2312" w:hAnsi="仿宋_GB2312" w:eastAsia="仿宋_GB2312" w:cs="仿宋_GB2312"/>
          <w:color w:val="auto"/>
          <w:sz w:val="28"/>
          <w:szCs w:val="40"/>
          <w:highlight w:val="none"/>
        </w:rPr>
      </w:pPr>
      <w:bookmarkStart w:id="1" w:name="_Toc26499_WPSOffice_Level2"/>
      <w:bookmarkStart w:id="2" w:name="_Toc30064_WPSOffice_Level1"/>
      <w:r>
        <w:rPr>
          <w:rFonts w:hint="eastAsia" w:ascii="仿宋_GB2312" w:hAnsi="仿宋_GB2312" w:eastAsia="仿宋_GB2312" w:cs="仿宋_GB2312"/>
          <w:b/>
          <w:bCs/>
          <w:color w:val="auto"/>
          <w:sz w:val="28"/>
          <w:szCs w:val="40"/>
          <w:highlight w:val="none"/>
        </w:rPr>
        <w:t>基本公共卫生服务项目绩效评价指标体系及综合评分表</w:t>
      </w:r>
      <w:bookmarkEnd w:id="1"/>
      <w:bookmarkEnd w:id="2"/>
    </w:p>
    <w:tbl>
      <w:tblPr>
        <w:tblStyle w:val="14"/>
        <w:tblW w:w="4474"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002"/>
        <w:gridCol w:w="999"/>
        <w:gridCol w:w="1070"/>
        <w:gridCol w:w="1725"/>
        <w:gridCol w:w="5220"/>
        <w:gridCol w:w="1304"/>
        <w:gridCol w:w="1363"/>
      </w:tblGrid>
      <w:tr w14:paraId="149279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2" w:hRule="atLeast"/>
          <w:tblHeader/>
          <w:jc w:val="center"/>
        </w:trPr>
        <w:tc>
          <w:tcPr>
            <w:tcW w:w="395" w:type="pct"/>
            <w:shd w:val="clear" w:color="auto" w:fill="FFFFFF"/>
            <w:vAlign w:val="center"/>
          </w:tcPr>
          <w:p w14:paraId="7C854A8B">
            <w:pPr>
              <w:widowControl/>
              <w:shd w:val="clear" w:fill="FFFFFF" w:themeFill="background1"/>
              <w:spacing w:line="0" w:lineRule="atLeast"/>
              <w:jc w:val="center"/>
              <w:rPr>
                <w:rFonts w:eastAsia="仿宋_GB2312"/>
                <w:b/>
                <w:bCs/>
                <w:color w:val="auto"/>
                <w:kern w:val="0"/>
                <w:sz w:val="18"/>
                <w:szCs w:val="18"/>
                <w:highlight w:val="none"/>
              </w:rPr>
            </w:pPr>
            <w:r>
              <w:rPr>
                <w:rFonts w:eastAsia="仿宋_GB2312"/>
                <w:b/>
                <w:bCs/>
                <w:color w:val="auto"/>
                <w:kern w:val="0"/>
                <w:sz w:val="18"/>
                <w:szCs w:val="18"/>
                <w:highlight w:val="none"/>
              </w:rPr>
              <w:t>一级指标</w:t>
            </w:r>
          </w:p>
        </w:tc>
        <w:tc>
          <w:tcPr>
            <w:tcW w:w="394" w:type="pct"/>
            <w:shd w:val="clear" w:color="auto" w:fill="FFFFFF"/>
            <w:vAlign w:val="center"/>
          </w:tcPr>
          <w:p w14:paraId="0373E73C">
            <w:pPr>
              <w:widowControl/>
              <w:shd w:val="clear" w:fill="FFFFFF" w:themeFill="background1"/>
              <w:spacing w:line="0" w:lineRule="atLeast"/>
              <w:jc w:val="center"/>
              <w:rPr>
                <w:rFonts w:eastAsia="仿宋_GB2312"/>
                <w:b/>
                <w:bCs/>
                <w:color w:val="auto"/>
                <w:kern w:val="0"/>
                <w:sz w:val="18"/>
                <w:szCs w:val="18"/>
                <w:highlight w:val="none"/>
              </w:rPr>
            </w:pPr>
            <w:r>
              <w:rPr>
                <w:rFonts w:eastAsia="仿宋_GB2312"/>
                <w:b/>
                <w:bCs/>
                <w:color w:val="auto"/>
                <w:kern w:val="0"/>
                <w:sz w:val="18"/>
                <w:szCs w:val="18"/>
                <w:highlight w:val="none"/>
              </w:rPr>
              <w:t>二级指标</w:t>
            </w:r>
          </w:p>
        </w:tc>
        <w:tc>
          <w:tcPr>
            <w:tcW w:w="422" w:type="pct"/>
            <w:shd w:val="clear" w:color="auto" w:fill="FFFFFF"/>
            <w:vAlign w:val="center"/>
          </w:tcPr>
          <w:p w14:paraId="5C78840F">
            <w:pPr>
              <w:widowControl/>
              <w:shd w:val="clear" w:fill="FFFFFF" w:themeFill="background1"/>
              <w:spacing w:line="0" w:lineRule="atLeast"/>
              <w:jc w:val="center"/>
              <w:rPr>
                <w:rFonts w:eastAsia="仿宋_GB2312"/>
                <w:b/>
                <w:bCs/>
                <w:color w:val="auto"/>
                <w:kern w:val="0"/>
                <w:sz w:val="18"/>
                <w:szCs w:val="18"/>
                <w:highlight w:val="none"/>
              </w:rPr>
            </w:pPr>
            <w:r>
              <w:rPr>
                <w:rFonts w:eastAsia="仿宋_GB2312"/>
                <w:b/>
                <w:bCs/>
                <w:color w:val="auto"/>
                <w:kern w:val="0"/>
                <w:sz w:val="18"/>
                <w:szCs w:val="18"/>
                <w:highlight w:val="none"/>
              </w:rPr>
              <w:t>三级指标</w:t>
            </w:r>
          </w:p>
        </w:tc>
        <w:tc>
          <w:tcPr>
            <w:tcW w:w="680" w:type="pct"/>
            <w:shd w:val="clear" w:color="auto" w:fill="FFFFFF"/>
            <w:vAlign w:val="center"/>
          </w:tcPr>
          <w:p w14:paraId="5D1480B1">
            <w:pPr>
              <w:widowControl/>
              <w:shd w:val="clear" w:fill="FFFFFF" w:themeFill="background1"/>
              <w:spacing w:line="0" w:lineRule="atLeast"/>
              <w:jc w:val="center"/>
              <w:rPr>
                <w:rFonts w:eastAsia="仿宋_GB2312"/>
                <w:b/>
                <w:bCs/>
                <w:color w:val="auto"/>
                <w:kern w:val="0"/>
                <w:sz w:val="18"/>
                <w:szCs w:val="18"/>
                <w:highlight w:val="none"/>
              </w:rPr>
            </w:pPr>
            <w:r>
              <w:rPr>
                <w:rFonts w:eastAsia="仿宋_GB2312"/>
                <w:b/>
                <w:bCs/>
                <w:color w:val="auto"/>
                <w:kern w:val="0"/>
                <w:sz w:val="18"/>
                <w:szCs w:val="18"/>
                <w:highlight w:val="none"/>
              </w:rPr>
              <w:t>指标解释</w:t>
            </w:r>
          </w:p>
        </w:tc>
        <w:tc>
          <w:tcPr>
            <w:tcW w:w="2056" w:type="pct"/>
            <w:shd w:val="clear" w:color="auto" w:fill="FFFFFF"/>
            <w:vAlign w:val="center"/>
          </w:tcPr>
          <w:p w14:paraId="65266D71">
            <w:pPr>
              <w:widowControl/>
              <w:shd w:val="clear" w:fill="FFFFFF" w:themeFill="background1"/>
              <w:spacing w:line="0" w:lineRule="atLeast"/>
              <w:jc w:val="center"/>
              <w:rPr>
                <w:rFonts w:eastAsia="仿宋_GB2312"/>
                <w:b/>
                <w:bCs/>
                <w:color w:val="auto"/>
                <w:kern w:val="0"/>
                <w:sz w:val="18"/>
                <w:szCs w:val="18"/>
                <w:highlight w:val="none"/>
              </w:rPr>
            </w:pPr>
            <w:r>
              <w:rPr>
                <w:rFonts w:eastAsia="仿宋_GB2312"/>
                <w:b/>
                <w:bCs/>
                <w:color w:val="auto"/>
                <w:kern w:val="0"/>
                <w:sz w:val="18"/>
                <w:szCs w:val="18"/>
                <w:highlight w:val="none"/>
              </w:rPr>
              <w:t>指标说明</w:t>
            </w:r>
          </w:p>
        </w:tc>
        <w:tc>
          <w:tcPr>
            <w:tcW w:w="514" w:type="pct"/>
            <w:shd w:val="clear" w:color="auto" w:fill="FFFFFF"/>
            <w:vAlign w:val="center"/>
          </w:tcPr>
          <w:p w14:paraId="317E1EAE">
            <w:pPr>
              <w:widowControl/>
              <w:shd w:val="clear" w:fill="FFFFFF" w:themeFill="background1"/>
              <w:spacing w:line="0" w:lineRule="atLeast"/>
              <w:jc w:val="center"/>
              <w:rPr>
                <w:rFonts w:eastAsia="仿宋_GB2312"/>
                <w:b/>
                <w:bCs/>
                <w:color w:val="auto"/>
                <w:kern w:val="0"/>
                <w:sz w:val="18"/>
                <w:szCs w:val="18"/>
                <w:highlight w:val="none"/>
              </w:rPr>
            </w:pPr>
            <w:r>
              <w:rPr>
                <w:rFonts w:eastAsia="仿宋_GB2312"/>
                <w:b/>
                <w:bCs/>
                <w:color w:val="auto"/>
                <w:kern w:val="0"/>
                <w:sz w:val="18"/>
                <w:szCs w:val="18"/>
                <w:highlight w:val="none"/>
              </w:rPr>
              <w:t>权重</w:t>
            </w:r>
          </w:p>
        </w:tc>
        <w:tc>
          <w:tcPr>
            <w:tcW w:w="538" w:type="pct"/>
            <w:shd w:val="clear" w:color="auto" w:fill="FFFFFF"/>
            <w:vAlign w:val="center"/>
          </w:tcPr>
          <w:p w14:paraId="1DBAEF3D">
            <w:pPr>
              <w:widowControl/>
              <w:shd w:val="clear" w:fill="FFFFFF" w:themeFill="background1"/>
              <w:spacing w:line="0" w:lineRule="atLeast"/>
              <w:jc w:val="center"/>
              <w:rPr>
                <w:rFonts w:eastAsia="仿宋_GB2312"/>
                <w:b/>
                <w:bCs/>
                <w:color w:val="auto"/>
                <w:kern w:val="0"/>
                <w:sz w:val="18"/>
                <w:szCs w:val="18"/>
                <w:highlight w:val="none"/>
              </w:rPr>
            </w:pPr>
            <w:r>
              <w:rPr>
                <w:rFonts w:eastAsia="仿宋_GB2312"/>
                <w:b/>
                <w:bCs/>
                <w:color w:val="auto"/>
                <w:kern w:val="0"/>
                <w:sz w:val="18"/>
                <w:szCs w:val="18"/>
                <w:highlight w:val="none"/>
              </w:rPr>
              <w:t>得分</w:t>
            </w:r>
          </w:p>
        </w:tc>
      </w:tr>
      <w:tr w14:paraId="54A75E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9" w:hRule="atLeast"/>
          <w:jc w:val="center"/>
        </w:trPr>
        <w:tc>
          <w:tcPr>
            <w:tcW w:w="395" w:type="pct"/>
            <w:vMerge w:val="restart"/>
            <w:shd w:val="clear" w:color="auto" w:fill="FFFFFF"/>
            <w:vAlign w:val="center"/>
          </w:tcPr>
          <w:p w14:paraId="4B4F0610">
            <w:pPr>
              <w:widowControl/>
              <w:shd w:val="clear" w:fill="FFFFFF" w:themeFill="background1"/>
              <w:spacing w:line="0" w:lineRule="atLeast"/>
              <w:jc w:val="center"/>
              <w:rPr>
                <w:rFonts w:eastAsia="仿宋_GB2312"/>
                <w:color w:val="auto"/>
                <w:kern w:val="0"/>
                <w:sz w:val="18"/>
                <w:szCs w:val="18"/>
                <w:highlight w:val="none"/>
              </w:rPr>
            </w:pPr>
          </w:p>
          <w:p w14:paraId="74107F00">
            <w:pPr>
              <w:widowControl/>
              <w:shd w:val="clear" w:fill="FFFFFF" w:themeFill="background1"/>
              <w:spacing w:line="0" w:lineRule="atLeast"/>
              <w:jc w:val="center"/>
              <w:rPr>
                <w:rFonts w:eastAsia="仿宋_GB2312"/>
                <w:color w:val="auto"/>
                <w:kern w:val="0"/>
                <w:sz w:val="18"/>
                <w:szCs w:val="18"/>
                <w:highlight w:val="none"/>
              </w:rPr>
            </w:pPr>
          </w:p>
          <w:p w14:paraId="264E096F">
            <w:pPr>
              <w:widowControl/>
              <w:shd w:val="clear" w:fill="FFFFFF" w:themeFill="background1"/>
              <w:spacing w:line="0" w:lineRule="atLeast"/>
              <w:jc w:val="center"/>
              <w:rPr>
                <w:rFonts w:eastAsia="仿宋_GB2312"/>
                <w:color w:val="auto"/>
                <w:kern w:val="0"/>
                <w:sz w:val="18"/>
                <w:szCs w:val="18"/>
                <w:highlight w:val="none"/>
              </w:rPr>
            </w:pPr>
          </w:p>
          <w:p w14:paraId="631DE67F">
            <w:pPr>
              <w:widowControl/>
              <w:shd w:val="clear" w:fill="FFFFFF" w:themeFill="background1"/>
              <w:spacing w:line="0" w:lineRule="atLeast"/>
              <w:jc w:val="center"/>
              <w:rPr>
                <w:rFonts w:eastAsia="仿宋_GB2312"/>
                <w:color w:val="auto"/>
                <w:kern w:val="0"/>
                <w:sz w:val="18"/>
                <w:szCs w:val="18"/>
                <w:highlight w:val="none"/>
              </w:rPr>
            </w:pPr>
          </w:p>
          <w:p w14:paraId="58B73A22">
            <w:pPr>
              <w:widowControl/>
              <w:shd w:val="clear" w:fill="FFFFFF" w:themeFill="background1"/>
              <w:spacing w:line="0" w:lineRule="atLeast"/>
              <w:jc w:val="center"/>
              <w:rPr>
                <w:rFonts w:eastAsia="仿宋_GB2312"/>
                <w:color w:val="auto"/>
                <w:kern w:val="0"/>
                <w:sz w:val="18"/>
                <w:szCs w:val="18"/>
                <w:highlight w:val="none"/>
              </w:rPr>
            </w:pPr>
          </w:p>
          <w:p w14:paraId="7FB70957">
            <w:pPr>
              <w:widowControl/>
              <w:shd w:val="clear" w:fill="FFFFFF" w:themeFill="background1"/>
              <w:spacing w:line="0" w:lineRule="atLeast"/>
              <w:jc w:val="center"/>
              <w:rPr>
                <w:rFonts w:eastAsia="仿宋_GB2312"/>
                <w:color w:val="auto"/>
                <w:kern w:val="0"/>
                <w:sz w:val="18"/>
                <w:szCs w:val="18"/>
                <w:highlight w:val="none"/>
              </w:rPr>
            </w:pPr>
          </w:p>
          <w:p w14:paraId="35F57650">
            <w:pPr>
              <w:widowControl/>
              <w:shd w:val="clear" w:fill="FFFFFF" w:themeFill="background1"/>
              <w:spacing w:line="0" w:lineRule="atLeast"/>
              <w:jc w:val="center"/>
              <w:rPr>
                <w:rFonts w:eastAsia="仿宋_GB2312"/>
                <w:color w:val="auto"/>
                <w:kern w:val="0"/>
                <w:sz w:val="18"/>
                <w:szCs w:val="18"/>
                <w:highlight w:val="none"/>
              </w:rPr>
            </w:pPr>
            <w:r>
              <w:rPr>
                <w:rFonts w:eastAsia="仿宋_GB2312"/>
                <w:color w:val="auto"/>
                <w:kern w:val="0"/>
                <w:sz w:val="18"/>
                <w:szCs w:val="18"/>
                <w:highlight w:val="none"/>
              </w:rPr>
              <w:t>决策　</w:t>
            </w:r>
          </w:p>
        </w:tc>
        <w:tc>
          <w:tcPr>
            <w:tcW w:w="394" w:type="pct"/>
            <w:vMerge w:val="restart"/>
            <w:shd w:val="clear" w:color="auto" w:fill="FFFFFF"/>
            <w:vAlign w:val="center"/>
          </w:tcPr>
          <w:p w14:paraId="634143E6">
            <w:pPr>
              <w:widowControl/>
              <w:shd w:val="clear" w:fill="FFFFFF" w:themeFill="background1"/>
              <w:spacing w:line="0" w:lineRule="atLeast"/>
              <w:jc w:val="center"/>
              <w:rPr>
                <w:rFonts w:eastAsia="仿宋_GB2312"/>
                <w:color w:val="auto"/>
                <w:kern w:val="0"/>
                <w:sz w:val="18"/>
                <w:szCs w:val="18"/>
                <w:highlight w:val="none"/>
              </w:rPr>
            </w:pPr>
            <w:r>
              <w:rPr>
                <w:rFonts w:eastAsia="仿宋_GB2312"/>
                <w:color w:val="auto"/>
                <w:kern w:val="0"/>
                <w:sz w:val="18"/>
                <w:szCs w:val="18"/>
                <w:highlight w:val="none"/>
              </w:rPr>
              <w:t>项目立项　</w:t>
            </w:r>
          </w:p>
        </w:tc>
        <w:tc>
          <w:tcPr>
            <w:tcW w:w="422" w:type="pct"/>
            <w:shd w:val="clear" w:color="auto" w:fill="FFFFFF"/>
            <w:vAlign w:val="center"/>
          </w:tcPr>
          <w:p w14:paraId="23F46C37">
            <w:pPr>
              <w:widowControl/>
              <w:shd w:val="clear" w:fill="FFFFFF" w:themeFill="background1"/>
              <w:spacing w:line="0" w:lineRule="atLeast"/>
              <w:jc w:val="center"/>
              <w:rPr>
                <w:rFonts w:eastAsia="仿宋_GB2312"/>
                <w:color w:val="auto"/>
                <w:kern w:val="0"/>
                <w:sz w:val="18"/>
                <w:szCs w:val="18"/>
                <w:highlight w:val="none"/>
              </w:rPr>
            </w:pPr>
            <w:r>
              <w:rPr>
                <w:rFonts w:eastAsia="仿宋_GB2312"/>
                <w:color w:val="auto"/>
                <w:kern w:val="0"/>
                <w:sz w:val="18"/>
                <w:szCs w:val="18"/>
                <w:highlight w:val="none"/>
              </w:rPr>
              <w:t>立项依据</w:t>
            </w:r>
          </w:p>
          <w:p w14:paraId="4985023B">
            <w:pPr>
              <w:widowControl/>
              <w:shd w:val="clear" w:fill="FFFFFF" w:themeFill="background1"/>
              <w:spacing w:line="0" w:lineRule="atLeast"/>
              <w:jc w:val="center"/>
              <w:rPr>
                <w:rFonts w:eastAsia="仿宋_GB2312"/>
                <w:color w:val="auto"/>
                <w:kern w:val="0"/>
                <w:sz w:val="18"/>
                <w:szCs w:val="18"/>
                <w:highlight w:val="none"/>
              </w:rPr>
            </w:pPr>
            <w:r>
              <w:rPr>
                <w:rFonts w:eastAsia="仿宋_GB2312"/>
                <w:color w:val="auto"/>
                <w:kern w:val="0"/>
                <w:sz w:val="18"/>
                <w:szCs w:val="18"/>
                <w:highlight w:val="none"/>
              </w:rPr>
              <w:t>充分性</w:t>
            </w:r>
          </w:p>
        </w:tc>
        <w:tc>
          <w:tcPr>
            <w:tcW w:w="680" w:type="pct"/>
            <w:shd w:val="clear" w:color="auto" w:fill="FFFFFF"/>
            <w:vAlign w:val="center"/>
          </w:tcPr>
          <w:p w14:paraId="64AA09B1">
            <w:pPr>
              <w:widowControl/>
              <w:shd w:val="clear" w:fill="FFFFFF" w:themeFill="background1"/>
              <w:spacing w:line="0" w:lineRule="atLeast"/>
              <w:rPr>
                <w:rFonts w:eastAsia="仿宋_GB2312"/>
                <w:color w:val="auto"/>
                <w:kern w:val="0"/>
                <w:sz w:val="18"/>
                <w:szCs w:val="18"/>
                <w:highlight w:val="none"/>
              </w:rPr>
            </w:pPr>
            <w:r>
              <w:rPr>
                <w:rFonts w:eastAsia="仿宋_GB2312"/>
                <w:color w:val="auto"/>
                <w:kern w:val="0"/>
                <w:sz w:val="18"/>
                <w:szCs w:val="18"/>
                <w:highlight w:val="none"/>
              </w:rPr>
              <w:t>项目立项是否符合法律法规、相关政策、发展规划以及部门职责，用以反映和考核项目立项依据情况。</w:t>
            </w:r>
          </w:p>
        </w:tc>
        <w:tc>
          <w:tcPr>
            <w:tcW w:w="2056" w:type="pct"/>
            <w:shd w:val="clear" w:color="auto" w:fill="FFFFFF"/>
            <w:vAlign w:val="center"/>
          </w:tcPr>
          <w:p w14:paraId="081086C1">
            <w:pPr>
              <w:widowControl/>
              <w:shd w:val="clear" w:fill="FFFFFF" w:themeFill="background1"/>
              <w:spacing w:line="0" w:lineRule="atLeast"/>
              <w:jc w:val="left"/>
              <w:rPr>
                <w:rFonts w:eastAsia="仿宋_GB2312"/>
                <w:color w:val="auto"/>
                <w:kern w:val="0"/>
                <w:sz w:val="18"/>
                <w:szCs w:val="18"/>
                <w:highlight w:val="none"/>
              </w:rPr>
            </w:pPr>
            <w:r>
              <w:rPr>
                <w:rFonts w:eastAsia="仿宋_GB2312"/>
                <w:color w:val="auto"/>
                <w:kern w:val="0"/>
                <w:sz w:val="18"/>
                <w:szCs w:val="18"/>
                <w:highlight w:val="none"/>
              </w:rPr>
              <w:t>评价要点：</w:t>
            </w:r>
            <w:r>
              <w:rPr>
                <w:rFonts w:eastAsia="仿宋_GB2312"/>
                <w:color w:val="auto"/>
                <w:kern w:val="0"/>
                <w:sz w:val="18"/>
                <w:szCs w:val="18"/>
                <w:highlight w:val="none"/>
              </w:rPr>
              <w:br w:type="textWrapping"/>
            </w:r>
            <w:r>
              <w:rPr>
                <w:rFonts w:eastAsia="仿宋_GB2312"/>
                <w:color w:val="auto"/>
                <w:kern w:val="0"/>
                <w:sz w:val="18"/>
                <w:szCs w:val="18"/>
                <w:highlight w:val="none"/>
              </w:rPr>
              <w:t>①项目立项是否符合国家法律法规、国民经济发展规划和相关政策；</w:t>
            </w:r>
            <w:r>
              <w:rPr>
                <w:rFonts w:eastAsia="仿宋_GB2312"/>
                <w:color w:val="auto"/>
                <w:kern w:val="0"/>
                <w:sz w:val="18"/>
                <w:szCs w:val="18"/>
                <w:highlight w:val="none"/>
              </w:rPr>
              <w:br w:type="textWrapping"/>
            </w:r>
            <w:r>
              <w:rPr>
                <w:rFonts w:eastAsia="仿宋_GB2312"/>
                <w:color w:val="auto"/>
                <w:kern w:val="0"/>
                <w:sz w:val="18"/>
                <w:szCs w:val="18"/>
                <w:highlight w:val="none"/>
              </w:rPr>
              <w:t>②项目立项是否符合行业发展规划和政策要求；</w:t>
            </w:r>
            <w:r>
              <w:rPr>
                <w:rFonts w:eastAsia="仿宋_GB2312"/>
                <w:color w:val="auto"/>
                <w:kern w:val="0"/>
                <w:sz w:val="18"/>
                <w:szCs w:val="18"/>
                <w:highlight w:val="none"/>
              </w:rPr>
              <w:br w:type="textWrapping"/>
            </w:r>
            <w:r>
              <w:rPr>
                <w:rFonts w:eastAsia="仿宋_GB2312"/>
                <w:color w:val="auto"/>
                <w:kern w:val="0"/>
                <w:sz w:val="18"/>
                <w:szCs w:val="18"/>
                <w:highlight w:val="none"/>
              </w:rPr>
              <w:t>③项目立项是否与部门职责范围相符，属于部门履职所需；</w:t>
            </w:r>
            <w:r>
              <w:rPr>
                <w:rFonts w:eastAsia="仿宋_GB2312"/>
                <w:color w:val="auto"/>
                <w:kern w:val="0"/>
                <w:sz w:val="18"/>
                <w:szCs w:val="18"/>
                <w:highlight w:val="none"/>
              </w:rPr>
              <w:br w:type="textWrapping"/>
            </w:r>
            <w:r>
              <w:rPr>
                <w:rFonts w:eastAsia="仿宋_GB2312"/>
                <w:color w:val="auto"/>
                <w:kern w:val="0"/>
                <w:sz w:val="18"/>
                <w:szCs w:val="18"/>
                <w:highlight w:val="none"/>
              </w:rPr>
              <w:t>④项目是否属于公共财政支持范围，是否符合中央、地方事权支出责任划分原则；</w:t>
            </w:r>
            <w:r>
              <w:rPr>
                <w:rFonts w:eastAsia="仿宋_GB2312"/>
                <w:color w:val="auto"/>
                <w:kern w:val="0"/>
                <w:sz w:val="18"/>
                <w:szCs w:val="18"/>
                <w:highlight w:val="none"/>
              </w:rPr>
              <w:br w:type="textWrapping"/>
            </w:r>
            <w:r>
              <w:rPr>
                <w:rFonts w:eastAsia="仿宋_GB2312"/>
                <w:color w:val="auto"/>
                <w:kern w:val="0"/>
                <w:sz w:val="18"/>
                <w:szCs w:val="18"/>
                <w:highlight w:val="none"/>
              </w:rPr>
              <w:t>⑤项目是否与相关部门同类项目或部门内部相关项目重复。</w:t>
            </w:r>
          </w:p>
        </w:tc>
        <w:tc>
          <w:tcPr>
            <w:tcW w:w="514" w:type="pct"/>
            <w:shd w:val="clear" w:color="auto" w:fill="FFFFFF"/>
            <w:vAlign w:val="center"/>
          </w:tcPr>
          <w:p w14:paraId="2A088BA6">
            <w:pPr>
              <w:widowControl/>
              <w:shd w:val="clear" w:fill="FFFFFF" w:themeFill="background1"/>
              <w:spacing w:line="0" w:lineRule="atLeast"/>
              <w:jc w:val="center"/>
              <w:rPr>
                <w:rFonts w:eastAsia="仿宋_GB2312"/>
                <w:b/>
                <w:bCs/>
                <w:color w:val="auto"/>
                <w:kern w:val="0"/>
                <w:sz w:val="18"/>
                <w:szCs w:val="18"/>
                <w:highlight w:val="none"/>
              </w:rPr>
            </w:pPr>
            <w:r>
              <w:rPr>
                <w:rFonts w:eastAsia="仿宋_GB2312"/>
                <w:b/>
                <w:bCs/>
                <w:color w:val="auto"/>
                <w:kern w:val="0"/>
                <w:sz w:val="18"/>
                <w:szCs w:val="18"/>
                <w:highlight w:val="none"/>
              </w:rPr>
              <w:t>3</w:t>
            </w:r>
          </w:p>
        </w:tc>
        <w:tc>
          <w:tcPr>
            <w:tcW w:w="538" w:type="pct"/>
            <w:shd w:val="clear" w:color="auto" w:fill="FFFFFF"/>
            <w:vAlign w:val="center"/>
          </w:tcPr>
          <w:p w14:paraId="73073258">
            <w:pPr>
              <w:widowControl/>
              <w:shd w:val="clear" w:fill="FFFFFF" w:themeFill="background1"/>
              <w:spacing w:line="0" w:lineRule="atLeast"/>
              <w:jc w:val="center"/>
              <w:rPr>
                <w:rFonts w:eastAsia="仿宋_GB2312"/>
                <w:b/>
                <w:bCs/>
                <w:color w:val="auto"/>
                <w:kern w:val="0"/>
                <w:sz w:val="18"/>
                <w:szCs w:val="18"/>
                <w:highlight w:val="none"/>
              </w:rPr>
            </w:pPr>
            <w:r>
              <w:rPr>
                <w:rFonts w:hint="eastAsia" w:eastAsia="仿宋_GB2312"/>
                <w:b/>
                <w:bCs/>
                <w:color w:val="auto"/>
                <w:kern w:val="0"/>
                <w:sz w:val="18"/>
                <w:szCs w:val="18"/>
                <w:highlight w:val="none"/>
              </w:rPr>
              <w:t>3</w:t>
            </w:r>
          </w:p>
        </w:tc>
      </w:tr>
      <w:tr w14:paraId="09F339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395" w:type="pct"/>
            <w:vMerge w:val="continue"/>
            <w:shd w:val="clear" w:color="auto" w:fill="FFFFFF"/>
            <w:vAlign w:val="center"/>
          </w:tcPr>
          <w:p w14:paraId="1AC1226F">
            <w:pPr>
              <w:shd w:val="clear" w:fill="FFFFFF" w:themeFill="background1"/>
              <w:spacing w:line="0" w:lineRule="atLeast"/>
              <w:jc w:val="center"/>
              <w:rPr>
                <w:rFonts w:eastAsia="仿宋_GB2312"/>
                <w:color w:val="auto"/>
                <w:kern w:val="0"/>
                <w:sz w:val="18"/>
                <w:szCs w:val="18"/>
                <w:highlight w:val="none"/>
              </w:rPr>
            </w:pPr>
          </w:p>
        </w:tc>
        <w:tc>
          <w:tcPr>
            <w:tcW w:w="394" w:type="pct"/>
            <w:vMerge w:val="continue"/>
            <w:shd w:val="clear" w:color="auto" w:fill="FFFFFF"/>
            <w:vAlign w:val="center"/>
          </w:tcPr>
          <w:p w14:paraId="005DAEA0">
            <w:pPr>
              <w:widowControl/>
              <w:shd w:val="clear" w:fill="FFFFFF" w:themeFill="background1"/>
              <w:spacing w:line="0" w:lineRule="atLeast"/>
              <w:jc w:val="center"/>
              <w:rPr>
                <w:rFonts w:eastAsia="仿宋_GB2312"/>
                <w:color w:val="auto"/>
                <w:kern w:val="0"/>
                <w:sz w:val="18"/>
                <w:szCs w:val="18"/>
                <w:highlight w:val="none"/>
              </w:rPr>
            </w:pPr>
          </w:p>
        </w:tc>
        <w:tc>
          <w:tcPr>
            <w:tcW w:w="422" w:type="pct"/>
            <w:shd w:val="clear" w:color="auto" w:fill="FFFFFF"/>
            <w:vAlign w:val="center"/>
          </w:tcPr>
          <w:p w14:paraId="5BE74522">
            <w:pPr>
              <w:widowControl/>
              <w:shd w:val="clear" w:fill="FFFFFF" w:themeFill="background1"/>
              <w:spacing w:line="0" w:lineRule="atLeast"/>
              <w:jc w:val="center"/>
              <w:rPr>
                <w:rFonts w:eastAsia="仿宋_GB2312"/>
                <w:color w:val="auto"/>
                <w:kern w:val="0"/>
                <w:sz w:val="18"/>
                <w:szCs w:val="18"/>
                <w:highlight w:val="none"/>
              </w:rPr>
            </w:pPr>
            <w:r>
              <w:rPr>
                <w:rFonts w:eastAsia="仿宋_GB2312"/>
                <w:color w:val="auto"/>
                <w:kern w:val="0"/>
                <w:sz w:val="18"/>
                <w:szCs w:val="18"/>
                <w:highlight w:val="none"/>
              </w:rPr>
              <w:t>立项程序</w:t>
            </w:r>
          </w:p>
          <w:p w14:paraId="181D6377">
            <w:pPr>
              <w:widowControl/>
              <w:shd w:val="clear" w:fill="FFFFFF" w:themeFill="background1"/>
              <w:spacing w:line="0" w:lineRule="atLeast"/>
              <w:jc w:val="center"/>
              <w:rPr>
                <w:rFonts w:eastAsia="仿宋_GB2312"/>
                <w:color w:val="auto"/>
                <w:kern w:val="0"/>
                <w:sz w:val="18"/>
                <w:szCs w:val="18"/>
                <w:highlight w:val="none"/>
              </w:rPr>
            </w:pPr>
            <w:r>
              <w:rPr>
                <w:rFonts w:eastAsia="仿宋_GB2312"/>
                <w:color w:val="auto"/>
                <w:kern w:val="0"/>
                <w:sz w:val="18"/>
                <w:szCs w:val="18"/>
                <w:highlight w:val="none"/>
              </w:rPr>
              <w:t>规范性</w:t>
            </w:r>
          </w:p>
        </w:tc>
        <w:tc>
          <w:tcPr>
            <w:tcW w:w="680" w:type="pct"/>
            <w:shd w:val="clear" w:color="auto" w:fill="FFFFFF"/>
            <w:vAlign w:val="center"/>
          </w:tcPr>
          <w:p w14:paraId="7695579C">
            <w:pPr>
              <w:widowControl/>
              <w:shd w:val="clear" w:fill="FFFFFF" w:themeFill="background1"/>
              <w:spacing w:line="0" w:lineRule="atLeast"/>
              <w:rPr>
                <w:rFonts w:eastAsia="仿宋_GB2312"/>
                <w:color w:val="auto"/>
                <w:kern w:val="0"/>
                <w:sz w:val="18"/>
                <w:szCs w:val="18"/>
                <w:highlight w:val="none"/>
              </w:rPr>
            </w:pPr>
            <w:r>
              <w:rPr>
                <w:rFonts w:eastAsia="仿宋_GB2312"/>
                <w:color w:val="auto"/>
                <w:kern w:val="0"/>
                <w:sz w:val="18"/>
                <w:szCs w:val="18"/>
                <w:highlight w:val="none"/>
              </w:rPr>
              <w:t>项目申请、设立过程是否符合相关要求，用以反映和考核项目立项的规范情况。</w:t>
            </w:r>
          </w:p>
        </w:tc>
        <w:tc>
          <w:tcPr>
            <w:tcW w:w="2056" w:type="pct"/>
            <w:shd w:val="clear" w:color="auto" w:fill="FFFFFF"/>
            <w:vAlign w:val="center"/>
          </w:tcPr>
          <w:p w14:paraId="2EE71A63">
            <w:pPr>
              <w:widowControl/>
              <w:shd w:val="clear" w:fill="FFFFFF" w:themeFill="background1"/>
              <w:spacing w:line="0" w:lineRule="atLeast"/>
              <w:jc w:val="left"/>
              <w:rPr>
                <w:rFonts w:eastAsia="仿宋_GB2312"/>
                <w:color w:val="auto"/>
                <w:kern w:val="0"/>
                <w:sz w:val="18"/>
                <w:szCs w:val="18"/>
                <w:highlight w:val="none"/>
              </w:rPr>
            </w:pPr>
            <w:r>
              <w:rPr>
                <w:rFonts w:eastAsia="仿宋_GB2312"/>
                <w:color w:val="auto"/>
                <w:kern w:val="0"/>
                <w:sz w:val="18"/>
                <w:szCs w:val="18"/>
                <w:highlight w:val="none"/>
              </w:rPr>
              <w:t>评价要点：</w:t>
            </w:r>
            <w:r>
              <w:rPr>
                <w:rFonts w:eastAsia="仿宋_GB2312"/>
                <w:color w:val="auto"/>
                <w:kern w:val="0"/>
                <w:sz w:val="18"/>
                <w:szCs w:val="18"/>
                <w:highlight w:val="none"/>
              </w:rPr>
              <w:br w:type="textWrapping"/>
            </w:r>
            <w:r>
              <w:rPr>
                <w:rFonts w:eastAsia="仿宋_GB2312"/>
                <w:color w:val="auto"/>
                <w:kern w:val="0"/>
                <w:sz w:val="18"/>
                <w:szCs w:val="18"/>
                <w:highlight w:val="none"/>
              </w:rPr>
              <w:t>①项目是否按照规定的程序申请设立；</w:t>
            </w:r>
            <w:r>
              <w:rPr>
                <w:rFonts w:eastAsia="仿宋_GB2312"/>
                <w:color w:val="auto"/>
                <w:kern w:val="0"/>
                <w:sz w:val="18"/>
                <w:szCs w:val="18"/>
                <w:highlight w:val="none"/>
              </w:rPr>
              <w:br w:type="textWrapping"/>
            </w:r>
            <w:r>
              <w:rPr>
                <w:rFonts w:eastAsia="仿宋_GB2312"/>
                <w:color w:val="auto"/>
                <w:kern w:val="0"/>
                <w:sz w:val="18"/>
                <w:szCs w:val="18"/>
                <w:highlight w:val="none"/>
              </w:rPr>
              <w:t>②审批文件、材料是否符合相关要求；</w:t>
            </w:r>
            <w:r>
              <w:rPr>
                <w:rFonts w:eastAsia="仿宋_GB2312"/>
                <w:color w:val="auto"/>
                <w:kern w:val="0"/>
                <w:sz w:val="18"/>
                <w:szCs w:val="18"/>
                <w:highlight w:val="none"/>
              </w:rPr>
              <w:br w:type="textWrapping"/>
            </w:r>
            <w:r>
              <w:rPr>
                <w:rFonts w:eastAsia="仿宋_GB2312"/>
                <w:color w:val="auto"/>
                <w:kern w:val="0"/>
                <w:sz w:val="18"/>
                <w:szCs w:val="18"/>
                <w:highlight w:val="none"/>
              </w:rPr>
              <w:t>③事前是否已经过必要的可行性研究、专家论证、风险评估、绩效评估、集体决策。</w:t>
            </w:r>
          </w:p>
        </w:tc>
        <w:tc>
          <w:tcPr>
            <w:tcW w:w="514" w:type="pct"/>
            <w:shd w:val="clear" w:color="auto" w:fill="FFFFFF"/>
            <w:vAlign w:val="center"/>
          </w:tcPr>
          <w:p w14:paraId="36F2E9EC">
            <w:pPr>
              <w:widowControl/>
              <w:shd w:val="clear" w:fill="FFFFFF" w:themeFill="background1"/>
              <w:spacing w:line="0" w:lineRule="atLeast"/>
              <w:jc w:val="center"/>
              <w:rPr>
                <w:rFonts w:eastAsia="仿宋_GB2312"/>
                <w:b/>
                <w:bCs/>
                <w:color w:val="auto"/>
                <w:kern w:val="0"/>
                <w:sz w:val="18"/>
                <w:szCs w:val="18"/>
                <w:highlight w:val="none"/>
              </w:rPr>
            </w:pPr>
            <w:r>
              <w:rPr>
                <w:rFonts w:eastAsia="仿宋_GB2312"/>
                <w:b/>
                <w:bCs/>
                <w:color w:val="auto"/>
                <w:kern w:val="0"/>
                <w:sz w:val="18"/>
                <w:szCs w:val="18"/>
                <w:highlight w:val="none"/>
              </w:rPr>
              <w:t>3</w:t>
            </w:r>
          </w:p>
        </w:tc>
        <w:tc>
          <w:tcPr>
            <w:tcW w:w="538" w:type="pct"/>
            <w:shd w:val="clear" w:color="auto" w:fill="FFFFFF"/>
            <w:vAlign w:val="center"/>
          </w:tcPr>
          <w:p w14:paraId="06D96D43">
            <w:pPr>
              <w:widowControl/>
              <w:shd w:val="clear" w:fill="FFFFFF" w:themeFill="background1"/>
              <w:spacing w:line="0" w:lineRule="atLeast"/>
              <w:jc w:val="center"/>
              <w:rPr>
                <w:rFonts w:eastAsia="仿宋_GB2312"/>
                <w:b/>
                <w:bCs/>
                <w:color w:val="auto"/>
                <w:kern w:val="0"/>
                <w:sz w:val="18"/>
                <w:szCs w:val="18"/>
                <w:highlight w:val="none"/>
              </w:rPr>
            </w:pPr>
            <w:r>
              <w:rPr>
                <w:rFonts w:hint="eastAsia" w:eastAsia="仿宋_GB2312"/>
                <w:b/>
                <w:bCs/>
                <w:color w:val="auto"/>
                <w:kern w:val="0"/>
                <w:sz w:val="18"/>
                <w:szCs w:val="18"/>
                <w:highlight w:val="none"/>
              </w:rPr>
              <w:t>3</w:t>
            </w:r>
          </w:p>
        </w:tc>
      </w:tr>
      <w:tr w14:paraId="7ED48E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395" w:type="pct"/>
            <w:vMerge w:val="continue"/>
            <w:shd w:val="clear" w:color="auto" w:fill="FFFFFF"/>
            <w:vAlign w:val="center"/>
          </w:tcPr>
          <w:p w14:paraId="5F087E1D">
            <w:pPr>
              <w:shd w:val="clear" w:fill="FFFFFF" w:themeFill="background1"/>
              <w:spacing w:line="0" w:lineRule="atLeast"/>
              <w:jc w:val="center"/>
              <w:rPr>
                <w:rFonts w:eastAsia="仿宋_GB2312"/>
                <w:color w:val="auto"/>
                <w:kern w:val="0"/>
                <w:sz w:val="18"/>
                <w:szCs w:val="18"/>
                <w:highlight w:val="none"/>
              </w:rPr>
            </w:pPr>
          </w:p>
        </w:tc>
        <w:tc>
          <w:tcPr>
            <w:tcW w:w="394" w:type="pct"/>
            <w:vMerge w:val="restart"/>
            <w:shd w:val="clear" w:color="auto" w:fill="FFFFFF"/>
            <w:vAlign w:val="center"/>
          </w:tcPr>
          <w:p w14:paraId="6FD6019B">
            <w:pPr>
              <w:widowControl/>
              <w:shd w:val="clear" w:fill="FFFFFF" w:themeFill="background1"/>
              <w:spacing w:line="0" w:lineRule="atLeast"/>
              <w:jc w:val="center"/>
              <w:rPr>
                <w:rFonts w:eastAsia="仿宋_GB2312"/>
                <w:color w:val="auto"/>
                <w:kern w:val="0"/>
                <w:sz w:val="18"/>
                <w:szCs w:val="18"/>
                <w:highlight w:val="none"/>
              </w:rPr>
            </w:pPr>
            <w:r>
              <w:rPr>
                <w:rFonts w:eastAsia="仿宋_GB2312"/>
                <w:color w:val="auto"/>
                <w:kern w:val="0"/>
                <w:sz w:val="18"/>
                <w:szCs w:val="18"/>
                <w:highlight w:val="none"/>
              </w:rPr>
              <w:t>绩效目标　</w:t>
            </w:r>
          </w:p>
        </w:tc>
        <w:tc>
          <w:tcPr>
            <w:tcW w:w="422" w:type="pct"/>
            <w:shd w:val="clear" w:color="auto" w:fill="FFFFFF"/>
            <w:vAlign w:val="center"/>
          </w:tcPr>
          <w:p w14:paraId="1396D515">
            <w:pPr>
              <w:widowControl/>
              <w:shd w:val="clear" w:fill="FFFFFF" w:themeFill="background1"/>
              <w:spacing w:line="0" w:lineRule="atLeast"/>
              <w:jc w:val="center"/>
              <w:rPr>
                <w:rFonts w:eastAsia="仿宋_GB2312"/>
                <w:color w:val="auto"/>
                <w:kern w:val="0"/>
                <w:sz w:val="18"/>
                <w:szCs w:val="18"/>
                <w:highlight w:val="none"/>
              </w:rPr>
            </w:pPr>
            <w:r>
              <w:rPr>
                <w:rFonts w:eastAsia="仿宋_GB2312"/>
                <w:color w:val="auto"/>
                <w:kern w:val="0"/>
                <w:sz w:val="18"/>
                <w:szCs w:val="18"/>
                <w:highlight w:val="none"/>
              </w:rPr>
              <w:t>绩效目标</w:t>
            </w:r>
          </w:p>
          <w:p w14:paraId="6C258409">
            <w:pPr>
              <w:widowControl/>
              <w:shd w:val="clear" w:fill="FFFFFF" w:themeFill="background1"/>
              <w:spacing w:line="0" w:lineRule="atLeast"/>
              <w:jc w:val="center"/>
              <w:rPr>
                <w:rFonts w:eastAsia="仿宋_GB2312"/>
                <w:color w:val="auto"/>
                <w:kern w:val="0"/>
                <w:sz w:val="18"/>
                <w:szCs w:val="18"/>
                <w:highlight w:val="none"/>
              </w:rPr>
            </w:pPr>
            <w:r>
              <w:rPr>
                <w:rFonts w:eastAsia="仿宋_GB2312"/>
                <w:color w:val="auto"/>
                <w:kern w:val="0"/>
                <w:sz w:val="18"/>
                <w:szCs w:val="18"/>
                <w:highlight w:val="none"/>
              </w:rPr>
              <w:t>合理性</w:t>
            </w:r>
          </w:p>
        </w:tc>
        <w:tc>
          <w:tcPr>
            <w:tcW w:w="680" w:type="pct"/>
            <w:shd w:val="clear" w:color="000000" w:fill="FFFFFF"/>
            <w:vAlign w:val="center"/>
          </w:tcPr>
          <w:p w14:paraId="01026254">
            <w:pPr>
              <w:widowControl/>
              <w:shd w:val="clear" w:fill="FFFFFF" w:themeFill="background1"/>
              <w:spacing w:line="0" w:lineRule="atLeast"/>
              <w:rPr>
                <w:rFonts w:eastAsia="仿宋_GB2312"/>
                <w:color w:val="auto"/>
                <w:kern w:val="0"/>
                <w:sz w:val="18"/>
                <w:szCs w:val="18"/>
                <w:highlight w:val="none"/>
              </w:rPr>
            </w:pPr>
            <w:r>
              <w:rPr>
                <w:rFonts w:eastAsia="仿宋_GB2312"/>
                <w:color w:val="auto"/>
                <w:kern w:val="0"/>
                <w:sz w:val="18"/>
                <w:szCs w:val="18"/>
                <w:highlight w:val="none"/>
              </w:rPr>
              <w:t>项目所设定的绩效目标是否依据充分，是否符合客观实际，用以反映和考核项目绩效目标与项目实施的相符情况。</w:t>
            </w:r>
          </w:p>
        </w:tc>
        <w:tc>
          <w:tcPr>
            <w:tcW w:w="2056" w:type="pct"/>
            <w:shd w:val="clear" w:color="000000" w:fill="FFFFFF"/>
            <w:vAlign w:val="center"/>
          </w:tcPr>
          <w:p w14:paraId="4F7DC600">
            <w:pPr>
              <w:widowControl/>
              <w:shd w:val="clear" w:fill="FFFFFF" w:themeFill="background1"/>
              <w:spacing w:line="0" w:lineRule="atLeast"/>
              <w:jc w:val="left"/>
              <w:rPr>
                <w:rFonts w:eastAsia="仿宋_GB2312"/>
                <w:color w:val="auto"/>
                <w:kern w:val="0"/>
                <w:sz w:val="18"/>
                <w:szCs w:val="18"/>
                <w:highlight w:val="none"/>
              </w:rPr>
            </w:pPr>
            <w:r>
              <w:rPr>
                <w:rFonts w:eastAsia="仿宋_GB2312"/>
                <w:color w:val="auto"/>
                <w:kern w:val="0"/>
                <w:sz w:val="18"/>
                <w:szCs w:val="18"/>
                <w:highlight w:val="none"/>
              </w:rPr>
              <w:t>评价要点：</w:t>
            </w:r>
            <w:r>
              <w:rPr>
                <w:rFonts w:eastAsia="仿宋_GB2312"/>
                <w:color w:val="auto"/>
                <w:kern w:val="0"/>
                <w:sz w:val="18"/>
                <w:szCs w:val="18"/>
                <w:highlight w:val="none"/>
              </w:rPr>
              <w:br w:type="textWrapping"/>
            </w:r>
            <w:r>
              <w:rPr>
                <w:rFonts w:eastAsia="仿宋_GB2312"/>
                <w:color w:val="auto"/>
                <w:kern w:val="0"/>
                <w:sz w:val="18"/>
                <w:szCs w:val="18"/>
                <w:highlight w:val="none"/>
              </w:rPr>
              <w:t>（如未设定预算绩效目标，也可考核其他工作任务目标）</w:t>
            </w:r>
            <w:r>
              <w:rPr>
                <w:rFonts w:eastAsia="仿宋_GB2312"/>
                <w:color w:val="auto"/>
                <w:kern w:val="0"/>
                <w:sz w:val="18"/>
                <w:szCs w:val="18"/>
                <w:highlight w:val="none"/>
              </w:rPr>
              <w:br w:type="textWrapping"/>
            </w:r>
            <w:r>
              <w:rPr>
                <w:rFonts w:eastAsia="仿宋_GB2312"/>
                <w:color w:val="auto"/>
                <w:kern w:val="0"/>
                <w:sz w:val="18"/>
                <w:szCs w:val="18"/>
                <w:highlight w:val="none"/>
              </w:rPr>
              <w:t>①项目是否有绩效目标；</w:t>
            </w:r>
            <w:r>
              <w:rPr>
                <w:rFonts w:eastAsia="仿宋_GB2312"/>
                <w:color w:val="auto"/>
                <w:kern w:val="0"/>
                <w:sz w:val="18"/>
                <w:szCs w:val="18"/>
                <w:highlight w:val="none"/>
              </w:rPr>
              <w:br w:type="textWrapping"/>
            </w:r>
            <w:r>
              <w:rPr>
                <w:rFonts w:eastAsia="仿宋_GB2312"/>
                <w:color w:val="auto"/>
                <w:kern w:val="0"/>
                <w:sz w:val="18"/>
                <w:szCs w:val="18"/>
                <w:highlight w:val="none"/>
              </w:rPr>
              <w:t>②项目绩效目标与实际工作内容是否具有相关性；</w:t>
            </w:r>
            <w:r>
              <w:rPr>
                <w:rFonts w:eastAsia="仿宋_GB2312"/>
                <w:color w:val="auto"/>
                <w:kern w:val="0"/>
                <w:sz w:val="18"/>
                <w:szCs w:val="18"/>
                <w:highlight w:val="none"/>
              </w:rPr>
              <w:br w:type="textWrapping"/>
            </w:r>
            <w:r>
              <w:rPr>
                <w:rFonts w:eastAsia="仿宋_GB2312"/>
                <w:color w:val="auto"/>
                <w:kern w:val="0"/>
                <w:sz w:val="18"/>
                <w:szCs w:val="18"/>
                <w:highlight w:val="none"/>
              </w:rPr>
              <w:t>③项目预期产出效益和效果是否符合正常的业绩水平；</w:t>
            </w:r>
          </w:p>
          <w:p w14:paraId="5E501E78">
            <w:pPr>
              <w:widowControl/>
              <w:shd w:val="clear" w:fill="FFFFFF" w:themeFill="background1"/>
              <w:spacing w:line="0" w:lineRule="atLeast"/>
              <w:jc w:val="left"/>
              <w:rPr>
                <w:rFonts w:eastAsia="仿宋_GB2312"/>
                <w:color w:val="auto"/>
                <w:kern w:val="0"/>
                <w:sz w:val="18"/>
                <w:szCs w:val="18"/>
                <w:highlight w:val="none"/>
              </w:rPr>
            </w:pPr>
            <w:r>
              <w:rPr>
                <w:rFonts w:eastAsia="仿宋_GB2312"/>
                <w:color w:val="auto"/>
                <w:kern w:val="0"/>
                <w:sz w:val="18"/>
                <w:szCs w:val="18"/>
                <w:highlight w:val="none"/>
              </w:rPr>
              <w:t>④是否与预算确定的项目投资额或资金量相匹配。</w:t>
            </w:r>
          </w:p>
        </w:tc>
        <w:tc>
          <w:tcPr>
            <w:tcW w:w="514" w:type="pct"/>
            <w:shd w:val="clear" w:color="000000" w:fill="FFFFFF"/>
            <w:vAlign w:val="center"/>
          </w:tcPr>
          <w:p w14:paraId="31BA6998">
            <w:pPr>
              <w:widowControl/>
              <w:shd w:val="clear" w:fill="FFFFFF" w:themeFill="background1"/>
              <w:spacing w:line="0" w:lineRule="atLeast"/>
              <w:jc w:val="center"/>
              <w:rPr>
                <w:rFonts w:eastAsia="仿宋_GB2312"/>
                <w:b/>
                <w:bCs/>
                <w:color w:val="auto"/>
                <w:kern w:val="0"/>
                <w:sz w:val="18"/>
                <w:szCs w:val="18"/>
                <w:highlight w:val="none"/>
              </w:rPr>
            </w:pPr>
            <w:r>
              <w:rPr>
                <w:rFonts w:eastAsia="仿宋_GB2312"/>
                <w:b/>
                <w:bCs/>
                <w:color w:val="auto"/>
                <w:kern w:val="0"/>
                <w:sz w:val="18"/>
                <w:szCs w:val="18"/>
                <w:highlight w:val="none"/>
              </w:rPr>
              <w:t>3</w:t>
            </w:r>
          </w:p>
        </w:tc>
        <w:tc>
          <w:tcPr>
            <w:tcW w:w="538" w:type="pct"/>
            <w:shd w:val="clear" w:color="000000" w:fill="FFFFFF"/>
            <w:vAlign w:val="center"/>
          </w:tcPr>
          <w:p w14:paraId="78B00573">
            <w:pPr>
              <w:widowControl/>
              <w:shd w:val="clear" w:fill="FFFFFF" w:themeFill="background1"/>
              <w:spacing w:line="0" w:lineRule="atLeast"/>
              <w:jc w:val="center"/>
              <w:rPr>
                <w:rFonts w:eastAsia="仿宋_GB2312"/>
                <w:b/>
                <w:bCs/>
                <w:color w:val="auto"/>
                <w:kern w:val="0"/>
                <w:sz w:val="18"/>
                <w:szCs w:val="18"/>
                <w:highlight w:val="none"/>
              </w:rPr>
            </w:pPr>
            <w:r>
              <w:rPr>
                <w:rFonts w:hint="eastAsia" w:eastAsia="仿宋_GB2312"/>
                <w:b/>
                <w:bCs/>
                <w:color w:val="auto"/>
                <w:kern w:val="0"/>
                <w:sz w:val="18"/>
                <w:szCs w:val="18"/>
                <w:highlight w:val="none"/>
              </w:rPr>
              <w:t>3</w:t>
            </w:r>
          </w:p>
        </w:tc>
      </w:tr>
      <w:tr w14:paraId="309D13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395" w:type="pct"/>
            <w:vMerge w:val="continue"/>
            <w:shd w:val="clear" w:color="auto" w:fill="FFFFFF"/>
            <w:vAlign w:val="center"/>
          </w:tcPr>
          <w:p w14:paraId="6F6D481B">
            <w:pPr>
              <w:widowControl/>
              <w:shd w:val="clear" w:fill="FFFFFF" w:themeFill="background1"/>
              <w:spacing w:line="0" w:lineRule="atLeast"/>
              <w:jc w:val="center"/>
              <w:rPr>
                <w:rFonts w:eastAsia="仿宋_GB2312"/>
                <w:color w:val="auto"/>
                <w:kern w:val="0"/>
                <w:sz w:val="18"/>
                <w:szCs w:val="18"/>
                <w:highlight w:val="none"/>
              </w:rPr>
            </w:pPr>
          </w:p>
        </w:tc>
        <w:tc>
          <w:tcPr>
            <w:tcW w:w="394" w:type="pct"/>
            <w:vMerge w:val="continue"/>
            <w:shd w:val="clear" w:color="auto" w:fill="FFFFFF"/>
            <w:vAlign w:val="center"/>
          </w:tcPr>
          <w:p w14:paraId="6EE44984">
            <w:pPr>
              <w:widowControl/>
              <w:shd w:val="clear" w:fill="FFFFFF" w:themeFill="background1"/>
              <w:spacing w:line="0" w:lineRule="atLeast"/>
              <w:jc w:val="center"/>
              <w:rPr>
                <w:rFonts w:eastAsia="仿宋_GB2312"/>
                <w:color w:val="auto"/>
                <w:kern w:val="0"/>
                <w:sz w:val="18"/>
                <w:szCs w:val="18"/>
                <w:highlight w:val="none"/>
              </w:rPr>
            </w:pPr>
          </w:p>
        </w:tc>
        <w:tc>
          <w:tcPr>
            <w:tcW w:w="422" w:type="pct"/>
            <w:shd w:val="clear" w:color="auto" w:fill="FFFFFF"/>
            <w:vAlign w:val="center"/>
          </w:tcPr>
          <w:p w14:paraId="2F452D22">
            <w:pPr>
              <w:widowControl/>
              <w:shd w:val="clear" w:fill="FFFFFF" w:themeFill="background1"/>
              <w:spacing w:line="0" w:lineRule="atLeast"/>
              <w:jc w:val="center"/>
              <w:rPr>
                <w:rFonts w:eastAsia="仿宋_GB2312"/>
                <w:color w:val="auto"/>
                <w:kern w:val="0"/>
                <w:sz w:val="18"/>
                <w:szCs w:val="18"/>
                <w:highlight w:val="none"/>
              </w:rPr>
            </w:pPr>
            <w:r>
              <w:rPr>
                <w:rFonts w:eastAsia="仿宋_GB2312"/>
                <w:color w:val="auto"/>
                <w:kern w:val="0"/>
                <w:sz w:val="18"/>
                <w:szCs w:val="18"/>
                <w:highlight w:val="none"/>
              </w:rPr>
              <w:t>绩效指标</w:t>
            </w:r>
          </w:p>
          <w:p w14:paraId="0179BAA7">
            <w:pPr>
              <w:widowControl/>
              <w:shd w:val="clear" w:fill="FFFFFF" w:themeFill="background1"/>
              <w:spacing w:line="0" w:lineRule="atLeast"/>
              <w:jc w:val="center"/>
              <w:rPr>
                <w:rFonts w:eastAsia="仿宋_GB2312"/>
                <w:color w:val="auto"/>
                <w:kern w:val="0"/>
                <w:sz w:val="18"/>
                <w:szCs w:val="18"/>
                <w:highlight w:val="none"/>
              </w:rPr>
            </w:pPr>
            <w:r>
              <w:rPr>
                <w:rFonts w:eastAsia="仿宋_GB2312"/>
                <w:color w:val="auto"/>
                <w:kern w:val="0"/>
                <w:sz w:val="18"/>
                <w:szCs w:val="18"/>
                <w:highlight w:val="none"/>
              </w:rPr>
              <w:t>明确性</w:t>
            </w:r>
          </w:p>
        </w:tc>
        <w:tc>
          <w:tcPr>
            <w:tcW w:w="680" w:type="pct"/>
            <w:shd w:val="clear" w:color="000000" w:fill="FFFFFF"/>
            <w:vAlign w:val="center"/>
          </w:tcPr>
          <w:p w14:paraId="17A72D00">
            <w:pPr>
              <w:widowControl/>
              <w:shd w:val="clear" w:fill="FFFFFF" w:themeFill="background1"/>
              <w:spacing w:line="0" w:lineRule="atLeast"/>
              <w:rPr>
                <w:rFonts w:eastAsia="仿宋_GB2312"/>
                <w:color w:val="auto"/>
                <w:kern w:val="0"/>
                <w:sz w:val="18"/>
                <w:szCs w:val="18"/>
                <w:highlight w:val="none"/>
              </w:rPr>
            </w:pPr>
            <w:r>
              <w:rPr>
                <w:rFonts w:eastAsia="仿宋_GB2312"/>
                <w:color w:val="auto"/>
                <w:kern w:val="0"/>
                <w:sz w:val="18"/>
                <w:szCs w:val="18"/>
                <w:highlight w:val="none"/>
              </w:rPr>
              <w:t>依据绩效目标设定的绩效指标是否清晰、细化、可衡量等，用以反映和考核项目绩效目标的明细化情况。</w:t>
            </w:r>
          </w:p>
        </w:tc>
        <w:tc>
          <w:tcPr>
            <w:tcW w:w="2056" w:type="pct"/>
            <w:shd w:val="clear" w:color="000000" w:fill="FFFFFF"/>
            <w:vAlign w:val="center"/>
          </w:tcPr>
          <w:p w14:paraId="20C581E6">
            <w:pPr>
              <w:widowControl/>
              <w:shd w:val="clear" w:fill="FFFFFF" w:themeFill="background1"/>
              <w:spacing w:line="0" w:lineRule="atLeast"/>
              <w:rPr>
                <w:rFonts w:eastAsia="仿宋_GB2312"/>
                <w:color w:val="auto"/>
                <w:kern w:val="0"/>
                <w:sz w:val="18"/>
                <w:szCs w:val="18"/>
                <w:highlight w:val="none"/>
              </w:rPr>
            </w:pPr>
            <w:r>
              <w:rPr>
                <w:rFonts w:eastAsia="仿宋_GB2312"/>
                <w:color w:val="auto"/>
                <w:kern w:val="0"/>
                <w:sz w:val="18"/>
                <w:szCs w:val="18"/>
                <w:highlight w:val="none"/>
              </w:rPr>
              <w:t>评价要点：</w:t>
            </w:r>
            <w:r>
              <w:rPr>
                <w:rFonts w:eastAsia="仿宋_GB2312"/>
                <w:color w:val="auto"/>
                <w:kern w:val="0"/>
                <w:sz w:val="18"/>
                <w:szCs w:val="18"/>
                <w:highlight w:val="none"/>
              </w:rPr>
              <w:br w:type="textWrapping"/>
            </w:r>
            <w:r>
              <w:rPr>
                <w:rFonts w:eastAsia="仿宋_GB2312"/>
                <w:color w:val="auto"/>
                <w:kern w:val="0"/>
                <w:sz w:val="18"/>
                <w:szCs w:val="18"/>
                <w:highlight w:val="none"/>
              </w:rPr>
              <w:t>①是否将项目绩效目标细化分解为具体的绩效指标；</w:t>
            </w:r>
            <w:r>
              <w:rPr>
                <w:rFonts w:eastAsia="仿宋_GB2312"/>
                <w:color w:val="auto"/>
                <w:kern w:val="0"/>
                <w:sz w:val="18"/>
                <w:szCs w:val="18"/>
                <w:highlight w:val="none"/>
              </w:rPr>
              <w:br w:type="textWrapping"/>
            </w:r>
            <w:r>
              <w:rPr>
                <w:rFonts w:eastAsia="仿宋_GB2312"/>
                <w:color w:val="auto"/>
                <w:kern w:val="0"/>
                <w:sz w:val="18"/>
                <w:szCs w:val="18"/>
                <w:highlight w:val="none"/>
              </w:rPr>
              <w:t>②是否通过清晰、可衡量的指标值予以体现；</w:t>
            </w:r>
            <w:r>
              <w:rPr>
                <w:rFonts w:eastAsia="仿宋_GB2312"/>
                <w:color w:val="auto"/>
                <w:kern w:val="0"/>
                <w:sz w:val="18"/>
                <w:szCs w:val="18"/>
                <w:highlight w:val="none"/>
              </w:rPr>
              <w:br w:type="textWrapping"/>
            </w:r>
            <w:r>
              <w:rPr>
                <w:rFonts w:eastAsia="仿宋_GB2312"/>
                <w:color w:val="auto"/>
                <w:kern w:val="0"/>
                <w:sz w:val="18"/>
                <w:szCs w:val="18"/>
                <w:highlight w:val="none"/>
              </w:rPr>
              <w:t>③是否与项目目标任务数或计划数相对应。</w:t>
            </w:r>
            <w:r>
              <w:rPr>
                <w:rFonts w:eastAsia="仿宋_GB2312"/>
                <w:color w:val="auto"/>
                <w:kern w:val="0"/>
                <w:sz w:val="18"/>
                <w:szCs w:val="18"/>
                <w:highlight w:val="none"/>
              </w:rPr>
              <w:br w:type="textWrapping"/>
            </w:r>
          </w:p>
        </w:tc>
        <w:tc>
          <w:tcPr>
            <w:tcW w:w="514" w:type="pct"/>
            <w:shd w:val="clear" w:color="000000" w:fill="FFFFFF"/>
            <w:vAlign w:val="center"/>
          </w:tcPr>
          <w:p w14:paraId="51FB9A83">
            <w:pPr>
              <w:widowControl/>
              <w:shd w:val="clear" w:fill="FFFFFF" w:themeFill="background1"/>
              <w:spacing w:line="0" w:lineRule="atLeast"/>
              <w:jc w:val="center"/>
              <w:rPr>
                <w:rFonts w:eastAsia="仿宋_GB2312"/>
                <w:b/>
                <w:bCs/>
                <w:color w:val="auto"/>
                <w:kern w:val="0"/>
                <w:sz w:val="18"/>
                <w:szCs w:val="18"/>
                <w:highlight w:val="none"/>
              </w:rPr>
            </w:pPr>
            <w:r>
              <w:rPr>
                <w:rFonts w:eastAsia="仿宋_GB2312"/>
                <w:b/>
                <w:bCs/>
                <w:color w:val="auto"/>
                <w:kern w:val="0"/>
                <w:sz w:val="18"/>
                <w:szCs w:val="18"/>
                <w:highlight w:val="none"/>
              </w:rPr>
              <w:t>3</w:t>
            </w:r>
          </w:p>
        </w:tc>
        <w:tc>
          <w:tcPr>
            <w:tcW w:w="538" w:type="pct"/>
            <w:shd w:val="clear" w:color="000000" w:fill="FFFFFF"/>
            <w:vAlign w:val="center"/>
          </w:tcPr>
          <w:p w14:paraId="6DB2D1DB">
            <w:pPr>
              <w:widowControl/>
              <w:shd w:val="clear" w:fill="FFFFFF" w:themeFill="background1"/>
              <w:spacing w:line="0" w:lineRule="atLeast"/>
              <w:jc w:val="center"/>
              <w:rPr>
                <w:rFonts w:eastAsia="仿宋_GB2312"/>
                <w:b/>
                <w:bCs/>
                <w:color w:val="auto"/>
                <w:kern w:val="0"/>
                <w:sz w:val="18"/>
                <w:szCs w:val="18"/>
                <w:highlight w:val="none"/>
              </w:rPr>
            </w:pPr>
            <w:r>
              <w:rPr>
                <w:rFonts w:hint="eastAsia" w:eastAsia="仿宋_GB2312"/>
                <w:b/>
                <w:bCs/>
                <w:color w:val="auto"/>
                <w:kern w:val="0"/>
                <w:sz w:val="18"/>
                <w:szCs w:val="18"/>
                <w:highlight w:val="none"/>
              </w:rPr>
              <w:t>3</w:t>
            </w:r>
          </w:p>
        </w:tc>
      </w:tr>
      <w:tr w14:paraId="617777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395" w:type="pct"/>
            <w:vMerge w:val="continue"/>
            <w:shd w:val="clear" w:color="auto" w:fill="FFFFFF"/>
            <w:vAlign w:val="center"/>
          </w:tcPr>
          <w:p w14:paraId="0CE9E75A">
            <w:pPr>
              <w:shd w:val="clear" w:fill="FFFFFF" w:themeFill="background1"/>
              <w:spacing w:line="0" w:lineRule="atLeast"/>
              <w:jc w:val="center"/>
              <w:rPr>
                <w:rFonts w:eastAsia="仿宋_GB2312"/>
                <w:color w:val="auto"/>
                <w:kern w:val="0"/>
                <w:sz w:val="18"/>
                <w:szCs w:val="18"/>
                <w:highlight w:val="none"/>
              </w:rPr>
            </w:pPr>
          </w:p>
        </w:tc>
        <w:tc>
          <w:tcPr>
            <w:tcW w:w="394" w:type="pct"/>
            <w:vMerge w:val="restart"/>
            <w:shd w:val="clear" w:color="auto" w:fill="FFFFFF"/>
            <w:vAlign w:val="center"/>
          </w:tcPr>
          <w:p w14:paraId="2B13954E">
            <w:pPr>
              <w:widowControl/>
              <w:shd w:val="clear" w:fill="FFFFFF" w:themeFill="background1"/>
              <w:spacing w:line="0" w:lineRule="atLeast"/>
              <w:jc w:val="center"/>
              <w:rPr>
                <w:rFonts w:eastAsia="仿宋_GB2312"/>
                <w:color w:val="auto"/>
                <w:kern w:val="0"/>
                <w:sz w:val="18"/>
                <w:szCs w:val="18"/>
                <w:highlight w:val="none"/>
              </w:rPr>
            </w:pPr>
            <w:r>
              <w:rPr>
                <w:rFonts w:eastAsia="仿宋_GB2312"/>
                <w:color w:val="auto"/>
                <w:kern w:val="0"/>
                <w:sz w:val="18"/>
                <w:szCs w:val="18"/>
                <w:highlight w:val="none"/>
              </w:rPr>
              <w:t>资金投入</w:t>
            </w:r>
          </w:p>
          <w:p w14:paraId="3927DA01">
            <w:pPr>
              <w:shd w:val="clear" w:fill="FFFFFF" w:themeFill="background1"/>
              <w:spacing w:line="0" w:lineRule="atLeast"/>
              <w:jc w:val="center"/>
              <w:rPr>
                <w:rFonts w:eastAsia="仿宋_GB2312"/>
                <w:color w:val="auto"/>
                <w:kern w:val="0"/>
                <w:sz w:val="18"/>
                <w:szCs w:val="18"/>
                <w:highlight w:val="none"/>
              </w:rPr>
            </w:pPr>
            <w:r>
              <w:rPr>
                <w:rFonts w:eastAsia="仿宋_GB2312"/>
                <w:color w:val="auto"/>
                <w:kern w:val="0"/>
                <w:sz w:val="18"/>
                <w:szCs w:val="18"/>
                <w:highlight w:val="none"/>
              </w:rPr>
              <w:t>　</w:t>
            </w:r>
          </w:p>
        </w:tc>
        <w:tc>
          <w:tcPr>
            <w:tcW w:w="422" w:type="pct"/>
            <w:shd w:val="clear" w:color="auto" w:fill="FFFFFF"/>
            <w:vAlign w:val="center"/>
          </w:tcPr>
          <w:p w14:paraId="0BFA6383">
            <w:pPr>
              <w:widowControl/>
              <w:shd w:val="clear" w:fill="FFFFFF" w:themeFill="background1"/>
              <w:spacing w:line="0" w:lineRule="atLeast"/>
              <w:jc w:val="center"/>
              <w:rPr>
                <w:rFonts w:eastAsia="仿宋_GB2312"/>
                <w:color w:val="auto"/>
                <w:kern w:val="0"/>
                <w:sz w:val="18"/>
                <w:szCs w:val="18"/>
                <w:highlight w:val="none"/>
              </w:rPr>
            </w:pPr>
            <w:r>
              <w:rPr>
                <w:rFonts w:eastAsia="仿宋_GB2312"/>
                <w:color w:val="auto"/>
                <w:kern w:val="0"/>
                <w:sz w:val="18"/>
                <w:szCs w:val="18"/>
                <w:highlight w:val="none"/>
              </w:rPr>
              <w:t>预算编制</w:t>
            </w:r>
          </w:p>
          <w:p w14:paraId="0D969662">
            <w:pPr>
              <w:widowControl/>
              <w:shd w:val="clear" w:fill="FFFFFF" w:themeFill="background1"/>
              <w:spacing w:line="0" w:lineRule="atLeast"/>
              <w:jc w:val="center"/>
              <w:rPr>
                <w:rFonts w:eastAsia="仿宋_GB2312"/>
                <w:color w:val="auto"/>
                <w:kern w:val="0"/>
                <w:sz w:val="18"/>
                <w:szCs w:val="18"/>
                <w:highlight w:val="none"/>
              </w:rPr>
            </w:pPr>
            <w:r>
              <w:rPr>
                <w:rFonts w:eastAsia="仿宋_GB2312"/>
                <w:color w:val="auto"/>
                <w:kern w:val="0"/>
                <w:sz w:val="18"/>
                <w:szCs w:val="18"/>
                <w:highlight w:val="none"/>
              </w:rPr>
              <w:t>科学性</w:t>
            </w:r>
          </w:p>
        </w:tc>
        <w:tc>
          <w:tcPr>
            <w:tcW w:w="680" w:type="pct"/>
            <w:shd w:val="clear" w:color="auto" w:fill="FFFFFF"/>
            <w:vAlign w:val="center"/>
          </w:tcPr>
          <w:p w14:paraId="72708A7D">
            <w:pPr>
              <w:widowControl/>
              <w:shd w:val="clear" w:fill="FFFFFF" w:themeFill="background1"/>
              <w:spacing w:line="0" w:lineRule="atLeast"/>
              <w:rPr>
                <w:rFonts w:eastAsia="仿宋_GB2312"/>
                <w:color w:val="auto"/>
                <w:kern w:val="0"/>
                <w:sz w:val="18"/>
                <w:szCs w:val="18"/>
                <w:highlight w:val="none"/>
              </w:rPr>
            </w:pPr>
            <w:r>
              <w:rPr>
                <w:rFonts w:eastAsia="仿宋_GB2312"/>
                <w:color w:val="auto"/>
                <w:kern w:val="0"/>
                <w:sz w:val="18"/>
                <w:szCs w:val="18"/>
                <w:highlight w:val="none"/>
              </w:rPr>
              <w:t>项目预算编制是否经过科学论证、有明确标准，资金额度与年度目标是否相适应，用以反映和考核项目预算编制的科学性、合理性情况。</w:t>
            </w:r>
          </w:p>
        </w:tc>
        <w:tc>
          <w:tcPr>
            <w:tcW w:w="2056" w:type="pct"/>
            <w:shd w:val="clear" w:color="auto" w:fill="FFFFFF"/>
            <w:vAlign w:val="center"/>
          </w:tcPr>
          <w:p w14:paraId="73371214">
            <w:pPr>
              <w:widowControl/>
              <w:shd w:val="clear" w:fill="FFFFFF" w:themeFill="background1"/>
              <w:spacing w:line="0" w:lineRule="atLeast"/>
              <w:rPr>
                <w:rFonts w:eastAsia="仿宋_GB2312"/>
                <w:color w:val="auto"/>
                <w:kern w:val="0"/>
                <w:sz w:val="18"/>
                <w:szCs w:val="18"/>
                <w:highlight w:val="none"/>
              </w:rPr>
            </w:pPr>
            <w:r>
              <w:rPr>
                <w:rFonts w:eastAsia="仿宋_GB2312"/>
                <w:color w:val="auto"/>
                <w:kern w:val="0"/>
                <w:sz w:val="18"/>
                <w:szCs w:val="18"/>
                <w:highlight w:val="none"/>
              </w:rPr>
              <w:t>评价要点：</w:t>
            </w:r>
            <w:r>
              <w:rPr>
                <w:rFonts w:eastAsia="仿宋_GB2312"/>
                <w:color w:val="auto"/>
                <w:kern w:val="0"/>
                <w:sz w:val="18"/>
                <w:szCs w:val="18"/>
                <w:highlight w:val="none"/>
              </w:rPr>
              <w:br w:type="textWrapping"/>
            </w:r>
            <w:r>
              <w:rPr>
                <w:rFonts w:eastAsia="仿宋_GB2312"/>
                <w:color w:val="auto"/>
                <w:kern w:val="0"/>
                <w:sz w:val="18"/>
                <w:szCs w:val="18"/>
                <w:highlight w:val="none"/>
              </w:rPr>
              <w:t>①预算编制是否经过科学论证；</w:t>
            </w:r>
            <w:r>
              <w:rPr>
                <w:rFonts w:eastAsia="仿宋_GB2312"/>
                <w:color w:val="auto"/>
                <w:kern w:val="0"/>
                <w:sz w:val="18"/>
                <w:szCs w:val="18"/>
                <w:highlight w:val="none"/>
              </w:rPr>
              <w:br w:type="textWrapping"/>
            </w:r>
            <w:r>
              <w:rPr>
                <w:rFonts w:eastAsia="仿宋_GB2312"/>
                <w:color w:val="auto"/>
                <w:kern w:val="0"/>
                <w:sz w:val="18"/>
                <w:szCs w:val="18"/>
                <w:highlight w:val="none"/>
              </w:rPr>
              <w:t>②预算内容与项目内容是否匹配；</w:t>
            </w:r>
            <w:r>
              <w:rPr>
                <w:rFonts w:eastAsia="仿宋_GB2312"/>
                <w:color w:val="auto"/>
                <w:kern w:val="0"/>
                <w:sz w:val="18"/>
                <w:szCs w:val="18"/>
                <w:highlight w:val="none"/>
              </w:rPr>
              <w:br w:type="textWrapping"/>
            </w:r>
            <w:r>
              <w:rPr>
                <w:rFonts w:eastAsia="仿宋_GB2312"/>
                <w:color w:val="auto"/>
                <w:kern w:val="0"/>
                <w:sz w:val="18"/>
                <w:szCs w:val="18"/>
                <w:highlight w:val="none"/>
              </w:rPr>
              <w:t>③预算额度测算依据是否充分，是否按照标准编制；</w:t>
            </w:r>
            <w:r>
              <w:rPr>
                <w:rFonts w:eastAsia="仿宋_GB2312"/>
                <w:color w:val="auto"/>
                <w:kern w:val="0"/>
                <w:sz w:val="18"/>
                <w:szCs w:val="18"/>
                <w:highlight w:val="none"/>
              </w:rPr>
              <w:br w:type="textWrapping"/>
            </w:r>
            <w:r>
              <w:rPr>
                <w:rFonts w:eastAsia="仿宋_GB2312"/>
                <w:color w:val="auto"/>
                <w:kern w:val="0"/>
                <w:sz w:val="18"/>
                <w:szCs w:val="18"/>
                <w:highlight w:val="none"/>
              </w:rPr>
              <w:t>④预算确定的项目投资额或资金量是否与工作任务相匹配。</w:t>
            </w:r>
          </w:p>
        </w:tc>
        <w:tc>
          <w:tcPr>
            <w:tcW w:w="514" w:type="pct"/>
            <w:shd w:val="clear" w:color="auto" w:fill="FFFFFF"/>
            <w:vAlign w:val="center"/>
          </w:tcPr>
          <w:p w14:paraId="1C934286">
            <w:pPr>
              <w:widowControl/>
              <w:shd w:val="clear" w:fill="FFFFFF" w:themeFill="background1"/>
              <w:spacing w:line="0" w:lineRule="atLeast"/>
              <w:jc w:val="center"/>
              <w:rPr>
                <w:rFonts w:eastAsia="仿宋_GB2312"/>
                <w:b/>
                <w:bCs/>
                <w:color w:val="auto"/>
                <w:kern w:val="0"/>
                <w:sz w:val="18"/>
                <w:szCs w:val="18"/>
                <w:highlight w:val="none"/>
              </w:rPr>
            </w:pPr>
            <w:r>
              <w:rPr>
                <w:rFonts w:eastAsia="仿宋_GB2312"/>
                <w:b/>
                <w:bCs/>
                <w:color w:val="auto"/>
                <w:kern w:val="0"/>
                <w:sz w:val="18"/>
                <w:szCs w:val="18"/>
                <w:highlight w:val="none"/>
              </w:rPr>
              <w:t>4</w:t>
            </w:r>
          </w:p>
        </w:tc>
        <w:tc>
          <w:tcPr>
            <w:tcW w:w="538" w:type="pct"/>
            <w:shd w:val="clear" w:color="auto" w:fill="FFFFFF"/>
            <w:vAlign w:val="center"/>
          </w:tcPr>
          <w:p w14:paraId="622E3FAF">
            <w:pPr>
              <w:widowControl/>
              <w:shd w:val="clear" w:fill="FFFFFF" w:themeFill="background1"/>
              <w:spacing w:line="0" w:lineRule="atLeast"/>
              <w:jc w:val="center"/>
              <w:rPr>
                <w:rFonts w:eastAsia="仿宋_GB2312"/>
                <w:b/>
                <w:bCs/>
                <w:color w:val="auto"/>
                <w:kern w:val="0"/>
                <w:sz w:val="18"/>
                <w:szCs w:val="18"/>
                <w:highlight w:val="none"/>
              </w:rPr>
            </w:pPr>
            <w:r>
              <w:rPr>
                <w:rFonts w:hint="eastAsia" w:eastAsia="仿宋_GB2312"/>
                <w:b/>
                <w:bCs/>
                <w:color w:val="auto"/>
                <w:kern w:val="0"/>
                <w:sz w:val="18"/>
                <w:szCs w:val="18"/>
                <w:highlight w:val="none"/>
              </w:rPr>
              <w:t>4</w:t>
            </w:r>
          </w:p>
        </w:tc>
      </w:tr>
      <w:tr w14:paraId="4FD0F7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395" w:type="pct"/>
            <w:vMerge w:val="continue"/>
            <w:shd w:val="clear" w:color="auto" w:fill="FFFFFF"/>
            <w:vAlign w:val="center"/>
          </w:tcPr>
          <w:p w14:paraId="3C0AC94B">
            <w:pPr>
              <w:widowControl/>
              <w:shd w:val="clear" w:fill="FFFFFF" w:themeFill="background1"/>
              <w:spacing w:line="0" w:lineRule="atLeast"/>
              <w:jc w:val="center"/>
              <w:rPr>
                <w:rFonts w:eastAsia="仿宋_GB2312"/>
                <w:color w:val="auto"/>
                <w:kern w:val="0"/>
                <w:sz w:val="18"/>
                <w:szCs w:val="18"/>
                <w:highlight w:val="none"/>
              </w:rPr>
            </w:pPr>
          </w:p>
        </w:tc>
        <w:tc>
          <w:tcPr>
            <w:tcW w:w="394" w:type="pct"/>
            <w:vMerge w:val="continue"/>
            <w:shd w:val="clear" w:color="auto" w:fill="FFFFFF"/>
            <w:vAlign w:val="center"/>
          </w:tcPr>
          <w:p w14:paraId="2E11491F">
            <w:pPr>
              <w:widowControl/>
              <w:shd w:val="clear" w:fill="FFFFFF" w:themeFill="background1"/>
              <w:spacing w:line="0" w:lineRule="atLeast"/>
              <w:jc w:val="center"/>
              <w:rPr>
                <w:rFonts w:eastAsia="仿宋_GB2312"/>
                <w:color w:val="auto"/>
                <w:kern w:val="0"/>
                <w:sz w:val="18"/>
                <w:szCs w:val="18"/>
                <w:highlight w:val="none"/>
              </w:rPr>
            </w:pPr>
          </w:p>
        </w:tc>
        <w:tc>
          <w:tcPr>
            <w:tcW w:w="422" w:type="pct"/>
            <w:shd w:val="clear" w:color="auto" w:fill="FFFFFF"/>
            <w:vAlign w:val="center"/>
          </w:tcPr>
          <w:p w14:paraId="14FE68E5">
            <w:pPr>
              <w:widowControl/>
              <w:shd w:val="clear" w:fill="FFFFFF" w:themeFill="background1"/>
              <w:spacing w:line="0" w:lineRule="atLeast"/>
              <w:jc w:val="center"/>
              <w:rPr>
                <w:rFonts w:eastAsia="仿宋_GB2312"/>
                <w:color w:val="auto"/>
                <w:kern w:val="0"/>
                <w:sz w:val="18"/>
                <w:szCs w:val="18"/>
                <w:highlight w:val="none"/>
              </w:rPr>
            </w:pPr>
            <w:r>
              <w:rPr>
                <w:rFonts w:eastAsia="仿宋_GB2312"/>
                <w:color w:val="auto"/>
                <w:kern w:val="0"/>
                <w:sz w:val="18"/>
                <w:szCs w:val="18"/>
                <w:highlight w:val="none"/>
              </w:rPr>
              <w:t>资金分配</w:t>
            </w:r>
          </w:p>
          <w:p w14:paraId="2713B3A3">
            <w:pPr>
              <w:widowControl/>
              <w:shd w:val="clear" w:fill="FFFFFF" w:themeFill="background1"/>
              <w:spacing w:line="0" w:lineRule="atLeast"/>
              <w:jc w:val="center"/>
              <w:rPr>
                <w:rFonts w:eastAsia="仿宋_GB2312"/>
                <w:color w:val="auto"/>
                <w:kern w:val="0"/>
                <w:sz w:val="18"/>
                <w:szCs w:val="18"/>
                <w:highlight w:val="none"/>
              </w:rPr>
            </w:pPr>
            <w:r>
              <w:rPr>
                <w:rFonts w:eastAsia="仿宋_GB2312"/>
                <w:color w:val="auto"/>
                <w:kern w:val="0"/>
                <w:sz w:val="18"/>
                <w:szCs w:val="18"/>
                <w:highlight w:val="none"/>
              </w:rPr>
              <w:t>合理性</w:t>
            </w:r>
          </w:p>
        </w:tc>
        <w:tc>
          <w:tcPr>
            <w:tcW w:w="680" w:type="pct"/>
            <w:shd w:val="clear" w:color="auto" w:fill="FFFFFF"/>
            <w:vAlign w:val="center"/>
          </w:tcPr>
          <w:p w14:paraId="3B764AB9">
            <w:pPr>
              <w:widowControl/>
              <w:shd w:val="clear" w:fill="FFFFFF" w:themeFill="background1"/>
              <w:spacing w:line="0" w:lineRule="atLeast"/>
              <w:rPr>
                <w:rFonts w:eastAsia="仿宋_GB2312"/>
                <w:color w:val="auto"/>
                <w:kern w:val="0"/>
                <w:sz w:val="18"/>
                <w:szCs w:val="18"/>
                <w:highlight w:val="none"/>
              </w:rPr>
            </w:pPr>
            <w:r>
              <w:rPr>
                <w:rFonts w:eastAsia="仿宋_GB2312"/>
                <w:color w:val="auto"/>
                <w:kern w:val="0"/>
                <w:sz w:val="18"/>
                <w:szCs w:val="18"/>
                <w:highlight w:val="none"/>
              </w:rPr>
              <w:t>项目预算资金分配是否有测算依据，与补助单位或地方实际是否相适应，用以反映和考核项目预算资金分配的科学性、合理性情况。</w:t>
            </w:r>
          </w:p>
        </w:tc>
        <w:tc>
          <w:tcPr>
            <w:tcW w:w="2056" w:type="pct"/>
            <w:shd w:val="clear" w:color="auto" w:fill="FFFFFF"/>
            <w:vAlign w:val="center"/>
          </w:tcPr>
          <w:p w14:paraId="79C3B2F6">
            <w:pPr>
              <w:widowControl/>
              <w:shd w:val="clear" w:fill="FFFFFF" w:themeFill="background1"/>
              <w:spacing w:line="0" w:lineRule="atLeast"/>
              <w:rPr>
                <w:rFonts w:eastAsia="仿宋_GB2312"/>
                <w:color w:val="auto"/>
                <w:kern w:val="0"/>
                <w:sz w:val="18"/>
                <w:szCs w:val="18"/>
                <w:highlight w:val="none"/>
              </w:rPr>
            </w:pPr>
            <w:r>
              <w:rPr>
                <w:rFonts w:eastAsia="仿宋_GB2312"/>
                <w:color w:val="auto"/>
                <w:kern w:val="0"/>
                <w:sz w:val="18"/>
                <w:szCs w:val="18"/>
                <w:highlight w:val="none"/>
              </w:rPr>
              <w:t>评价要点：</w:t>
            </w:r>
            <w:r>
              <w:rPr>
                <w:rFonts w:eastAsia="仿宋_GB2312"/>
                <w:color w:val="auto"/>
                <w:kern w:val="0"/>
                <w:sz w:val="18"/>
                <w:szCs w:val="18"/>
                <w:highlight w:val="none"/>
              </w:rPr>
              <w:br w:type="textWrapping"/>
            </w:r>
            <w:r>
              <w:rPr>
                <w:rFonts w:eastAsia="仿宋_GB2312"/>
                <w:color w:val="auto"/>
                <w:kern w:val="0"/>
                <w:sz w:val="18"/>
                <w:szCs w:val="18"/>
                <w:highlight w:val="none"/>
              </w:rPr>
              <w:t>①预算资金分配依据是否充分；</w:t>
            </w:r>
            <w:r>
              <w:rPr>
                <w:rFonts w:eastAsia="仿宋_GB2312"/>
                <w:color w:val="auto"/>
                <w:kern w:val="0"/>
                <w:sz w:val="18"/>
                <w:szCs w:val="18"/>
                <w:highlight w:val="none"/>
              </w:rPr>
              <w:br w:type="textWrapping"/>
            </w:r>
            <w:r>
              <w:rPr>
                <w:rFonts w:eastAsia="仿宋_GB2312"/>
                <w:color w:val="auto"/>
                <w:kern w:val="0"/>
                <w:sz w:val="18"/>
                <w:szCs w:val="18"/>
                <w:highlight w:val="none"/>
              </w:rPr>
              <w:t>②资金分配额度是否合理，与项目单位或地方实际是否相适应。</w:t>
            </w:r>
          </w:p>
        </w:tc>
        <w:tc>
          <w:tcPr>
            <w:tcW w:w="514" w:type="pct"/>
            <w:shd w:val="clear" w:color="auto" w:fill="FFFFFF"/>
            <w:vAlign w:val="center"/>
          </w:tcPr>
          <w:p w14:paraId="0F530FE6">
            <w:pPr>
              <w:widowControl/>
              <w:shd w:val="clear" w:fill="FFFFFF" w:themeFill="background1"/>
              <w:spacing w:line="0" w:lineRule="atLeast"/>
              <w:jc w:val="center"/>
              <w:rPr>
                <w:rFonts w:eastAsia="仿宋_GB2312"/>
                <w:b/>
                <w:bCs/>
                <w:color w:val="auto"/>
                <w:kern w:val="0"/>
                <w:sz w:val="18"/>
                <w:szCs w:val="18"/>
                <w:highlight w:val="none"/>
              </w:rPr>
            </w:pPr>
            <w:r>
              <w:rPr>
                <w:rFonts w:eastAsia="仿宋_GB2312"/>
                <w:b/>
                <w:bCs/>
                <w:color w:val="auto"/>
                <w:kern w:val="0"/>
                <w:sz w:val="18"/>
                <w:szCs w:val="18"/>
                <w:highlight w:val="none"/>
              </w:rPr>
              <w:t>4</w:t>
            </w:r>
          </w:p>
        </w:tc>
        <w:tc>
          <w:tcPr>
            <w:tcW w:w="538" w:type="pct"/>
            <w:shd w:val="clear" w:color="auto" w:fill="FFFFFF"/>
            <w:vAlign w:val="center"/>
          </w:tcPr>
          <w:p w14:paraId="6E2C2136">
            <w:pPr>
              <w:widowControl/>
              <w:shd w:val="clear" w:fill="FFFFFF" w:themeFill="background1"/>
              <w:spacing w:line="0" w:lineRule="atLeast"/>
              <w:jc w:val="center"/>
              <w:rPr>
                <w:rFonts w:eastAsia="仿宋_GB2312"/>
                <w:b/>
                <w:bCs/>
                <w:color w:val="auto"/>
                <w:kern w:val="0"/>
                <w:sz w:val="18"/>
                <w:szCs w:val="18"/>
                <w:highlight w:val="none"/>
              </w:rPr>
            </w:pPr>
            <w:r>
              <w:rPr>
                <w:rFonts w:hint="eastAsia" w:eastAsia="仿宋_GB2312"/>
                <w:b/>
                <w:bCs/>
                <w:color w:val="auto"/>
                <w:kern w:val="0"/>
                <w:sz w:val="18"/>
                <w:szCs w:val="18"/>
                <w:highlight w:val="none"/>
              </w:rPr>
              <w:t>4</w:t>
            </w:r>
          </w:p>
        </w:tc>
      </w:tr>
      <w:tr w14:paraId="4CE64D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395" w:type="pct"/>
            <w:vMerge w:val="restart"/>
            <w:shd w:val="clear" w:color="auto" w:fill="FFFFFF"/>
            <w:vAlign w:val="center"/>
          </w:tcPr>
          <w:p w14:paraId="4EDFD52F">
            <w:pPr>
              <w:shd w:val="clear" w:fill="FFFFFF" w:themeFill="background1"/>
              <w:spacing w:line="0" w:lineRule="atLeast"/>
              <w:jc w:val="center"/>
              <w:rPr>
                <w:rFonts w:eastAsia="仿宋_GB2312"/>
                <w:color w:val="auto"/>
                <w:kern w:val="0"/>
                <w:sz w:val="18"/>
                <w:szCs w:val="18"/>
                <w:highlight w:val="none"/>
              </w:rPr>
            </w:pPr>
          </w:p>
          <w:p w14:paraId="71C81089">
            <w:pPr>
              <w:shd w:val="clear" w:fill="FFFFFF" w:themeFill="background1"/>
              <w:spacing w:line="0" w:lineRule="atLeast"/>
              <w:jc w:val="center"/>
              <w:rPr>
                <w:rFonts w:eastAsia="仿宋_GB2312"/>
                <w:color w:val="auto"/>
                <w:kern w:val="0"/>
                <w:sz w:val="18"/>
                <w:szCs w:val="18"/>
                <w:highlight w:val="none"/>
              </w:rPr>
            </w:pPr>
          </w:p>
          <w:p w14:paraId="1C2DA7F4">
            <w:pPr>
              <w:shd w:val="clear" w:fill="FFFFFF" w:themeFill="background1"/>
              <w:spacing w:line="0" w:lineRule="atLeast"/>
              <w:jc w:val="center"/>
              <w:rPr>
                <w:rFonts w:eastAsia="仿宋_GB2312"/>
                <w:color w:val="auto"/>
                <w:kern w:val="0"/>
                <w:sz w:val="18"/>
                <w:szCs w:val="18"/>
                <w:highlight w:val="none"/>
              </w:rPr>
            </w:pPr>
          </w:p>
          <w:p w14:paraId="764D4BF5">
            <w:pPr>
              <w:shd w:val="clear" w:fill="FFFFFF" w:themeFill="background1"/>
              <w:spacing w:line="0" w:lineRule="atLeast"/>
              <w:jc w:val="center"/>
              <w:rPr>
                <w:rFonts w:eastAsia="仿宋_GB2312"/>
                <w:color w:val="auto"/>
                <w:kern w:val="0"/>
                <w:sz w:val="18"/>
                <w:szCs w:val="18"/>
                <w:highlight w:val="none"/>
              </w:rPr>
            </w:pPr>
          </w:p>
          <w:p w14:paraId="1F77FC12">
            <w:pPr>
              <w:shd w:val="clear" w:fill="FFFFFF" w:themeFill="background1"/>
              <w:spacing w:line="0" w:lineRule="atLeast"/>
              <w:jc w:val="center"/>
              <w:rPr>
                <w:rFonts w:eastAsia="仿宋_GB2312"/>
                <w:color w:val="auto"/>
                <w:kern w:val="0"/>
                <w:sz w:val="18"/>
                <w:szCs w:val="18"/>
                <w:highlight w:val="none"/>
              </w:rPr>
            </w:pPr>
          </w:p>
          <w:p w14:paraId="6CC478DB">
            <w:pPr>
              <w:shd w:val="clear" w:fill="FFFFFF" w:themeFill="background1"/>
              <w:spacing w:line="0" w:lineRule="atLeast"/>
              <w:jc w:val="center"/>
              <w:rPr>
                <w:rFonts w:eastAsia="仿宋_GB2312"/>
                <w:color w:val="auto"/>
                <w:kern w:val="0"/>
                <w:sz w:val="18"/>
                <w:szCs w:val="18"/>
                <w:highlight w:val="none"/>
              </w:rPr>
            </w:pPr>
          </w:p>
          <w:p w14:paraId="6A4EA56B">
            <w:pPr>
              <w:shd w:val="clear" w:fill="FFFFFF" w:themeFill="background1"/>
              <w:spacing w:line="0" w:lineRule="atLeast"/>
              <w:jc w:val="center"/>
              <w:rPr>
                <w:rFonts w:eastAsia="仿宋_GB2312"/>
                <w:color w:val="auto"/>
                <w:kern w:val="0"/>
                <w:sz w:val="18"/>
                <w:szCs w:val="18"/>
                <w:highlight w:val="none"/>
              </w:rPr>
            </w:pPr>
          </w:p>
          <w:p w14:paraId="20FD8256">
            <w:pPr>
              <w:shd w:val="clear" w:fill="FFFFFF" w:themeFill="background1"/>
              <w:spacing w:line="0" w:lineRule="atLeast"/>
              <w:jc w:val="center"/>
              <w:rPr>
                <w:rFonts w:eastAsia="仿宋_GB2312"/>
                <w:color w:val="auto"/>
                <w:kern w:val="0"/>
                <w:sz w:val="18"/>
                <w:szCs w:val="18"/>
                <w:highlight w:val="none"/>
              </w:rPr>
            </w:pPr>
          </w:p>
          <w:p w14:paraId="71E1EAF7">
            <w:pPr>
              <w:shd w:val="clear" w:fill="FFFFFF" w:themeFill="background1"/>
              <w:spacing w:line="0" w:lineRule="atLeast"/>
              <w:jc w:val="center"/>
              <w:rPr>
                <w:rFonts w:eastAsia="仿宋_GB2312"/>
                <w:color w:val="auto"/>
                <w:kern w:val="0"/>
                <w:sz w:val="18"/>
                <w:szCs w:val="18"/>
                <w:highlight w:val="none"/>
              </w:rPr>
            </w:pPr>
          </w:p>
          <w:p w14:paraId="74E0EF4A">
            <w:pPr>
              <w:shd w:val="clear" w:fill="FFFFFF" w:themeFill="background1"/>
              <w:spacing w:line="0" w:lineRule="atLeast"/>
              <w:jc w:val="center"/>
              <w:rPr>
                <w:rFonts w:eastAsia="仿宋_GB2312"/>
                <w:color w:val="auto"/>
                <w:kern w:val="0"/>
                <w:sz w:val="18"/>
                <w:szCs w:val="18"/>
                <w:highlight w:val="none"/>
              </w:rPr>
            </w:pPr>
          </w:p>
          <w:p w14:paraId="66B5528A">
            <w:pPr>
              <w:shd w:val="clear" w:fill="FFFFFF" w:themeFill="background1"/>
              <w:spacing w:line="0" w:lineRule="atLeast"/>
              <w:jc w:val="center"/>
              <w:rPr>
                <w:rFonts w:eastAsia="仿宋_GB2312"/>
                <w:color w:val="auto"/>
                <w:kern w:val="0"/>
                <w:sz w:val="18"/>
                <w:szCs w:val="18"/>
                <w:highlight w:val="none"/>
              </w:rPr>
            </w:pPr>
          </w:p>
          <w:p w14:paraId="29BD104D">
            <w:pPr>
              <w:shd w:val="clear" w:fill="FFFFFF" w:themeFill="background1"/>
              <w:spacing w:line="0" w:lineRule="atLeast"/>
              <w:jc w:val="center"/>
              <w:rPr>
                <w:rFonts w:eastAsia="仿宋_GB2312"/>
                <w:color w:val="auto"/>
                <w:kern w:val="0"/>
                <w:sz w:val="18"/>
                <w:szCs w:val="18"/>
                <w:highlight w:val="none"/>
              </w:rPr>
            </w:pPr>
          </w:p>
          <w:p w14:paraId="022AA922">
            <w:pPr>
              <w:shd w:val="clear" w:fill="FFFFFF" w:themeFill="background1"/>
              <w:spacing w:line="0" w:lineRule="atLeast"/>
              <w:jc w:val="center"/>
              <w:rPr>
                <w:rFonts w:eastAsia="仿宋_GB2312"/>
                <w:color w:val="auto"/>
                <w:kern w:val="0"/>
                <w:sz w:val="18"/>
                <w:szCs w:val="18"/>
                <w:highlight w:val="none"/>
              </w:rPr>
            </w:pPr>
          </w:p>
          <w:p w14:paraId="4E2EF84B">
            <w:pPr>
              <w:shd w:val="clear" w:fill="FFFFFF" w:themeFill="background1"/>
              <w:spacing w:line="0" w:lineRule="atLeast"/>
              <w:jc w:val="center"/>
              <w:rPr>
                <w:rFonts w:eastAsia="仿宋_GB2312"/>
                <w:color w:val="auto"/>
                <w:kern w:val="0"/>
                <w:sz w:val="18"/>
                <w:szCs w:val="18"/>
                <w:highlight w:val="none"/>
              </w:rPr>
            </w:pPr>
          </w:p>
          <w:p w14:paraId="4E27B3DA">
            <w:pPr>
              <w:shd w:val="clear" w:fill="FFFFFF" w:themeFill="background1"/>
              <w:spacing w:line="0" w:lineRule="atLeast"/>
              <w:jc w:val="center"/>
              <w:rPr>
                <w:rFonts w:eastAsia="仿宋_GB2312"/>
                <w:color w:val="auto"/>
                <w:kern w:val="0"/>
                <w:sz w:val="18"/>
                <w:szCs w:val="18"/>
                <w:highlight w:val="none"/>
              </w:rPr>
            </w:pPr>
          </w:p>
          <w:p w14:paraId="63096913">
            <w:pPr>
              <w:shd w:val="clear" w:fill="FFFFFF" w:themeFill="background1"/>
              <w:spacing w:line="0" w:lineRule="atLeast"/>
              <w:jc w:val="center"/>
              <w:rPr>
                <w:rFonts w:eastAsia="仿宋_GB2312"/>
                <w:color w:val="auto"/>
                <w:kern w:val="0"/>
                <w:sz w:val="18"/>
                <w:szCs w:val="18"/>
                <w:highlight w:val="none"/>
              </w:rPr>
            </w:pPr>
            <w:r>
              <w:rPr>
                <w:rFonts w:eastAsia="仿宋_GB2312"/>
                <w:color w:val="auto"/>
                <w:kern w:val="0"/>
                <w:sz w:val="18"/>
                <w:szCs w:val="18"/>
                <w:highlight w:val="none"/>
              </w:rPr>
              <w:t>过程</w:t>
            </w:r>
          </w:p>
          <w:p w14:paraId="344575B7">
            <w:pPr>
              <w:widowControl/>
              <w:shd w:val="clear" w:fill="FFFFFF" w:themeFill="background1"/>
              <w:spacing w:line="0" w:lineRule="atLeast"/>
              <w:jc w:val="center"/>
              <w:rPr>
                <w:rFonts w:eastAsia="仿宋_GB2312"/>
                <w:color w:val="auto"/>
                <w:kern w:val="0"/>
                <w:sz w:val="18"/>
                <w:szCs w:val="18"/>
                <w:highlight w:val="none"/>
              </w:rPr>
            </w:pPr>
            <w:r>
              <w:rPr>
                <w:rFonts w:eastAsia="仿宋_GB2312"/>
                <w:color w:val="auto"/>
                <w:kern w:val="0"/>
                <w:sz w:val="18"/>
                <w:szCs w:val="18"/>
                <w:highlight w:val="none"/>
              </w:rPr>
              <w:t>　　</w:t>
            </w:r>
          </w:p>
        </w:tc>
        <w:tc>
          <w:tcPr>
            <w:tcW w:w="394" w:type="pct"/>
            <w:vMerge w:val="restart"/>
            <w:shd w:val="clear" w:color="auto" w:fill="FFFFFF"/>
            <w:vAlign w:val="center"/>
          </w:tcPr>
          <w:p w14:paraId="3CFE93E1">
            <w:pPr>
              <w:widowControl/>
              <w:shd w:val="clear" w:fill="FFFFFF" w:themeFill="background1"/>
              <w:spacing w:line="0" w:lineRule="atLeast"/>
              <w:jc w:val="center"/>
              <w:rPr>
                <w:rFonts w:eastAsia="仿宋_GB2312"/>
                <w:color w:val="auto"/>
                <w:kern w:val="0"/>
                <w:sz w:val="18"/>
                <w:szCs w:val="18"/>
                <w:highlight w:val="none"/>
              </w:rPr>
            </w:pPr>
            <w:r>
              <w:rPr>
                <w:rFonts w:eastAsia="仿宋_GB2312"/>
                <w:color w:val="auto"/>
                <w:kern w:val="0"/>
                <w:sz w:val="18"/>
                <w:szCs w:val="18"/>
                <w:highlight w:val="none"/>
              </w:rPr>
              <w:t>资金管理</w:t>
            </w:r>
          </w:p>
        </w:tc>
        <w:tc>
          <w:tcPr>
            <w:tcW w:w="422" w:type="pct"/>
            <w:shd w:val="clear" w:color="auto" w:fill="FFFFFF"/>
            <w:vAlign w:val="center"/>
          </w:tcPr>
          <w:p w14:paraId="77FED7C7">
            <w:pPr>
              <w:widowControl/>
              <w:shd w:val="clear" w:fill="FFFFFF" w:themeFill="background1"/>
              <w:spacing w:line="0" w:lineRule="atLeast"/>
              <w:jc w:val="center"/>
              <w:rPr>
                <w:rFonts w:eastAsia="仿宋_GB2312"/>
                <w:color w:val="auto"/>
                <w:kern w:val="0"/>
                <w:sz w:val="18"/>
                <w:szCs w:val="18"/>
                <w:highlight w:val="none"/>
              </w:rPr>
            </w:pPr>
            <w:r>
              <w:rPr>
                <w:rFonts w:eastAsia="仿宋_GB2312"/>
                <w:color w:val="auto"/>
                <w:kern w:val="0"/>
                <w:sz w:val="18"/>
                <w:szCs w:val="18"/>
                <w:highlight w:val="none"/>
              </w:rPr>
              <w:t>资金到位率</w:t>
            </w:r>
          </w:p>
        </w:tc>
        <w:tc>
          <w:tcPr>
            <w:tcW w:w="680" w:type="pct"/>
            <w:shd w:val="clear" w:color="000000" w:fill="FFFFFF"/>
            <w:vAlign w:val="center"/>
          </w:tcPr>
          <w:p w14:paraId="1C0DF472">
            <w:pPr>
              <w:widowControl/>
              <w:shd w:val="clear" w:fill="FFFFFF" w:themeFill="background1"/>
              <w:spacing w:line="0" w:lineRule="atLeast"/>
              <w:rPr>
                <w:rFonts w:eastAsia="仿宋_GB2312"/>
                <w:color w:val="auto"/>
                <w:kern w:val="0"/>
                <w:sz w:val="18"/>
                <w:szCs w:val="18"/>
                <w:highlight w:val="none"/>
              </w:rPr>
            </w:pPr>
            <w:r>
              <w:rPr>
                <w:rFonts w:eastAsia="仿宋_GB2312"/>
                <w:color w:val="auto"/>
                <w:kern w:val="0"/>
                <w:sz w:val="18"/>
                <w:szCs w:val="18"/>
                <w:highlight w:val="none"/>
              </w:rPr>
              <w:t>实际到位资金与预算资金的比率，用以反映和考核资金落实情况对项目实施的总体保障程度。</w:t>
            </w:r>
          </w:p>
        </w:tc>
        <w:tc>
          <w:tcPr>
            <w:tcW w:w="2056" w:type="pct"/>
            <w:shd w:val="clear" w:color="000000" w:fill="FFFFFF"/>
            <w:vAlign w:val="center"/>
          </w:tcPr>
          <w:p w14:paraId="64255803">
            <w:pPr>
              <w:widowControl/>
              <w:shd w:val="clear" w:fill="FFFFFF" w:themeFill="background1"/>
              <w:spacing w:line="0" w:lineRule="atLeast"/>
              <w:rPr>
                <w:rFonts w:eastAsia="仿宋_GB2312"/>
                <w:color w:val="auto"/>
                <w:kern w:val="0"/>
                <w:sz w:val="18"/>
                <w:szCs w:val="18"/>
                <w:highlight w:val="none"/>
              </w:rPr>
            </w:pPr>
            <w:r>
              <w:rPr>
                <w:rFonts w:eastAsia="仿宋_GB2312"/>
                <w:color w:val="auto"/>
                <w:kern w:val="0"/>
                <w:sz w:val="18"/>
                <w:szCs w:val="18"/>
                <w:highlight w:val="none"/>
              </w:rPr>
              <w:t>资金到位率=（实际到位资金/预算资金）×100%。</w:t>
            </w:r>
          </w:p>
          <w:p w14:paraId="77DDCE08">
            <w:pPr>
              <w:widowControl/>
              <w:shd w:val="clear" w:fill="FFFFFF" w:themeFill="background1"/>
              <w:spacing w:line="0" w:lineRule="atLeast"/>
              <w:rPr>
                <w:rFonts w:eastAsia="仿宋_GB2312"/>
                <w:color w:val="auto"/>
                <w:kern w:val="0"/>
                <w:sz w:val="18"/>
                <w:szCs w:val="18"/>
                <w:highlight w:val="none"/>
              </w:rPr>
            </w:pPr>
            <w:r>
              <w:rPr>
                <w:rFonts w:eastAsia="仿宋_GB2312"/>
                <w:color w:val="auto"/>
                <w:kern w:val="0"/>
                <w:sz w:val="18"/>
                <w:szCs w:val="18"/>
                <w:highlight w:val="none"/>
              </w:rPr>
              <w:t>实际到位资金：一定时期（本年度或项目期）内落实到具体项目的资金。</w:t>
            </w:r>
          </w:p>
          <w:p w14:paraId="723059EA">
            <w:pPr>
              <w:widowControl/>
              <w:shd w:val="clear" w:fill="FFFFFF" w:themeFill="background1"/>
              <w:spacing w:line="0" w:lineRule="atLeast"/>
              <w:rPr>
                <w:rFonts w:eastAsia="仿宋_GB2312"/>
                <w:color w:val="auto"/>
                <w:kern w:val="0"/>
                <w:sz w:val="18"/>
                <w:szCs w:val="18"/>
                <w:highlight w:val="none"/>
              </w:rPr>
            </w:pPr>
            <w:r>
              <w:rPr>
                <w:rFonts w:eastAsia="仿宋_GB2312"/>
                <w:color w:val="auto"/>
                <w:kern w:val="0"/>
                <w:sz w:val="18"/>
                <w:szCs w:val="18"/>
                <w:highlight w:val="none"/>
              </w:rPr>
              <w:t>预算资金：一定时期（本年度或项目期）内预算安排到具体项目的资金。</w:t>
            </w:r>
          </w:p>
        </w:tc>
        <w:tc>
          <w:tcPr>
            <w:tcW w:w="514" w:type="pct"/>
            <w:shd w:val="clear" w:color="000000" w:fill="FFFFFF"/>
            <w:vAlign w:val="center"/>
          </w:tcPr>
          <w:p w14:paraId="79D0E866">
            <w:pPr>
              <w:widowControl/>
              <w:shd w:val="clear" w:fill="FFFFFF" w:themeFill="background1"/>
              <w:spacing w:line="0" w:lineRule="atLeast"/>
              <w:jc w:val="center"/>
              <w:rPr>
                <w:rFonts w:eastAsia="仿宋_GB2312"/>
                <w:b/>
                <w:bCs/>
                <w:color w:val="auto"/>
                <w:kern w:val="0"/>
                <w:sz w:val="18"/>
                <w:szCs w:val="18"/>
                <w:highlight w:val="none"/>
              </w:rPr>
            </w:pPr>
            <w:r>
              <w:rPr>
                <w:rFonts w:eastAsia="仿宋_GB2312"/>
                <w:b/>
                <w:bCs/>
                <w:color w:val="auto"/>
                <w:kern w:val="0"/>
                <w:sz w:val="18"/>
                <w:szCs w:val="18"/>
                <w:highlight w:val="none"/>
              </w:rPr>
              <w:t>4</w:t>
            </w:r>
          </w:p>
        </w:tc>
        <w:tc>
          <w:tcPr>
            <w:tcW w:w="538" w:type="pct"/>
            <w:shd w:val="clear" w:color="000000" w:fill="FFFFFF"/>
            <w:vAlign w:val="center"/>
          </w:tcPr>
          <w:p w14:paraId="00D667D2">
            <w:pPr>
              <w:widowControl/>
              <w:shd w:val="clear" w:fill="FFFFFF" w:themeFill="background1"/>
              <w:spacing w:line="0" w:lineRule="atLeast"/>
              <w:jc w:val="center"/>
              <w:rPr>
                <w:rFonts w:eastAsia="仿宋_GB2312"/>
                <w:b/>
                <w:bCs/>
                <w:color w:val="auto"/>
                <w:kern w:val="0"/>
                <w:sz w:val="18"/>
                <w:szCs w:val="18"/>
                <w:highlight w:val="none"/>
              </w:rPr>
            </w:pPr>
            <w:r>
              <w:rPr>
                <w:rFonts w:hint="eastAsia" w:eastAsia="仿宋_GB2312"/>
                <w:b/>
                <w:bCs/>
                <w:color w:val="auto"/>
                <w:kern w:val="0"/>
                <w:sz w:val="18"/>
                <w:szCs w:val="18"/>
                <w:highlight w:val="none"/>
              </w:rPr>
              <w:t>4</w:t>
            </w:r>
          </w:p>
        </w:tc>
      </w:tr>
      <w:tr w14:paraId="550C9F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395" w:type="pct"/>
            <w:vMerge w:val="continue"/>
            <w:shd w:val="clear" w:color="auto" w:fill="FFFFFF"/>
            <w:vAlign w:val="center"/>
          </w:tcPr>
          <w:p w14:paraId="1583C929">
            <w:pPr>
              <w:shd w:val="clear" w:fill="FFFFFF" w:themeFill="background1"/>
              <w:spacing w:line="0" w:lineRule="atLeast"/>
              <w:jc w:val="center"/>
              <w:rPr>
                <w:rFonts w:eastAsia="仿宋_GB2312"/>
                <w:color w:val="auto"/>
                <w:kern w:val="0"/>
                <w:sz w:val="18"/>
                <w:szCs w:val="18"/>
                <w:highlight w:val="none"/>
              </w:rPr>
            </w:pPr>
          </w:p>
        </w:tc>
        <w:tc>
          <w:tcPr>
            <w:tcW w:w="394" w:type="pct"/>
            <w:vMerge w:val="continue"/>
            <w:shd w:val="clear" w:color="auto" w:fill="FFFFFF"/>
            <w:vAlign w:val="center"/>
          </w:tcPr>
          <w:p w14:paraId="3E9E9403">
            <w:pPr>
              <w:shd w:val="clear" w:fill="FFFFFF" w:themeFill="background1"/>
              <w:spacing w:line="0" w:lineRule="atLeast"/>
              <w:jc w:val="center"/>
              <w:rPr>
                <w:rFonts w:eastAsia="仿宋_GB2312"/>
                <w:color w:val="auto"/>
                <w:kern w:val="0"/>
                <w:sz w:val="18"/>
                <w:szCs w:val="18"/>
                <w:highlight w:val="none"/>
              </w:rPr>
            </w:pPr>
          </w:p>
        </w:tc>
        <w:tc>
          <w:tcPr>
            <w:tcW w:w="422" w:type="pct"/>
            <w:shd w:val="clear" w:color="auto" w:fill="FFFFFF"/>
            <w:vAlign w:val="center"/>
          </w:tcPr>
          <w:p w14:paraId="02D93037">
            <w:pPr>
              <w:widowControl/>
              <w:shd w:val="clear" w:fill="FFFFFF" w:themeFill="background1"/>
              <w:spacing w:line="0" w:lineRule="atLeast"/>
              <w:jc w:val="center"/>
              <w:rPr>
                <w:rFonts w:eastAsia="仿宋_GB2312"/>
                <w:color w:val="auto"/>
                <w:kern w:val="0"/>
                <w:sz w:val="18"/>
                <w:szCs w:val="18"/>
                <w:highlight w:val="none"/>
              </w:rPr>
            </w:pPr>
            <w:r>
              <w:rPr>
                <w:rFonts w:eastAsia="仿宋_GB2312"/>
                <w:color w:val="auto"/>
                <w:kern w:val="0"/>
                <w:sz w:val="18"/>
                <w:szCs w:val="18"/>
                <w:highlight w:val="none"/>
              </w:rPr>
              <w:t>预算执行率</w:t>
            </w:r>
          </w:p>
        </w:tc>
        <w:tc>
          <w:tcPr>
            <w:tcW w:w="680" w:type="pct"/>
            <w:shd w:val="clear" w:color="auto" w:fill="FFFFFF"/>
            <w:vAlign w:val="center"/>
          </w:tcPr>
          <w:p w14:paraId="66207E37">
            <w:pPr>
              <w:widowControl/>
              <w:shd w:val="clear" w:fill="FFFFFF" w:themeFill="background1"/>
              <w:spacing w:line="0" w:lineRule="atLeast"/>
              <w:rPr>
                <w:rFonts w:eastAsia="仿宋_GB2312"/>
                <w:color w:val="auto"/>
                <w:kern w:val="0"/>
                <w:sz w:val="18"/>
                <w:szCs w:val="18"/>
                <w:highlight w:val="none"/>
              </w:rPr>
            </w:pPr>
            <w:r>
              <w:rPr>
                <w:rFonts w:eastAsia="仿宋_GB2312"/>
                <w:color w:val="auto"/>
                <w:kern w:val="0"/>
                <w:sz w:val="18"/>
                <w:szCs w:val="18"/>
                <w:highlight w:val="none"/>
              </w:rPr>
              <w:t>项目预算资金是否按照计划执行，用以反映或考核项目预算执行情况。</w:t>
            </w:r>
          </w:p>
        </w:tc>
        <w:tc>
          <w:tcPr>
            <w:tcW w:w="2056" w:type="pct"/>
            <w:shd w:val="clear" w:color="auto" w:fill="FFFFFF"/>
            <w:vAlign w:val="center"/>
          </w:tcPr>
          <w:p w14:paraId="63A142D8">
            <w:pPr>
              <w:widowControl/>
              <w:shd w:val="clear" w:fill="FFFFFF" w:themeFill="background1"/>
              <w:spacing w:line="0" w:lineRule="atLeast"/>
              <w:rPr>
                <w:rFonts w:eastAsia="仿宋_GB2312"/>
                <w:color w:val="auto"/>
                <w:kern w:val="0"/>
                <w:sz w:val="18"/>
                <w:szCs w:val="18"/>
                <w:highlight w:val="none"/>
              </w:rPr>
            </w:pPr>
            <w:r>
              <w:rPr>
                <w:rFonts w:eastAsia="仿宋_GB2312"/>
                <w:color w:val="auto"/>
                <w:kern w:val="0"/>
                <w:sz w:val="18"/>
                <w:szCs w:val="18"/>
                <w:highlight w:val="none"/>
              </w:rPr>
              <w:t>预算执行率=（实际支出资金/实际到位资金）×100%。</w:t>
            </w:r>
            <w:r>
              <w:rPr>
                <w:rFonts w:eastAsia="仿宋_GB2312"/>
                <w:color w:val="auto"/>
                <w:kern w:val="0"/>
                <w:sz w:val="18"/>
                <w:szCs w:val="18"/>
                <w:highlight w:val="none"/>
              </w:rPr>
              <w:br w:type="textWrapping"/>
            </w:r>
            <w:r>
              <w:rPr>
                <w:rFonts w:eastAsia="仿宋_GB2312"/>
                <w:color w:val="auto"/>
                <w:kern w:val="0"/>
                <w:sz w:val="18"/>
                <w:szCs w:val="18"/>
                <w:highlight w:val="none"/>
              </w:rPr>
              <w:t>实际支出资金：一定时期（本年度或项目期）内项目实际拨付的资金。</w:t>
            </w:r>
          </w:p>
        </w:tc>
        <w:tc>
          <w:tcPr>
            <w:tcW w:w="514" w:type="pct"/>
            <w:shd w:val="clear" w:color="auto" w:fill="FFFFFF"/>
            <w:vAlign w:val="center"/>
          </w:tcPr>
          <w:p w14:paraId="01D7B3B2">
            <w:pPr>
              <w:widowControl/>
              <w:shd w:val="clear" w:fill="FFFFFF" w:themeFill="background1"/>
              <w:spacing w:line="0" w:lineRule="atLeast"/>
              <w:jc w:val="center"/>
              <w:rPr>
                <w:rFonts w:eastAsia="仿宋_GB2312"/>
                <w:b/>
                <w:bCs/>
                <w:color w:val="auto"/>
                <w:kern w:val="0"/>
                <w:sz w:val="18"/>
                <w:szCs w:val="18"/>
                <w:highlight w:val="none"/>
              </w:rPr>
            </w:pPr>
            <w:r>
              <w:rPr>
                <w:rFonts w:eastAsia="仿宋_GB2312"/>
                <w:b/>
                <w:bCs/>
                <w:color w:val="auto"/>
                <w:kern w:val="0"/>
                <w:sz w:val="18"/>
                <w:szCs w:val="18"/>
                <w:highlight w:val="none"/>
              </w:rPr>
              <w:t>4</w:t>
            </w:r>
          </w:p>
        </w:tc>
        <w:tc>
          <w:tcPr>
            <w:tcW w:w="538" w:type="pct"/>
            <w:shd w:val="clear" w:color="auto" w:fill="FFFFFF"/>
            <w:vAlign w:val="center"/>
          </w:tcPr>
          <w:p w14:paraId="104A0B9B">
            <w:pPr>
              <w:widowControl/>
              <w:shd w:val="clear" w:fill="FFFFFF" w:themeFill="background1"/>
              <w:spacing w:line="0" w:lineRule="atLeast"/>
              <w:jc w:val="center"/>
              <w:rPr>
                <w:rFonts w:eastAsia="仿宋_GB2312"/>
                <w:b/>
                <w:bCs/>
                <w:color w:val="auto"/>
                <w:kern w:val="0"/>
                <w:sz w:val="18"/>
                <w:szCs w:val="18"/>
                <w:highlight w:val="none"/>
              </w:rPr>
            </w:pPr>
            <w:r>
              <w:rPr>
                <w:rFonts w:hint="eastAsia" w:eastAsia="仿宋_GB2312"/>
                <w:b/>
                <w:bCs/>
                <w:color w:val="auto"/>
                <w:kern w:val="0"/>
                <w:sz w:val="18"/>
                <w:szCs w:val="18"/>
                <w:highlight w:val="none"/>
              </w:rPr>
              <w:t>4</w:t>
            </w:r>
          </w:p>
        </w:tc>
      </w:tr>
      <w:tr w14:paraId="56A3AF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395" w:type="pct"/>
            <w:vMerge w:val="continue"/>
            <w:shd w:val="clear" w:color="auto" w:fill="FFFFFF"/>
            <w:vAlign w:val="center"/>
          </w:tcPr>
          <w:p w14:paraId="55D8B821">
            <w:pPr>
              <w:shd w:val="clear" w:fill="FFFFFF" w:themeFill="background1"/>
              <w:spacing w:line="0" w:lineRule="atLeast"/>
              <w:jc w:val="center"/>
              <w:rPr>
                <w:rFonts w:eastAsia="仿宋_GB2312"/>
                <w:color w:val="auto"/>
                <w:kern w:val="0"/>
                <w:sz w:val="18"/>
                <w:szCs w:val="18"/>
                <w:highlight w:val="none"/>
              </w:rPr>
            </w:pPr>
          </w:p>
        </w:tc>
        <w:tc>
          <w:tcPr>
            <w:tcW w:w="394" w:type="pct"/>
            <w:shd w:val="clear" w:color="auto" w:fill="FFFFFF"/>
            <w:vAlign w:val="center"/>
          </w:tcPr>
          <w:p w14:paraId="156F9CA1">
            <w:pPr>
              <w:widowControl/>
              <w:shd w:val="clear" w:fill="FFFFFF" w:themeFill="background1"/>
              <w:spacing w:line="0" w:lineRule="atLeast"/>
              <w:jc w:val="center"/>
              <w:rPr>
                <w:rFonts w:eastAsia="仿宋_GB2312"/>
                <w:color w:val="auto"/>
                <w:kern w:val="0"/>
                <w:sz w:val="18"/>
                <w:szCs w:val="18"/>
                <w:highlight w:val="none"/>
              </w:rPr>
            </w:pPr>
            <w:r>
              <w:rPr>
                <w:rFonts w:eastAsia="仿宋_GB2312"/>
                <w:color w:val="auto"/>
                <w:kern w:val="0"/>
                <w:sz w:val="18"/>
                <w:szCs w:val="18"/>
                <w:highlight w:val="none"/>
              </w:rPr>
              <w:t>资金管理</w:t>
            </w:r>
          </w:p>
        </w:tc>
        <w:tc>
          <w:tcPr>
            <w:tcW w:w="422" w:type="pct"/>
            <w:shd w:val="clear" w:color="auto" w:fill="FFFFFF"/>
            <w:vAlign w:val="center"/>
          </w:tcPr>
          <w:p w14:paraId="44BD818D">
            <w:pPr>
              <w:widowControl/>
              <w:shd w:val="clear" w:fill="FFFFFF" w:themeFill="background1"/>
              <w:spacing w:line="0" w:lineRule="atLeast"/>
              <w:jc w:val="center"/>
              <w:rPr>
                <w:rFonts w:eastAsia="仿宋_GB2312"/>
                <w:color w:val="auto"/>
                <w:kern w:val="0"/>
                <w:sz w:val="18"/>
                <w:szCs w:val="18"/>
                <w:highlight w:val="none"/>
              </w:rPr>
            </w:pPr>
            <w:r>
              <w:rPr>
                <w:rFonts w:eastAsia="仿宋_GB2312"/>
                <w:color w:val="auto"/>
                <w:kern w:val="0"/>
                <w:sz w:val="18"/>
                <w:szCs w:val="18"/>
                <w:highlight w:val="none"/>
              </w:rPr>
              <w:t>资金使用</w:t>
            </w:r>
          </w:p>
          <w:p w14:paraId="496E8030">
            <w:pPr>
              <w:widowControl/>
              <w:shd w:val="clear" w:fill="FFFFFF" w:themeFill="background1"/>
              <w:spacing w:line="0" w:lineRule="atLeast"/>
              <w:jc w:val="center"/>
              <w:rPr>
                <w:rFonts w:eastAsia="仿宋_GB2312"/>
                <w:color w:val="auto"/>
                <w:kern w:val="0"/>
                <w:sz w:val="18"/>
                <w:szCs w:val="18"/>
                <w:highlight w:val="none"/>
              </w:rPr>
            </w:pPr>
            <w:r>
              <w:rPr>
                <w:rFonts w:eastAsia="仿宋_GB2312"/>
                <w:color w:val="auto"/>
                <w:kern w:val="0"/>
                <w:sz w:val="18"/>
                <w:szCs w:val="18"/>
                <w:highlight w:val="none"/>
              </w:rPr>
              <w:t>合规性</w:t>
            </w:r>
          </w:p>
        </w:tc>
        <w:tc>
          <w:tcPr>
            <w:tcW w:w="680" w:type="pct"/>
            <w:shd w:val="clear" w:color="000000" w:fill="FFFFFF"/>
            <w:vAlign w:val="center"/>
          </w:tcPr>
          <w:p w14:paraId="24F1EE11">
            <w:pPr>
              <w:widowControl/>
              <w:shd w:val="clear" w:fill="FFFFFF" w:themeFill="background1"/>
              <w:spacing w:line="0" w:lineRule="atLeast"/>
              <w:rPr>
                <w:rFonts w:eastAsia="仿宋_GB2312"/>
                <w:color w:val="auto"/>
                <w:kern w:val="0"/>
                <w:sz w:val="18"/>
                <w:szCs w:val="18"/>
                <w:highlight w:val="none"/>
              </w:rPr>
            </w:pPr>
            <w:r>
              <w:rPr>
                <w:rFonts w:eastAsia="仿宋_GB2312"/>
                <w:color w:val="auto"/>
                <w:kern w:val="0"/>
                <w:sz w:val="18"/>
                <w:szCs w:val="18"/>
                <w:highlight w:val="none"/>
              </w:rPr>
              <w:t>项目资金使用是否符合相关的财务管理制度规定，用以反映和考核项目资金的规范运行情况。</w:t>
            </w:r>
          </w:p>
        </w:tc>
        <w:tc>
          <w:tcPr>
            <w:tcW w:w="2056" w:type="pct"/>
            <w:shd w:val="clear" w:color="000000" w:fill="FFFFFF"/>
            <w:vAlign w:val="center"/>
          </w:tcPr>
          <w:p w14:paraId="17476FE7">
            <w:pPr>
              <w:widowControl/>
              <w:shd w:val="clear" w:fill="FFFFFF" w:themeFill="background1"/>
              <w:spacing w:line="0" w:lineRule="atLeast"/>
              <w:rPr>
                <w:rFonts w:eastAsia="仿宋_GB2312"/>
                <w:color w:val="auto"/>
                <w:kern w:val="0"/>
                <w:sz w:val="18"/>
                <w:szCs w:val="18"/>
                <w:highlight w:val="none"/>
              </w:rPr>
            </w:pPr>
            <w:r>
              <w:rPr>
                <w:rFonts w:eastAsia="仿宋_GB2312"/>
                <w:color w:val="auto"/>
                <w:kern w:val="0"/>
                <w:sz w:val="18"/>
                <w:szCs w:val="18"/>
                <w:highlight w:val="none"/>
              </w:rPr>
              <w:t>评价要点：</w:t>
            </w:r>
            <w:r>
              <w:rPr>
                <w:rFonts w:eastAsia="仿宋_GB2312"/>
                <w:color w:val="auto"/>
                <w:kern w:val="0"/>
                <w:sz w:val="18"/>
                <w:szCs w:val="18"/>
                <w:highlight w:val="none"/>
              </w:rPr>
              <w:br w:type="textWrapping"/>
            </w:r>
            <w:r>
              <w:rPr>
                <w:rFonts w:eastAsia="仿宋_GB2312"/>
                <w:color w:val="auto"/>
                <w:kern w:val="0"/>
                <w:sz w:val="18"/>
                <w:szCs w:val="18"/>
                <w:highlight w:val="none"/>
              </w:rPr>
              <w:t>①是否符合国家财经法规和财务管理制度以及有关专项资金管理办法的规定；</w:t>
            </w:r>
            <w:r>
              <w:rPr>
                <w:rFonts w:eastAsia="仿宋_GB2312"/>
                <w:color w:val="auto"/>
                <w:kern w:val="0"/>
                <w:sz w:val="18"/>
                <w:szCs w:val="18"/>
                <w:highlight w:val="none"/>
              </w:rPr>
              <w:br w:type="textWrapping"/>
            </w:r>
            <w:r>
              <w:rPr>
                <w:rFonts w:eastAsia="仿宋_GB2312"/>
                <w:color w:val="auto"/>
                <w:kern w:val="0"/>
                <w:sz w:val="18"/>
                <w:szCs w:val="18"/>
                <w:highlight w:val="none"/>
              </w:rPr>
              <w:t>②资金的拨付是否有完整的审批程序和手续；</w:t>
            </w:r>
            <w:r>
              <w:rPr>
                <w:rFonts w:eastAsia="仿宋_GB2312"/>
                <w:color w:val="auto"/>
                <w:kern w:val="0"/>
                <w:sz w:val="18"/>
                <w:szCs w:val="18"/>
                <w:highlight w:val="none"/>
              </w:rPr>
              <w:br w:type="textWrapping"/>
            </w:r>
            <w:r>
              <w:rPr>
                <w:rFonts w:eastAsia="仿宋_GB2312"/>
                <w:color w:val="auto"/>
                <w:kern w:val="0"/>
                <w:sz w:val="18"/>
                <w:szCs w:val="18"/>
                <w:highlight w:val="none"/>
              </w:rPr>
              <w:t>③是否符合项目预算批复或合同规定的用途；</w:t>
            </w:r>
            <w:r>
              <w:rPr>
                <w:rFonts w:eastAsia="仿宋_GB2312"/>
                <w:color w:val="auto"/>
                <w:kern w:val="0"/>
                <w:sz w:val="18"/>
                <w:szCs w:val="18"/>
                <w:highlight w:val="none"/>
              </w:rPr>
              <w:br w:type="textWrapping"/>
            </w:r>
            <w:r>
              <w:rPr>
                <w:rFonts w:eastAsia="仿宋_GB2312"/>
                <w:color w:val="auto"/>
                <w:kern w:val="0"/>
                <w:sz w:val="18"/>
                <w:szCs w:val="18"/>
                <w:highlight w:val="none"/>
              </w:rPr>
              <w:t>④是否存在截留、挤占、挪用、虚列支出等情况。</w:t>
            </w:r>
          </w:p>
        </w:tc>
        <w:tc>
          <w:tcPr>
            <w:tcW w:w="514" w:type="pct"/>
            <w:shd w:val="clear" w:color="000000" w:fill="FFFFFF"/>
            <w:vAlign w:val="center"/>
          </w:tcPr>
          <w:p w14:paraId="76E21405">
            <w:pPr>
              <w:widowControl/>
              <w:shd w:val="clear" w:fill="FFFFFF" w:themeFill="background1"/>
              <w:spacing w:line="0" w:lineRule="atLeast"/>
              <w:jc w:val="center"/>
              <w:rPr>
                <w:rFonts w:eastAsia="仿宋_GB2312"/>
                <w:b/>
                <w:bCs/>
                <w:color w:val="auto"/>
                <w:kern w:val="0"/>
                <w:sz w:val="18"/>
                <w:szCs w:val="18"/>
                <w:highlight w:val="none"/>
              </w:rPr>
            </w:pPr>
            <w:r>
              <w:rPr>
                <w:rFonts w:eastAsia="仿宋_GB2312"/>
                <w:b/>
                <w:bCs/>
                <w:color w:val="auto"/>
                <w:kern w:val="0"/>
                <w:sz w:val="18"/>
                <w:szCs w:val="18"/>
                <w:highlight w:val="none"/>
              </w:rPr>
              <w:t>4</w:t>
            </w:r>
          </w:p>
        </w:tc>
        <w:tc>
          <w:tcPr>
            <w:tcW w:w="538" w:type="pct"/>
            <w:shd w:val="clear" w:color="000000" w:fill="FFFFFF"/>
            <w:vAlign w:val="center"/>
          </w:tcPr>
          <w:p w14:paraId="76EC9235">
            <w:pPr>
              <w:widowControl/>
              <w:shd w:val="clear" w:fill="FFFFFF" w:themeFill="background1"/>
              <w:spacing w:line="0" w:lineRule="atLeast"/>
              <w:jc w:val="center"/>
              <w:rPr>
                <w:rFonts w:eastAsia="仿宋_GB2312"/>
                <w:b/>
                <w:bCs/>
                <w:color w:val="auto"/>
                <w:kern w:val="0"/>
                <w:sz w:val="18"/>
                <w:szCs w:val="18"/>
                <w:highlight w:val="none"/>
              </w:rPr>
            </w:pPr>
            <w:r>
              <w:rPr>
                <w:rFonts w:hint="eastAsia" w:eastAsia="仿宋_GB2312"/>
                <w:b/>
                <w:bCs/>
                <w:color w:val="auto"/>
                <w:kern w:val="0"/>
                <w:sz w:val="18"/>
                <w:szCs w:val="18"/>
                <w:highlight w:val="none"/>
              </w:rPr>
              <w:t>4</w:t>
            </w:r>
          </w:p>
        </w:tc>
      </w:tr>
      <w:tr w14:paraId="72D5CB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395" w:type="pct"/>
            <w:vMerge w:val="continue"/>
            <w:shd w:val="clear" w:color="auto" w:fill="FFFFFF"/>
            <w:vAlign w:val="center"/>
          </w:tcPr>
          <w:p w14:paraId="56D803AF">
            <w:pPr>
              <w:shd w:val="clear" w:fill="FFFFFF" w:themeFill="background1"/>
              <w:spacing w:line="0" w:lineRule="atLeast"/>
              <w:jc w:val="center"/>
              <w:rPr>
                <w:rFonts w:eastAsia="仿宋_GB2312"/>
                <w:color w:val="auto"/>
                <w:kern w:val="0"/>
                <w:sz w:val="18"/>
                <w:szCs w:val="18"/>
                <w:highlight w:val="none"/>
              </w:rPr>
            </w:pPr>
          </w:p>
        </w:tc>
        <w:tc>
          <w:tcPr>
            <w:tcW w:w="394" w:type="pct"/>
            <w:vMerge w:val="restart"/>
            <w:shd w:val="clear" w:color="auto" w:fill="FFFFFF"/>
            <w:vAlign w:val="center"/>
          </w:tcPr>
          <w:p w14:paraId="3FAEA53B">
            <w:pPr>
              <w:widowControl/>
              <w:shd w:val="clear" w:fill="FFFFFF" w:themeFill="background1"/>
              <w:spacing w:line="0" w:lineRule="atLeast"/>
              <w:jc w:val="center"/>
              <w:rPr>
                <w:rFonts w:eastAsia="仿宋_GB2312"/>
                <w:color w:val="auto"/>
                <w:kern w:val="0"/>
                <w:sz w:val="18"/>
                <w:szCs w:val="18"/>
                <w:highlight w:val="none"/>
              </w:rPr>
            </w:pPr>
            <w:r>
              <w:rPr>
                <w:rFonts w:eastAsia="仿宋_GB2312"/>
                <w:color w:val="auto"/>
                <w:kern w:val="0"/>
                <w:sz w:val="18"/>
                <w:szCs w:val="18"/>
                <w:highlight w:val="none"/>
              </w:rPr>
              <w:t>组织实施</w:t>
            </w:r>
          </w:p>
          <w:p w14:paraId="0A825876">
            <w:pPr>
              <w:shd w:val="clear" w:fill="FFFFFF" w:themeFill="background1"/>
              <w:spacing w:line="0" w:lineRule="atLeast"/>
              <w:jc w:val="center"/>
              <w:rPr>
                <w:rFonts w:eastAsia="仿宋_GB2312"/>
                <w:color w:val="auto"/>
                <w:kern w:val="0"/>
                <w:sz w:val="18"/>
                <w:szCs w:val="18"/>
                <w:highlight w:val="none"/>
              </w:rPr>
            </w:pPr>
            <w:r>
              <w:rPr>
                <w:rFonts w:eastAsia="仿宋_GB2312"/>
                <w:color w:val="auto"/>
                <w:kern w:val="0"/>
                <w:sz w:val="18"/>
                <w:szCs w:val="18"/>
                <w:highlight w:val="none"/>
              </w:rPr>
              <w:t>　</w:t>
            </w:r>
          </w:p>
        </w:tc>
        <w:tc>
          <w:tcPr>
            <w:tcW w:w="422" w:type="pct"/>
            <w:shd w:val="clear" w:color="auto" w:fill="FFFFFF"/>
            <w:vAlign w:val="center"/>
          </w:tcPr>
          <w:p w14:paraId="4C3BC0C9">
            <w:pPr>
              <w:widowControl/>
              <w:shd w:val="clear" w:fill="FFFFFF" w:themeFill="background1"/>
              <w:spacing w:line="0" w:lineRule="atLeast"/>
              <w:jc w:val="center"/>
              <w:rPr>
                <w:rFonts w:eastAsia="仿宋_GB2312"/>
                <w:color w:val="auto"/>
                <w:kern w:val="0"/>
                <w:sz w:val="18"/>
                <w:szCs w:val="18"/>
                <w:highlight w:val="none"/>
              </w:rPr>
            </w:pPr>
            <w:r>
              <w:rPr>
                <w:rFonts w:eastAsia="仿宋_GB2312"/>
                <w:color w:val="auto"/>
                <w:kern w:val="0"/>
                <w:sz w:val="18"/>
                <w:szCs w:val="18"/>
                <w:highlight w:val="none"/>
              </w:rPr>
              <w:t>管理制度</w:t>
            </w:r>
          </w:p>
          <w:p w14:paraId="5A6FF45F">
            <w:pPr>
              <w:widowControl/>
              <w:shd w:val="clear" w:fill="FFFFFF" w:themeFill="background1"/>
              <w:spacing w:line="0" w:lineRule="atLeast"/>
              <w:jc w:val="center"/>
              <w:rPr>
                <w:rFonts w:eastAsia="仿宋_GB2312"/>
                <w:color w:val="auto"/>
                <w:kern w:val="0"/>
                <w:sz w:val="18"/>
                <w:szCs w:val="18"/>
                <w:highlight w:val="none"/>
              </w:rPr>
            </w:pPr>
            <w:r>
              <w:rPr>
                <w:rFonts w:eastAsia="仿宋_GB2312"/>
                <w:color w:val="auto"/>
                <w:kern w:val="0"/>
                <w:sz w:val="18"/>
                <w:szCs w:val="18"/>
                <w:highlight w:val="none"/>
              </w:rPr>
              <w:t>健全性</w:t>
            </w:r>
          </w:p>
        </w:tc>
        <w:tc>
          <w:tcPr>
            <w:tcW w:w="680" w:type="pct"/>
            <w:shd w:val="clear" w:color="000000" w:fill="FFFFFF"/>
            <w:vAlign w:val="center"/>
          </w:tcPr>
          <w:p w14:paraId="32A3A9DE">
            <w:pPr>
              <w:widowControl/>
              <w:shd w:val="clear" w:fill="FFFFFF" w:themeFill="background1"/>
              <w:spacing w:line="0" w:lineRule="atLeast"/>
              <w:rPr>
                <w:rFonts w:eastAsia="仿宋_GB2312"/>
                <w:color w:val="auto"/>
                <w:kern w:val="0"/>
                <w:sz w:val="18"/>
                <w:szCs w:val="18"/>
                <w:highlight w:val="none"/>
              </w:rPr>
            </w:pPr>
            <w:r>
              <w:rPr>
                <w:rFonts w:eastAsia="仿宋_GB2312"/>
                <w:color w:val="auto"/>
                <w:kern w:val="0"/>
                <w:sz w:val="18"/>
                <w:szCs w:val="18"/>
                <w:highlight w:val="none"/>
              </w:rPr>
              <w:t>项目实施单位的财务和业务管理制度是否健全，用以反映和考核财务和业务管理制度对项目顺利实施的保障情况。</w:t>
            </w:r>
          </w:p>
        </w:tc>
        <w:tc>
          <w:tcPr>
            <w:tcW w:w="2056" w:type="pct"/>
            <w:shd w:val="clear" w:color="000000" w:fill="FFFFFF"/>
            <w:vAlign w:val="center"/>
          </w:tcPr>
          <w:p w14:paraId="0154DD59">
            <w:pPr>
              <w:widowControl/>
              <w:shd w:val="clear" w:fill="FFFFFF" w:themeFill="background1"/>
              <w:spacing w:line="0" w:lineRule="atLeast"/>
              <w:rPr>
                <w:rFonts w:eastAsia="仿宋_GB2312"/>
                <w:color w:val="auto"/>
                <w:kern w:val="0"/>
                <w:sz w:val="18"/>
                <w:szCs w:val="18"/>
                <w:highlight w:val="none"/>
              </w:rPr>
            </w:pPr>
            <w:r>
              <w:rPr>
                <w:rFonts w:eastAsia="仿宋_GB2312"/>
                <w:color w:val="auto"/>
                <w:kern w:val="0"/>
                <w:sz w:val="18"/>
                <w:szCs w:val="18"/>
                <w:highlight w:val="none"/>
              </w:rPr>
              <w:t>评价要点：</w:t>
            </w:r>
            <w:r>
              <w:rPr>
                <w:rFonts w:eastAsia="仿宋_GB2312"/>
                <w:color w:val="auto"/>
                <w:kern w:val="0"/>
                <w:sz w:val="18"/>
                <w:szCs w:val="18"/>
                <w:highlight w:val="none"/>
              </w:rPr>
              <w:br w:type="textWrapping"/>
            </w:r>
            <w:r>
              <w:rPr>
                <w:rFonts w:eastAsia="仿宋_GB2312"/>
                <w:color w:val="auto"/>
                <w:kern w:val="0"/>
                <w:sz w:val="18"/>
                <w:szCs w:val="18"/>
                <w:highlight w:val="none"/>
              </w:rPr>
              <w:t>①是否已制定或具有相应的财务和业务管理制度；</w:t>
            </w:r>
            <w:r>
              <w:rPr>
                <w:rFonts w:eastAsia="仿宋_GB2312"/>
                <w:color w:val="auto"/>
                <w:kern w:val="0"/>
                <w:sz w:val="18"/>
                <w:szCs w:val="18"/>
                <w:highlight w:val="none"/>
              </w:rPr>
              <w:br w:type="textWrapping"/>
            </w:r>
            <w:r>
              <w:rPr>
                <w:rFonts w:eastAsia="仿宋_GB2312"/>
                <w:color w:val="auto"/>
                <w:kern w:val="0"/>
                <w:sz w:val="18"/>
                <w:szCs w:val="18"/>
                <w:highlight w:val="none"/>
              </w:rPr>
              <w:t>②财务和业务管理制度是否合法、合规、完整。</w:t>
            </w:r>
          </w:p>
        </w:tc>
        <w:tc>
          <w:tcPr>
            <w:tcW w:w="514" w:type="pct"/>
            <w:shd w:val="clear" w:color="000000" w:fill="FFFFFF"/>
            <w:vAlign w:val="center"/>
          </w:tcPr>
          <w:p w14:paraId="16631E58">
            <w:pPr>
              <w:widowControl/>
              <w:shd w:val="clear" w:fill="FFFFFF" w:themeFill="background1"/>
              <w:spacing w:line="0" w:lineRule="atLeast"/>
              <w:jc w:val="center"/>
              <w:rPr>
                <w:rFonts w:eastAsia="仿宋_GB2312"/>
                <w:b/>
                <w:bCs/>
                <w:color w:val="auto"/>
                <w:kern w:val="0"/>
                <w:sz w:val="18"/>
                <w:szCs w:val="18"/>
                <w:highlight w:val="none"/>
              </w:rPr>
            </w:pPr>
            <w:r>
              <w:rPr>
                <w:rFonts w:eastAsia="仿宋_GB2312"/>
                <w:b/>
                <w:bCs/>
                <w:color w:val="auto"/>
                <w:kern w:val="0"/>
                <w:sz w:val="18"/>
                <w:szCs w:val="18"/>
                <w:highlight w:val="none"/>
              </w:rPr>
              <w:t>4</w:t>
            </w:r>
          </w:p>
        </w:tc>
        <w:tc>
          <w:tcPr>
            <w:tcW w:w="538" w:type="pct"/>
            <w:shd w:val="clear" w:color="000000" w:fill="FFFFFF"/>
            <w:vAlign w:val="center"/>
          </w:tcPr>
          <w:p w14:paraId="17FE3B9A">
            <w:pPr>
              <w:widowControl/>
              <w:shd w:val="clear" w:fill="FFFFFF" w:themeFill="background1"/>
              <w:spacing w:line="0" w:lineRule="atLeast"/>
              <w:jc w:val="center"/>
              <w:rPr>
                <w:rFonts w:eastAsia="仿宋_GB2312"/>
                <w:b/>
                <w:bCs/>
                <w:color w:val="auto"/>
                <w:kern w:val="0"/>
                <w:sz w:val="18"/>
                <w:szCs w:val="18"/>
                <w:highlight w:val="none"/>
              </w:rPr>
            </w:pPr>
            <w:r>
              <w:rPr>
                <w:rFonts w:hint="eastAsia" w:eastAsia="仿宋_GB2312"/>
                <w:b/>
                <w:bCs/>
                <w:color w:val="auto"/>
                <w:kern w:val="0"/>
                <w:sz w:val="18"/>
                <w:szCs w:val="18"/>
                <w:highlight w:val="none"/>
              </w:rPr>
              <w:t>4</w:t>
            </w:r>
          </w:p>
        </w:tc>
      </w:tr>
      <w:tr w14:paraId="6B0593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395" w:type="pct"/>
            <w:vMerge w:val="continue"/>
            <w:shd w:val="clear" w:color="auto" w:fill="FFFFFF"/>
            <w:vAlign w:val="center"/>
          </w:tcPr>
          <w:p w14:paraId="2FC30CFC">
            <w:pPr>
              <w:widowControl/>
              <w:shd w:val="clear" w:fill="FFFFFF" w:themeFill="background1"/>
              <w:spacing w:line="0" w:lineRule="atLeast"/>
              <w:jc w:val="center"/>
              <w:rPr>
                <w:rFonts w:eastAsia="仿宋_GB2312"/>
                <w:color w:val="auto"/>
                <w:kern w:val="0"/>
                <w:sz w:val="18"/>
                <w:szCs w:val="18"/>
                <w:highlight w:val="none"/>
              </w:rPr>
            </w:pPr>
          </w:p>
        </w:tc>
        <w:tc>
          <w:tcPr>
            <w:tcW w:w="394" w:type="pct"/>
            <w:vMerge w:val="continue"/>
            <w:shd w:val="clear" w:color="auto" w:fill="FFFFFF"/>
            <w:vAlign w:val="center"/>
          </w:tcPr>
          <w:p w14:paraId="452C1C1C">
            <w:pPr>
              <w:widowControl/>
              <w:shd w:val="clear" w:fill="FFFFFF" w:themeFill="background1"/>
              <w:spacing w:line="0" w:lineRule="atLeast"/>
              <w:jc w:val="center"/>
              <w:rPr>
                <w:rFonts w:eastAsia="仿宋_GB2312"/>
                <w:color w:val="auto"/>
                <w:kern w:val="0"/>
                <w:sz w:val="18"/>
                <w:szCs w:val="18"/>
                <w:highlight w:val="none"/>
              </w:rPr>
            </w:pPr>
          </w:p>
        </w:tc>
        <w:tc>
          <w:tcPr>
            <w:tcW w:w="422" w:type="pct"/>
            <w:shd w:val="clear" w:color="auto" w:fill="FFFFFF"/>
            <w:vAlign w:val="center"/>
          </w:tcPr>
          <w:p w14:paraId="6D6A28B2">
            <w:pPr>
              <w:widowControl/>
              <w:shd w:val="clear" w:fill="FFFFFF" w:themeFill="background1"/>
              <w:spacing w:line="0" w:lineRule="atLeast"/>
              <w:jc w:val="center"/>
              <w:rPr>
                <w:rFonts w:eastAsia="仿宋_GB2312"/>
                <w:color w:val="auto"/>
                <w:kern w:val="0"/>
                <w:sz w:val="18"/>
                <w:szCs w:val="18"/>
                <w:highlight w:val="none"/>
              </w:rPr>
            </w:pPr>
            <w:r>
              <w:rPr>
                <w:rFonts w:eastAsia="仿宋_GB2312"/>
                <w:color w:val="auto"/>
                <w:kern w:val="0"/>
                <w:sz w:val="18"/>
                <w:szCs w:val="18"/>
                <w:highlight w:val="none"/>
              </w:rPr>
              <w:t>制度执行</w:t>
            </w:r>
          </w:p>
          <w:p w14:paraId="422E15F5">
            <w:pPr>
              <w:widowControl/>
              <w:shd w:val="clear" w:fill="FFFFFF" w:themeFill="background1"/>
              <w:spacing w:line="0" w:lineRule="atLeast"/>
              <w:jc w:val="center"/>
              <w:rPr>
                <w:rFonts w:eastAsia="仿宋_GB2312"/>
                <w:color w:val="auto"/>
                <w:kern w:val="0"/>
                <w:sz w:val="18"/>
                <w:szCs w:val="18"/>
                <w:highlight w:val="none"/>
              </w:rPr>
            </w:pPr>
            <w:r>
              <w:rPr>
                <w:rFonts w:eastAsia="仿宋_GB2312"/>
                <w:color w:val="auto"/>
                <w:kern w:val="0"/>
                <w:sz w:val="18"/>
                <w:szCs w:val="18"/>
                <w:highlight w:val="none"/>
              </w:rPr>
              <w:t>有效性</w:t>
            </w:r>
          </w:p>
        </w:tc>
        <w:tc>
          <w:tcPr>
            <w:tcW w:w="680" w:type="pct"/>
            <w:shd w:val="clear" w:color="000000" w:fill="FFFFFF"/>
            <w:vAlign w:val="center"/>
          </w:tcPr>
          <w:p w14:paraId="4FED3770">
            <w:pPr>
              <w:widowControl/>
              <w:shd w:val="clear" w:fill="FFFFFF" w:themeFill="background1"/>
              <w:spacing w:line="0" w:lineRule="atLeast"/>
              <w:rPr>
                <w:rFonts w:eastAsia="仿宋_GB2312"/>
                <w:color w:val="auto"/>
                <w:kern w:val="0"/>
                <w:sz w:val="18"/>
                <w:szCs w:val="18"/>
                <w:highlight w:val="none"/>
              </w:rPr>
            </w:pPr>
            <w:r>
              <w:rPr>
                <w:rFonts w:eastAsia="仿宋_GB2312"/>
                <w:color w:val="auto"/>
                <w:kern w:val="0"/>
                <w:sz w:val="18"/>
                <w:szCs w:val="18"/>
                <w:highlight w:val="none"/>
              </w:rPr>
              <w:t>项目实施是否符合相关管理规定，用以反映和考核相关管理制度的有效执行情况。</w:t>
            </w:r>
          </w:p>
        </w:tc>
        <w:tc>
          <w:tcPr>
            <w:tcW w:w="2056" w:type="pct"/>
            <w:shd w:val="clear" w:color="000000" w:fill="FFFFFF"/>
            <w:vAlign w:val="center"/>
          </w:tcPr>
          <w:p w14:paraId="68941BD4">
            <w:pPr>
              <w:widowControl/>
              <w:shd w:val="clear" w:fill="FFFFFF" w:themeFill="background1"/>
              <w:spacing w:line="0" w:lineRule="atLeast"/>
              <w:rPr>
                <w:rFonts w:eastAsia="仿宋_GB2312"/>
                <w:color w:val="auto"/>
                <w:kern w:val="0"/>
                <w:sz w:val="18"/>
                <w:szCs w:val="18"/>
                <w:highlight w:val="none"/>
              </w:rPr>
            </w:pPr>
            <w:r>
              <w:rPr>
                <w:rFonts w:eastAsia="仿宋_GB2312"/>
                <w:color w:val="auto"/>
                <w:kern w:val="0"/>
                <w:sz w:val="18"/>
                <w:szCs w:val="18"/>
                <w:highlight w:val="none"/>
              </w:rPr>
              <w:t>评价要点：</w:t>
            </w:r>
            <w:r>
              <w:rPr>
                <w:rFonts w:eastAsia="仿宋_GB2312"/>
                <w:color w:val="auto"/>
                <w:kern w:val="0"/>
                <w:sz w:val="18"/>
                <w:szCs w:val="18"/>
                <w:highlight w:val="none"/>
              </w:rPr>
              <w:br w:type="textWrapping"/>
            </w:r>
            <w:r>
              <w:rPr>
                <w:rFonts w:eastAsia="仿宋_GB2312"/>
                <w:color w:val="auto"/>
                <w:kern w:val="0"/>
                <w:sz w:val="18"/>
                <w:szCs w:val="18"/>
                <w:highlight w:val="none"/>
              </w:rPr>
              <w:t>①是否遵守相关法律法规和相关管理规定；</w:t>
            </w:r>
            <w:r>
              <w:rPr>
                <w:rFonts w:eastAsia="仿宋_GB2312"/>
                <w:color w:val="auto"/>
                <w:kern w:val="0"/>
                <w:sz w:val="18"/>
                <w:szCs w:val="18"/>
                <w:highlight w:val="none"/>
              </w:rPr>
              <w:br w:type="textWrapping"/>
            </w:r>
            <w:r>
              <w:rPr>
                <w:rFonts w:eastAsia="仿宋_GB2312"/>
                <w:color w:val="auto"/>
                <w:kern w:val="0"/>
                <w:sz w:val="18"/>
                <w:szCs w:val="18"/>
                <w:highlight w:val="none"/>
              </w:rPr>
              <w:t>②项目调整及支出调整手续是否完备；</w:t>
            </w:r>
            <w:r>
              <w:rPr>
                <w:rFonts w:eastAsia="仿宋_GB2312"/>
                <w:color w:val="auto"/>
                <w:kern w:val="0"/>
                <w:sz w:val="18"/>
                <w:szCs w:val="18"/>
                <w:highlight w:val="none"/>
              </w:rPr>
              <w:br w:type="textWrapping"/>
            </w:r>
            <w:r>
              <w:rPr>
                <w:rFonts w:eastAsia="仿宋_GB2312"/>
                <w:color w:val="auto"/>
                <w:kern w:val="0"/>
                <w:sz w:val="18"/>
                <w:szCs w:val="18"/>
                <w:highlight w:val="none"/>
              </w:rPr>
              <w:t>③项目合同书、验收报告、技术鉴定等资料是否齐全并及时归档；</w:t>
            </w:r>
            <w:r>
              <w:rPr>
                <w:rFonts w:eastAsia="仿宋_GB2312"/>
                <w:color w:val="auto"/>
                <w:kern w:val="0"/>
                <w:sz w:val="18"/>
                <w:szCs w:val="18"/>
                <w:highlight w:val="none"/>
              </w:rPr>
              <w:br w:type="textWrapping"/>
            </w:r>
            <w:r>
              <w:rPr>
                <w:rFonts w:eastAsia="仿宋_GB2312"/>
                <w:color w:val="auto"/>
                <w:kern w:val="0"/>
                <w:sz w:val="18"/>
                <w:szCs w:val="18"/>
                <w:highlight w:val="none"/>
              </w:rPr>
              <w:t>④项目实施的人员条件、场地设备、信息支撑等是否落实到位。</w:t>
            </w:r>
          </w:p>
        </w:tc>
        <w:tc>
          <w:tcPr>
            <w:tcW w:w="514" w:type="pct"/>
            <w:shd w:val="clear" w:color="000000" w:fill="FFFFFF"/>
            <w:vAlign w:val="center"/>
          </w:tcPr>
          <w:p w14:paraId="164ECD37">
            <w:pPr>
              <w:widowControl/>
              <w:shd w:val="clear" w:fill="FFFFFF" w:themeFill="background1"/>
              <w:spacing w:line="0" w:lineRule="atLeast"/>
              <w:jc w:val="center"/>
              <w:rPr>
                <w:rFonts w:eastAsia="仿宋_GB2312"/>
                <w:b/>
                <w:bCs/>
                <w:color w:val="auto"/>
                <w:kern w:val="0"/>
                <w:sz w:val="18"/>
                <w:szCs w:val="18"/>
                <w:highlight w:val="none"/>
              </w:rPr>
            </w:pPr>
            <w:r>
              <w:rPr>
                <w:rFonts w:eastAsia="仿宋_GB2312"/>
                <w:b/>
                <w:bCs/>
                <w:color w:val="auto"/>
                <w:kern w:val="0"/>
                <w:sz w:val="18"/>
                <w:szCs w:val="18"/>
                <w:highlight w:val="none"/>
              </w:rPr>
              <w:t>4</w:t>
            </w:r>
          </w:p>
        </w:tc>
        <w:tc>
          <w:tcPr>
            <w:tcW w:w="538" w:type="pct"/>
            <w:shd w:val="clear" w:color="000000" w:fill="FFFFFF"/>
            <w:vAlign w:val="center"/>
          </w:tcPr>
          <w:p w14:paraId="5970DA8A">
            <w:pPr>
              <w:widowControl/>
              <w:shd w:val="clear" w:fill="FFFFFF" w:themeFill="background1"/>
              <w:spacing w:line="0" w:lineRule="atLeast"/>
              <w:jc w:val="center"/>
              <w:rPr>
                <w:rFonts w:eastAsia="仿宋_GB2312"/>
                <w:b/>
                <w:bCs/>
                <w:color w:val="auto"/>
                <w:kern w:val="0"/>
                <w:sz w:val="18"/>
                <w:szCs w:val="18"/>
                <w:highlight w:val="none"/>
              </w:rPr>
            </w:pPr>
            <w:r>
              <w:rPr>
                <w:rFonts w:hint="eastAsia" w:eastAsia="仿宋_GB2312"/>
                <w:b/>
                <w:bCs/>
                <w:color w:val="auto"/>
                <w:kern w:val="0"/>
                <w:sz w:val="18"/>
                <w:szCs w:val="18"/>
                <w:highlight w:val="none"/>
              </w:rPr>
              <w:t>4</w:t>
            </w:r>
          </w:p>
        </w:tc>
      </w:tr>
      <w:tr w14:paraId="2F6414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395" w:type="pct"/>
            <w:vMerge w:val="restart"/>
            <w:shd w:val="clear" w:color="auto" w:fill="FFFFFF"/>
            <w:vAlign w:val="center"/>
          </w:tcPr>
          <w:p w14:paraId="6F688CAA">
            <w:pPr>
              <w:widowControl/>
              <w:shd w:val="clear" w:fill="FFFFFF" w:themeFill="background1"/>
              <w:spacing w:line="0" w:lineRule="atLeast"/>
              <w:jc w:val="center"/>
              <w:rPr>
                <w:rFonts w:eastAsia="仿宋_GB2312"/>
                <w:color w:val="auto"/>
                <w:kern w:val="0"/>
                <w:sz w:val="18"/>
                <w:szCs w:val="18"/>
                <w:highlight w:val="none"/>
              </w:rPr>
            </w:pPr>
            <w:r>
              <w:rPr>
                <w:rFonts w:eastAsia="仿宋_GB2312"/>
                <w:color w:val="auto"/>
                <w:kern w:val="0"/>
                <w:sz w:val="18"/>
                <w:szCs w:val="18"/>
                <w:highlight w:val="none"/>
              </w:rPr>
              <w:t>产出</w:t>
            </w:r>
          </w:p>
        </w:tc>
        <w:tc>
          <w:tcPr>
            <w:tcW w:w="394" w:type="pct"/>
            <w:shd w:val="clear" w:color="auto" w:fill="FFFFFF"/>
            <w:vAlign w:val="center"/>
          </w:tcPr>
          <w:p w14:paraId="1DC0C783">
            <w:pPr>
              <w:widowControl/>
              <w:shd w:val="clear" w:fill="FFFFFF" w:themeFill="background1"/>
              <w:spacing w:line="0" w:lineRule="atLeast"/>
              <w:jc w:val="center"/>
              <w:rPr>
                <w:rFonts w:eastAsia="仿宋_GB2312"/>
                <w:color w:val="auto"/>
                <w:kern w:val="0"/>
                <w:sz w:val="18"/>
                <w:szCs w:val="18"/>
                <w:highlight w:val="none"/>
              </w:rPr>
            </w:pPr>
            <w:r>
              <w:rPr>
                <w:rFonts w:eastAsia="仿宋_GB2312"/>
                <w:color w:val="auto"/>
                <w:kern w:val="0"/>
                <w:sz w:val="18"/>
                <w:szCs w:val="18"/>
                <w:highlight w:val="none"/>
              </w:rPr>
              <w:t>产出数量</w:t>
            </w:r>
          </w:p>
        </w:tc>
        <w:tc>
          <w:tcPr>
            <w:tcW w:w="422" w:type="pct"/>
            <w:shd w:val="clear" w:color="auto" w:fill="FFFFFF"/>
            <w:vAlign w:val="center"/>
          </w:tcPr>
          <w:p w14:paraId="2B04C37F">
            <w:pPr>
              <w:widowControl/>
              <w:shd w:val="clear" w:fill="FFFFFF" w:themeFill="background1"/>
              <w:spacing w:line="0" w:lineRule="atLeast"/>
              <w:jc w:val="center"/>
              <w:rPr>
                <w:rFonts w:eastAsia="仿宋_GB2312"/>
                <w:color w:val="auto"/>
                <w:kern w:val="0"/>
                <w:sz w:val="18"/>
                <w:szCs w:val="18"/>
                <w:highlight w:val="none"/>
              </w:rPr>
            </w:pPr>
            <w:r>
              <w:rPr>
                <w:rFonts w:eastAsia="仿宋_GB2312"/>
                <w:color w:val="auto"/>
                <w:kern w:val="0"/>
                <w:sz w:val="18"/>
                <w:szCs w:val="18"/>
                <w:highlight w:val="none"/>
              </w:rPr>
              <w:t>实际完成率</w:t>
            </w:r>
          </w:p>
        </w:tc>
        <w:tc>
          <w:tcPr>
            <w:tcW w:w="680" w:type="pct"/>
            <w:shd w:val="clear" w:color="000000" w:fill="FFFFFF"/>
            <w:vAlign w:val="center"/>
          </w:tcPr>
          <w:p w14:paraId="6C1DF09C">
            <w:pPr>
              <w:widowControl/>
              <w:shd w:val="clear" w:fill="FFFFFF" w:themeFill="background1"/>
              <w:spacing w:line="0" w:lineRule="atLeast"/>
              <w:rPr>
                <w:rFonts w:eastAsia="仿宋_GB2312"/>
                <w:color w:val="auto"/>
                <w:kern w:val="0"/>
                <w:sz w:val="18"/>
                <w:szCs w:val="18"/>
                <w:highlight w:val="none"/>
              </w:rPr>
            </w:pPr>
            <w:r>
              <w:rPr>
                <w:rFonts w:eastAsia="仿宋_GB2312"/>
                <w:color w:val="auto"/>
                <w:kern w:val="0"/>
                <w:sz w:val="18"/>
                <w:szCs w:val="18"/>
                <w:highlight w:val="none"/>
              </w:rPr>
              <w:t>项目实施的实际产出数与计划产出数的比率，用以反映和考核项目产出数量目标的实现程度。</w:t>
            </w:r>
          </w:p>
        </w:tc>
        <w:tc>
          <w:tcPr>
            <w:tcW w:w="2056" w:type="pct"/>
            <w:shd w:val="clear" w:color="000000" w:fill="FFFFFF"/>
            <w:vAlign w:val="center"/>
          </w:tcPr>
          <w:p w14:paraId="1DDBDD0E">
            <w:pPr>
              <w:widowControl/>
              <w:shd w:val="clear" w:fill="FFFFFF" w:themeFill="background1"/>
              <w:spacing w:line="0" w:lineRule="atLeast"/>
              <w:rPr>
                <w:rFonts w:eastAsia="仿宋_GB2312"/>
                <w:color w:val="auto"/>
                <w:kern w:val="0"/>
                <w:sz w:val="18"/>
                <w:szCs w:val="18"/>
                <w:highlight w:val="none"/>
              </w:rPr>
            </w:pPr>
            <w:r>
              <w:rPr>
                <w:rFonts w:eastAsia="仿宋_GB2312"/>
                <w:color w:val="auto"/>
                <w:kern w:val="0"/>
                <w:sz w:val="18"/>
                <w:szCs w:val="18"/>
                <w:highlight w:val="none"/>
              </w:rPr>
              <w:t>实际完成率=（实际产出数/计划产出数）×100%。</w:t>
            </w:r>
            <w:r>
              <w:rPr>
                <w:rFonts w:eastAsia="仿宋_GB2312"/>
                <w:color w:val="auto"/>
                <w:kern w:val="0"/>
                <w:sz w:val="18"/>
                <w:szCs w:val="18"/>
                <w:highlight w:val="none"/>
              </w:rPr>
              <w:br w:type="textWrapping"/>
            </w:r>
            <w:r>
              <w:rPr>
                <w:rFonts w:eastAsia="仿宋_GB2312"/>
                <w:color w:val="auto"/>
                <w:kern w:val="0"/>
                <w:sz w:val="18"/>
                <w:szCs w:val="18"/>
                <w:highlight w:val="none"/>
              </w:rPr>
              <w:t>实际产出数：一定时期（本年度或项目期）内项目实际产出的产品或提供的服务数量。</w:t>
            </w:r>
            <w:r>
              <w:rPr>
                <w:rFonts w:eastAsia="仿宋_GB2312"/>
                <w:color w:val="auto"/>
                <w:kern w:val="0"/>
                <w:sz w:val="18"/>
                <w:szCs w:val="18"/>
                <w:highlight w:val="none"/>
              </w:rPr>
              <w:br w:type="textWrapping"/>
            </w:r>
            <w:r>
              <w:rPr>
                <w:rFonts w:eastAsia="仿宋_GB2312"/>
                <w:color w:val="auto"/>
                <w:kern w:val="0"/>
                <w:sz w:val="18"/>
                <w:szCs w:val="18"/>
                <w:highlight w:val="none"/>
              </w:rPr>
              <w:t>计划产出数：项目绩效目标确定的在一定时期（本年度或项目期）内计划产出的产品或提供的服务数量。</w:t>
            </w:r>
          </w:p>
        </w:tc>
        <w:tc>
          <w:tcPr>
            <w:tcW w:w="514" w:type="pct"/>
            <w:shd w:val="clear" w:color="000000" w:fill="FFFFFF"/>
            <w:vAlign w:val="center"/>
          </w:tcPr>
          <w:p w14:paraId="6E8D9606">
            <w:pPr>
              <w:widowControl/>
              <w:shd w:val="clear" w:fill="FFFFFF" w:themeFill="background1"/>
              <w:spacing w:line="0" w:lineRule="atLeast"/>
              <w:jc w:val="center"/>
              <w:rPr>
                <w:rFonts w:eastAsia="仿宋_GB2312"/>
                <w:b/>
                <w:bCs/>
                <w:color w:val="auto"/>
                <w:kern w:val="0"/>
                <w:sz w:val="18"/>
                <w:szCs w:val="18"/>
                <w:highlight w:val="none"/>
              </w:rPr>
            </w:pPr>
            <w:r>
              <w:rPr>
                <w:rFonts w:eastAsia="仿宋_GB2312"/>
                <w:b/>
                <w:bCs/>
                <w:color w:val="auto"/>
                <w:kern w:val="0"/>
                <w:sz w:val="18"/>
                <w:szCs w:val="18"/>
                <w:highlight w:val="none"/>
              </w:rPr>
              <w:t>10</w:t>
            </w:r>
          </w:p>
        </w:tc>
        <w:tc>
          <w:tcPr>
            <w:tcW w:w="538" w:type="pct"/>
            <w:shd w:val="clear" w:color="000000" w:fill="FFFFFF"/>
            <w:vAlign w:val="center"/>
          </w:tcPr>
          <w:p w14:paraId="331A2455">
            <w:pPr>
              <w:widowControl/>
              <w:shd w:val="clear" w:fill="FFFFFF" w:themeFill="background1"/>
              <w:spacing w:line="0" w:lineRule="atLeast"/>
              <w:jc w:val="center"/>
              <w:rPr>
                <w:rFonts w:eastAsia="仿宋_GB2312"/>
                <w:b/>
                <w:bCs/>
                <w:color w:val="auto"/>
                <w:kern w:val="0"/>
                <w:sz w:val="18"/>
                <w:szCs w:val="18"/>
                <w:highlight w:val="none"/>
              </w:rPr>
            </w:pPr>
            <w:r>
              <w:rPr>
                <w:rFonts w:hint="eastAsia" w:eastAsia="仿宋_GB2312"/>
                <w:b/>
                <w:bCs/>
                <w:color w:val="auto"/>
                <w:kern w:val="0"/>
                <w:sz w:val="18"/>
                <w:szCs w:val="18"/>
                <w:highlight w:val="none"/>
              </w:rPr>
              <w:t>10</w:t>
            </w:r>
          </w:p>
        </w:tc>
      </w:tr>
      <w:tr w14:paraId="6A6DE5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73" w:hRule="atLeast"/>
          <w:jc w:val="center"/>
        </w:trPr>
        <w:tc>
          <w:tcPr>
            <w:tcW w:w="395" w:type="pct"/>
            <w:vMerge w:val="continue"/>
            <w:shd w:val="clear" w:color="auto" w:fill="FFFFFF"/>
            <w:vAlign w:val="center"/>
          </w:tcPr>
          <w:p w14:paraId="0A098828">
            <w:pPr>
              <w:widowControl/>
              <w:shd w:val="clear" w:fill="FFFFFF" w:themeFill="background1"/>
              <w:spacing w:line="0" w:lineRule="atLeast"/>
              <w:jc w:val="center"/>
              <w:rPr>
                <w:rFonts w:eastAsia="仿宋_GB2312"/>
                <w:color w:val="auto"/>
                <w:kern w:val="0"/>
                <w:sz w:val="18"/>
                <w:szCs w:val="18"/>
                <w:highlight w:val="none"/>
              </w:rPr>
            </w:pPr>
          </w:p>
        </w:tc>
        <w:tc>
          <w:tcPr>
            <w:tcW w:w="394" w:type="pct"/>
            <w:shd w:val="clear" w:color="auto" w:fill="FFFFFF"/>
            <w:vAlign w:val="center"/>
          </w:tcPr>
          <w:p w14:paraId="6D2170DF">
            <w:pPr>
              <w:widowControl/>
              <w:shd w:val="clear" w:fill="FFFFFF" w:themeFill="background1"/>
              <w:spacing w:line="0" w:lineRule="atLeast"/>
              <w:jc w:val="center"/>
              <w:rPr>
                <w:rFonts w:eastAsia="仿宋_GB2312"/>
                <w:color w:val="auto"/>
                <w:kern w:val="0"/>
                <w:sz w:val="18"/>
                <w:szCs w:val="18"/>
                <w:highlight w:val="none"/>
              </w:rPr>
            </w:pPr>
            <w:r>
              <w:rPr>
                <w:rFonts w:eastAsia="仿宋_GB2312"/>
                <w:color w:val="auto"/>
                <w:kern w:val="0"/>
                <w:sz w:val="18"/>
                <w:szCs w:val="18"/>
                <w:highlight w:val="none"/>
              </w:rPr>
              <w:t>产出质量</w:t>
            </w:r>
          </w:p>
        </w:tc>
        <w:tc>
          <w:tcPr>
            <w:tcW w:w="422" w:type="pct"/>
            <w:shd w:val="clear" w:color="auto" w:fill="FFFFFF"/>
            <w:vAlign w:val="center"/>
          </w:tcPr>
          <w:p w14:paraId="2E17890E">
            <w:pPr>
              <w:widowControl/>
              <w:shd w:val="clear" w:fill="FFFFFF" w:themeFill="background1"/>
              <w:spacing w:line="0" w:lineRule="atLeast"/>
              <w:jc w:val="center"/>
              <w:rPr>
                <w:rFonts w:eastAsia="仿宋_GB2312"/>
                <w:color w:val="auto"/>
                <w:kern w:val="0"/>
                <w:sz w:val="18"/>
                <w:szCs w:val="18"/>
                <w:highlight w:val="none"/>
              </w:rPr>
            </w:pPr>
            <w:r>
              <w:rPr>
                <w:rFonts w:eastAsia="仿宋_GB2312"/>
                <w:color w:val="auto"/>
                <w:kern w:val="0"/>
                <w:sz w:val="18"/>
                <w:szCs w:val="18"/>
                <w:highlight w:val="none"/>
              </w:rPr>
              <w:t>质量达标率</w:t>
            </w:r>
          </w:p>
        </w:tc>
        <w:tc>
          <w:tcPr>
            <w:tcW w:w="680" w:type="pct"/>
            <w:shd w:val="clear" w:color="000000" w:fill="FFFFFF"/>
            <w:vAlign w:val="center"/>
          </w:tcPr>
          <w:p w14:paraId="0893A1A3">
            <w:pPr>
              <w:widowControl/>
              <w:shd w:val="clear" w:fill="FFFFFF" w:themeFill="background1"/>
              <w:spacing w:line="0" w:lineRule="atLeast"/>
              <w:rPr>
                <w:rFonts w:eastAsia="仿宋_GB2312"/>
                <w:color w:val="auto"/>
                <w:kern w:val="0"/>
                <w:sz w:val="18"/>
                <w:szCs w:val="18"/>
                <w:highlight w:val="none"/>
              </w:rPr>
            </w:pPr>
            <w:r>
              <w:rPr>
                <w:rFonts w:eastAsia="仿宋_GB2312"/>
                <w:color w:val="auto"/>
                <w:kern w:val="0"/>
                <w:sz w:val="18"/>
                <w:szCs w:val="18"/>
                <w:highlight w:val="none"/>
              </w:rPr>
              <w:t>项目完成的质量达标产出数与实际产出数的比率，用以反映和考核项目产出质量目标的实现程度。</w:t>
            </w:r>
          </w:p>
        </w:tc>
        <w:tc>
          <w:tcPr>
            <w:tcW w:w="2056" w:type="pct"/>
            <w:shd w:val="clear" w:color="000000" w:fill="FFFFFF"/>
            <w:vAlign w:val="center"/>
          </w:tcPr>
          <w:p w14:paraId="16E0796D">
            <w:pPr>
              <w:widowControl/>
              <w:shd w:val="clear" w:fill="FFFFFF" w:themeFill="background1"/>
              <w:spacing w:line="0" w:lineRule="atLeast"/>
              <w:rPr>
                <w:rFonts w:eastAsia="仿宋_GB2312"/>
                <w:color w:val="auto"/>
                <w:kern w:val="0"/>
                <w:sz w:val="18"/>
                <w:szCs w:val="18"/>
                <w:highlight w:val="none"/>
              </w:rPr>
            </w:pPr>
            <w:r>
              <w:rPr>
                <w:rFonts w:eastAsia="仿宋_GB2312"/>
                <w:color w:val="auto"/>
                <w:kern w:val="0"/>
                <w:sz w:val="18"/>
                <w:szCs w:val="18"/>
                <w:highlight w:val="none"/>
              </w:rPr>
              <w:t>质量达标率=（质量达标产出数/实际产出数）×100%。</w:t>
            </w:r>
          </w:p>
          <w:p w14:paraId="16B3BD72">
            <w:pPr>
              <w:widowControl/>
              <w:shd w:val="clear" w:fill="FFFFFF" w:themeFill="background1"/>
              <w:spacing w:line="0" w:lineRule="atLeast"/>
              <w:rPr>
                <w:rFonts w:eastAsia="仿宋_GB2312"/>
                <w:color w:val="auto"/>
                <w:kern w:val="0"/>
                <w:sz w:val="18"/>
                <w:szCs w:val="18"/>
                <w:highlight w:val="none"/>
              </w:rPr>
            </w:pPr>
            <w:r>
              <w:rPr>
                <w:rFonts w:eastAsia="仿宋_GB2312"/>
                <w:color w:val="auto"/>
                <w:kern w:val="0"/>
                <w:sz w:val="18"/>
                <w:szCs w:val="18"/>
                <w:highlight w:val="none"/>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14" w:type="pct"/>
            <w:shd w:val="clear" w:color="000000" w:fill="FFFFFF"/>
            <w:vAlign w:val="center"/>
          </w:tcPr>
          <w:p w14:paraId="5CD5A64C">
            <w:pPr>
              <w:widowControl/>
              <w:shd w:val="clear" w:fill="FFFFFF" w:themeFill="background1"/>
              <w:spacing w:line="0" w:lineRule="atLeast"/>
              <w:jc w:val="center"/>
              <w:rPr>
                <w:rFonts w:eastAsia="仿宋_GB2312"/>
                <w:b/>
                <w:bCs/>
                <w:color w:val="auto"/>
                <w:kern w:val="0"/>
                <w:sz w:val="18"/>
                <w:szCs w:val="18"/>
                <w:highlight w:val="none"/>
              </w:rPr>
            </w:pPr>
            <w:r>
              <w:rPr>
                <w:rFonts w:eastAsia="仿宋_GB2312"/>
                <w:b/>
                <w:bCs/>
                <w:color w:val="auto"/>
                <w:kern w:val="0"/>
                <w:sz w:val="18"/>
                <w:szCs w:val="18"/>
                <w:highlight w:val="none"/>
              </w:rPr>
              <w:t>10</w:t>
            </w:r>
          </w:p>
        </w:tc>
        <w:tc>
          <w:tcPr>
            <w:tcW w:w="538" w:type="pct"/>
            <w:shd w:val="clear" w:color="000000" w:fill="FFFFFF"/>
            <w:vAlign w:val="center"/>
          </w:tcPr>
          <w:p w14:paraId="36BE350B">
            <w:pPr>
              <w:widowControl/>
              <w:shd w:val="clear" w:fill="FFFFFF" w:themeFill="background1"/>
              <w:spacing w:line="0" w:lineRule="atLeast"/>
              <w:jc w:val="center"/>
              <w:rPr>
                <w:rFonts w:eastAsia="仿宋_GB2312"/>
                <w:b/>
                <w:bCs/>
                <w:color w:val="auto"/>
                <w:kern w:val="0"/>
                <w:sz w:val="18"/>
                <w:szCs w:val="18"/>
                <w:highlight w:val="none"/>
              </w:rPr>
            </w:pPr>
            <w:r>
              <w:rPr>
                <w:rFonts w:hint="eastAsia" w:eastAsia="仿宋_GB2312"/>
                <w:b/>
                <w:bCs/>
                <w:color w:val="auto"/>
                <w:kern w:val="0"/>
                <w:sz w:val="18"/>
                <w:szCs w:val="18"/>
                <w:highlight w:val="none"/>
              </w:rPr>
              <w:t>10</w:t>
            </w:r>
          </w:p>
        </w:tc>
      </w:tr>
      <w:tr w14:paraId="657A81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395" w:type="pct"/>
            <w:vMerge w:val="continue"/>
            <w:shd w:val="clear" w:color="auto" w:fill="FFFFFF"/>
            <w:vAlign w:val="center"/>
          </w:tcPr>
          <w:p w14:paraId="6984D46F">
            <w:pPr>
              <w:shd w:val="clear" w:fill="FFFFFF" w:themeFill="background1"/>
              <w:spacing w:line="0" w:lineRule="atLeast"/>
              <w:jc w:val="center"/>
              <w:rPr>
                <w:rFonts w:eastAsia="仿宋_GB2312"/>
                <w:color w:val="auto"/>
                <w:kern w:val="0"/>
                <w:sz w:val="18"/>
                <w:szCs w:val="18"/>
                <w:highlight w:val="none"/>
              </w:rPr>
            </w:pPr>
          </w:p>
        </w:tc>
        <w:tc>
          <w:tcPr>
            <w:tcW w:w="394" w:type="pct"/>
            <w:shd w:val="clear" w:color="auto" w:fill="FFFFFF"/>
            <w:vAlign w:val="center"/>
          </w:tcPr>
          <w:p w14:paraId="6BF9E855">
            <w:pPr>
              <w:shd w:val="clear" w:fill="FFFFFF" w:themeFill="background1"/>
              <w:spacing w:line="0" w:lineRule="atLeast"/>
              <w:jc w:val="center"/>
              <w:rPr>
                <w:rFonts w:eastAsia="仿宋_GB2312"/>
                <w:color w:val="auto"/>
                <w:kern w:val="0"/>
                <w:sz w:val="18"/>
                <w:szCs w:val="18"/>
                <w:highlight w:val="none"/>
              </w:rPr>
            </w:pPr>
            <w:r>
              <w:rPr>
                <w:rFonts w:eastAsia="仿宋_GB2312"/>
                <w:color w:val="auto"/>
                <w:kern w:val="0"/>
                <w:sz w:val="18"/>
                <w:szCs w:val="18"/>
                <w:highlight w:val="none"/>
              </w:rPr>
              <w:t>产出时效</w:t>
            </w:r>
          </w:p>
        </w:tc>
        <w:tc>
          <w:tcPr>
            <w:tcW w:w="422" w:type="pct"/>
            <w:shd w:val="clear" w:color="auto" w:fill="FFFFFF"/>
            <w:vAlign w:val="center"/>
          </w:tcPr>
          <w:p w14:paraId="175F03E6">
            <w:pPr>
              <w:widowControl/>
              <w:shd w:val="clear" w:fill="FFFFFF" w:themeFill="background1"/>
              <w:spacing w:line="0" w:lineRule="atLeast"/>
              <w:jc w:val="center"/>
              <w:rPr>
                <w:rFonts w:eastAsia="仿宋_GB2312"/>
                <w:color w:val="auto"/>
                <w:kern w:val="0"/>
                <w:sz w:val="18"/>
                <w:szCs w:val="18"/>
                <w:highlight w:val="none"/>
              </w:rPr>
            </w:pPr>
            <w:r>
              <w:rPr>
                <w:rFonts w:eastAsia="仿宋_GB2312"/>
                <w:color w:val="auto"/>
                <w:kern w:val="0"/>
                <w:sz w:val="18"/>
                <w:szCs w:val="18"/>
                <w:highlight w:val="none"/>
              </w:rPr>
              <w:t>完成及时性</w:t>
            </w:r>
          </w:p>
        </w:tc>
        <w:tc>
          <w:tcPr>
            <w:tcW w:w="680" w:type="pct"/>
            <w:shd w:val="clear" w:color="000000" w:fill="FFFFFF"/>
            <w:vAlign w:val="center"/>
          </w:tcPr>
          <w:p w14:paraId="42C29D5D">
            <w:pPr>
              <w:widowControl/>
              <w:shd w:val="clear" w:fill="FFFFFF" w:themeFill="background1"/>
              <w:spacing w:line="0" w:lineRule="atLeast"/>
              <w:rPr>
                <w:rFonts w:eastAsia="仿宋_GB2312"/>
                <w:color w:val="auto"/>
                <w:kern w:val="0"/>
                <w:sz w:val="18"/>
                <w:szCs w:val="18"/>
                <w:highlight w:val="none"/>
              </w:rPr>
            </w:pPr>
            <w:r>
              <w:rPr>
                <w:rFonts w:eastAsia="仿宋_GB2312"/>
                <w:color w:val="auto"/>
                <w:kern w:val="0"/>
                <w:sz w:val="18"/>
                <w:szCs w:val="18"/>
                <w:highlight w:val="none"/>
              </w:rPr>
              <w:t>项目实际完成时间与计划完成时间的比较，用以反映和考核项目产出时效目标的实现程度。</w:t>
            </w:r>
          </w:p>
        </w:tc>
        <w:tc>
          <w:tcPr>
            <w:tcW w:w="2056" w:type="pct"/>
            <w:shd w:val="clear" w:color="000000" w:fill="FFFFFF"/>
            <w:vAlign w:val="center"/>
          </w:tcPr>
          <w:p w14:paraId="1B9F3C5F">
            <w:pPr>
              <w:widowControl/>
              <w:shd w:val="clear" w:fill="FFFFFF" w:themeFill="background1"/>
              <w:spacing w:line="0" w:lineRule="atLeast"/>
              <w:rPr>
                <w:rFonts w:eastAsia="仿宋_GB2312"/>
                <w:color w:val="auto"/>
                <w:kern w:val="0"/>
                <w:sz w:val="18"/>
                <w:szCs w:val="18"/>
                <w:highlight w:val="none"/>
              </w:rPr>
            </w:pPr>
            <w:r>
              <w:rPr>
                <w:rFonts w:eastAsia="仿宋_GB2312"/>
                <w:color w:val="auto"/>
                <w:kern w:val="0"/>
                <w:sz w:val="18"/>
                <w:szCs w:val="18"/>
                <w:highlight w:val="none"/>
              </w:rPr>
              <w:t>实际完成时间：项目实施单位完成该项目实际所耗用的时间。</w:t>
            </w:r>
            <w:r>
              <w:rPr>
                <w:rFonts w:eastAsia="仿宋_GB2312"/>
                <w:color w:val="auto"/>
                <w:kern w:val="0"/>
                <w:sz w:val="18"/>
                <w:szCs w:val="18"/>
                <w:highlight w:val="none"/>
              </w:rPr>
              <w:br w:type="textWrapping"/>
            </w:r>
            <w:r>
              <w:rPr>
                <w:rFonts w:eastAsia="仿宋_GB2312"/>
                <w:color w:val="auto"/>
                <w:kern w:val="0"/>
                <w:sz w:val="18"/>
                <w:szCs w:val="18"/>
                <w:highlight w:val="none"/>
              </w:rPr>
              <w:t>计划完成时间：按照项目实施计划或相关规定完成该项目所需的时间。</w:t>
            </w:r>
          </w:p>
        </w:tc>
        <w:tc>
          <w:tcPr>
            <w:tcW w:w="514" w:type="pct"/>
            <w:shd w:val="clear" w:color="000000" w:fill="FFFFFF"/>
            <w:vAlign w:val="center"/>
          </w:tcPr>
          <w:p w14:paraId="1E7085F0">
            <w:pPr>
              <w:widowControl/>
              <w:shd w:val="clear" w:fill="FFFFFF" w:themeFill="background1"/>
              <w:spacing w:line="0" w:lineRule="atLeast"/>
              <w:jc w:val="center"/>
              <w:rPr>
                <w:rFonts w:eastAsia="仿宋_GB2312"/>
                <w:b/>
                <w:bCs/>
                <w:color w:val="auto"/>
                <w:kern w:val="0"/>
                <w:sz w:val="18"/>
                <w:szCs w:val="18"/>
                <w:highlight w:val="none"/>
              </w:rPr>
            </w:pPr>
            <w:r>
              <w:rPr>
                <w:rFonts w:eastAsia="仿宋_GB2312"/>
                <w:b/>
                <w:bCs/>
                <w:color w:val="auto"/>
                <w:kern w:val="0"/>
                <w:sz w:val="18"/>
                <w:szCs w:val="18"/>
                <w:highlight w:val="none"/>
              </w:rPr>
              <w:t>10</w:t>
            </w:r>
          </w:p>
        </w:tc>
        <w:tc>
          <w:tcPr>
            <w:tcW w:w="538" w:type="pct"/>
            <w:shd w:val="clear" w:color="000000" w:fill="FFFFFF"/>
            <w:vAlign w:val="center"/>
          </w:tcPr>
          <w:p w14:paraId="30763CFD">
            <w:pPr>
              <w:widowControl/>
              <w:shd w:val="clear" w:fill="FFFFFF" w:themeFill="background1"/>
              <w:spacing w:line="0" w:lineRule="atLeast"/>
              <w:jc w:val="center"/>
              <w:rPr>
                <w:rFonts w:eastAsia="仿宋_GB2312"/>
                <w:b/>
                <w:bCs/>
                <w:color w:val="auto"/>
                <w:kern w:val="0"/>
                <w:sz w:val="18"/>
                <w:szCs w:val="18"/>
                <w:highlight w:val="none"/>
              </w:rPr>
            </w:pPr>
            <w:r>
              <w:rPr>
                <w:rFonts w:hint="eastAsia" w:eastAsia="仿宋_GB2312"/>
                <w:b/>
                <w:bCs/>
                <w:color w:val="auto"/>
                <w:kern w:val="0"/>
                <w:sz w:val="18"/>
                <w:szCs w:val="18"/>
                <w:highlight w:val="none"/>
              </w:rPr>
              <w:t>10</w:t>
            </w:r>
          </w:p>
        </w:tc>
      </w:tr>
      <w:tr w14:paraId="51A879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395" w:type="pct"/>
            <w:vMerge w:val="continue"/>
            <w:shd w:val="clear" w:color="auto" w:fill="FFFFFF"/>
            <w:vAlign w:val="center"/>
          </w:tcPr>
          <w:p w14:paraId="4A7756FD">
            <w:pPr>
              <w:widowControl/>
              <w:shd w:val="clear" w:fill="FFFFFF" w:themeFill="background1"/>
              <w:spacing w:line="0" w:lineRule="atLeast"/>
              <w:jc w:val="center"/>
              <w:rPr>
                <w:rFonts w:eastAsia="仿宋_GB2312"/>
                <w:color w:val="auto"/>
                <w:kern w:val="0"/>
                <w:sz w:val="18"/>
                <w:szCs w:val="18"/>
                <w:highlight w:val="none"/>
              </w:rPr>
            </w:pPr>
          </w:p>
        </w:tc>
        <w:tc>
          <w:tcPr>
            <w:tcW w:w="394" w:type="pct"/>
            <w:shd w:val="clear" w:color="auto" w:fill="FFFFFF"/>
            <w:vAlign w:val="center"/>
          </w:tcPr>
          <w:p w14:paraId="05D8A050">
            <w:pPr>
              <w:widowControl/>
              <w:shd w:val="clear" w:fill="FFFFFF" w:themeFill="background1"/>
              <w:spacing w:line="0" w:lineRule="atLeast"/>
              <w:jc w:val="center"/>
              <w:rPr>
                <w:rFonts w:eastAsia="仿宋_GB2312"/>
                <w:color w:val="auto"/>
                <w:kern w:val="0"/>
                <w:sz w:val="18"/>
                <w:szCs w:val="18"/>
                <w:highlight w:val="none"/>
              </w:rPr>
            </w:pPr>
            <w:r>
              <w:rPr>
                <w:rFonts w:eastAsia="仿宋_GB2312"/>
                <w:color w:val="auto"/>
                <w:kern w:val="0"/>
                <w:sz w:val="18"/>
                <w:szCs w:val="18"/>
                <w:highlight w:val="none"/>
              </w:rPr>
              <w:t>产出成本</w:t>
            </w:r>
          </w:p>
        </w:tc>
        <w:tc>
          <w:tcPr>
            <w:tcW w:w="422" w:type="pct"/>
            <w:shd w:val="clear" w:color="auto" w:fill="FFFFFF"/>
            <w:vAlign w:val="center"/>
          </w:tcPr>
          <w:p w14:paraId="7EC5B2CE">
            <w:pPr>
              <w:widowControl/>
              <w:shd w:val="clear" w:fill="FFFFFF" w:themeFill="background1"/>
              <w:spacing w:line="0" w:lineRule="atLeast"/>
              <w:jc w:val="center"/>
              <w:rPr>
                <w:rFonts w:eastAsia="仿宋_GB2312"/>
                <w:color w:val="auto"/>
                <w:kern w:val="0"/>
                <w:sz w:val="18"/>
                <w:szCs w:val="18"/>
                <w:highlight w:val="none"/>
              </w:rPr>
            </w:pPr>
            <w:r>
              <w:rPr>
                <w:rFonts w:eastAsia="仿宋_GB2312"/>
                <w:color w:val="auto"/>
                <w:kern w:val="0"/>
                <w:sz w:val="18"/>
                <w:szCs w:val="18"/>
                <w:highlight w:val="none"/>
              </w:rPr>
              <w:t>成本节约率</w:t>
            </w:r>
          </w:p>
        </w:tc>
        <w:tc>
          <w:tcPr>
            <w:tcW w:w="680" w:type="pct"/>
            <w:shd w:val="clear" w:color="000000" w:fill="FFFFFF"/>
            <w:vAlign w:val="center"/>
          </w:tcPr>
          <w:p w14:paraId="1D2C0674">
            <w:pPr>
              <w:widowControl/>
              <w:shd w:val="clear" w:fill="FFFFFF" w:themeFill="background1"/>
              <w:spacing w:line="0" w:lineRule="atLeast"/>
              <w:rPr>
                <w:rFonts w:eastAsia="仿宋_GB2312"/>
                <w:color w:val="auto"/>
                <w:kern w:val="0"/>
                <w:sz w:val="18"/>
                <w:szCs w:val="18"/>
                <w:highlight w:val="none"/>
              </w:rPr>
            </w:pPr>
            <w:r>
              <w:rPr>
                <w:rFonts w:eastAsia="仿宋_GB2312"/>
                <w:color w:val="auto"/>
                <w:kern w:val="0"/>
                <w:sz w:val="18"/>
                <w:szCs w:val="18"/>
                <w:highlight w:val="none"/>
              </w:rPr>
              <w:t>完成项目计划工作目标的实际节约成本与计划成本的比率，用以反映和考核项目的成本节约程度。</w:t>
            </w:r>
          </w:p>
        </w:tc>
        <w:tc>
          <w:tcPr>
            <w:tcW w:w="2056" w:type="pct"/>
            <w:shd w:val="clear" w:color="000000" w:fill="FFFFFF"/>
            <w:vAlign w:val="center"/>
          </w:tcPr>
          <w:p w14:paraId="0B8462E7">
            <w:pPr>
              <w:widowControl/>
              <w:shd w:val="clear" w:fill="FFFFFF" w:themeFill="background1"/>
              <w:spacing w:line="0" w:lineRule="atLeast"/>
              <w:rPr>
                <w:rFonts w:eastAsia="仿宋_GB2312"/>
                <w:color w:val="auto"/>
                <w:kern w:val="0"/>
                <w:sz w:val="18"/>
                <w:szCs w:val="18"/>
                <w:highlight w:val="none"/>
              </w:rPr>
            </w:pPr>
            <w:r>
              <w:rPr>
                <w:rFonts w:eastAsia="仿宋_GB2312"/>
                <w:color w:val="auto"/>
                <w:kern w:val="0"/>
                <w:sz w:val="18"/>
                <w:szCs w:val="18"/>
                <w:highlight w:val="none"/>
              </w:rPr>
              <w:br w:type="textWrapping"/>
            </w:r>
            <w:r>
              <w:rPr>
                <w:rFonts w:eastAsia="仿宋_GB2312"/>
                <w:color w:val="auto"/>
                <w:kern w:val="0"/>
                <w:sz w:val="18"/>
                <w:szCs w:val="18"/>
                <w:highlight w:val="none"/>
              </w:rPr>
              <w:t>成本节约率=[（计划成本-实际成本）/计划成本]×100%。</w:t>
            </w:r>
            <w:r>
              <w:rPr>
                <w:rFonts w:eastAsia="仿宋_GB2312"/>
                <w:color w:val="auto"/>
                <w:kern w:val="0"/>
                <w:sz w:val="18"/>
                <w:szCs w:val="18"/>
                <w:highlight w:val="none"/>
              </w:rPr>
              <w:br w:type="textWrapping"/>
            </w:r>
            <w:r>
              <w:rPr>
                <w:rFonts w:eastAsia="仿宋_GB2312"/>
                <w:color w:val="auto"/>
                <w:kern w:val="0"/>
                <w:sz w:val="18"/>
                <w:szCs w:val="18"/>
                <w:highlight w:val="none"/>
              </w:rPr>
              <w:t>实际成本：项目实施单位如期、保质、保量完成既定工作目标实际所耗费的支出。</w:t>
            </w:r>
            <w:r>
              <w:rPr>
                <w:rFonts w:eastAsia="仿宋_GB2312"/>
                <w:color w:val="auto"/>
                <w:kern w:val="0"/>
                <w:sz w:val="18"/>
                <w:szCs w:val="18"/>
                <w:highlight w:val="none"/>
              </w:rPr>
              <w:br w:type="textWrapping"/>
            </w:r>
            <w:r>
              <w:rPr>
                <w:rFonts w:eastAsia="仿宋_GB2312"/>
                <w:color w:val="auto"/>
                <w:kern w:val="0"/>
                <w:sz w:val="18"/>
                <w:szCs w:val="18"/>
                <w:highlight w:val="none"/>
              </w:rPr>
              <w:t>计划成本：项目实施单位为完成工作目标计划安排的支出，一般以项目预算为参考。</w:t>
            </w:r>
          </w:p>
        </w:tc>
        <w:tc>
          <w:tcPr>
            <w:tcW w:w="514" w:type="pct"/>
            <w:shd w:val="clear" w:color="000000" w:fill="FFFFFF"/>
            <w:vAlign w:val="center"/>
          </w:tcPr>
          <w:p w14:paraId="66E8BFC7">
            <w:pPr>
              <w:widowControl/>
              <w:shd w:val="clear" w:fill="FFFFFF" w:themeFill="background1"/>
              <w:spacing w:line="0" w:lineRule="atLeast"/>
              <w:jc w:val="center"/>
              <w:rPr>
                <w:rFonts w:eastAsia="仿宋_GB2312"/>
                <w:b/>
                <w:bCs/>
                <w:color w:val="auto"/>
                <w:kern w:val="0"/>
                <w:sz w:val="18"/>
                <w:szCs w:val="18"/>
                <w:highlight w:val="none"/>
              </w:rPr>
            </w:pPr>
            <w:r>
              <w:rPr>
                <w:rFonts w:eastAsia="仿宋_GB2312"/>
                <w:b/>
                <w:bCs/>
                <w:color w:val="auto"/>
                <w:kern w:val="0"/>
                <w:sz w:val="18"/>
                <w:szCs w:val="18"/>
                <w:highlight w:val="none"/>
              </w:rPr>
              <w:t>10</w:t>
            </w:r>
          </w:p>
        </w:tc>
        <w:tc>
          <w:tcPr>
            <w:tcW w:w="538" w:type="pct"/>
            <w:shd w:val="clear" w:color="000000" w:fill="FFFFFF"/>
            <w:vAlign w:val="center"/>
          </w:tcPr>
          <w:p w14:paraId="29F9B2FB">
            <w:pPr>
              <w:widowControl/>
              <w:shd w:val="clear" w:fill="FFFFFF" w:themeFill="background1"/>
              <w:spacing w:line="0" w:lineRule="atLeast"/>
              <w:jc w:val="center"/>
              <w:rPr>
                <w:rFonts w:eastAsia="仿宋_GB2312"/>
                <w:b/>
                <w:bCs/>
                <w:color w:val="auto"/>
                <w:kern w:val="0"/>
                <w:sz w:val="18"/>
                <w:szCs w:val="18"/>
                <w:highlight w:val="none"/>
              </w:rPr>
            </w:pPr>
            <w:r>
              <w:rPr>
                <w:rFonts w:hint="eastAsia" w:eastAsia="仿宋_GB2312"/>
                <w:b/>
                <w:bCs/>
                <w:color w:val="auto"/>
                <w:kern w:val="0"/>
                <w:sz w:val="18"/>
                <w:szCs w:val="18"/>
                <w:highlight w:val="none"/>
              </w:rPr>
              <w:t>10</w:t>
            </w:r>
          </w:p>
        </w:tc>
      </w:tr>
      <w:tr w14:paraId="4C3E5A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395" w:type="pct"/>
            <w:vMerge w:val="restart"/>
            <w:shd w:val="clear" w:color="auto" w:fill="FFFFFF"/>
            <w:vAlign w:val="center"/>
          </w:tcPr>
          <w:p w14:paraId="60B1C7D3">
            <w:pPr>
              <w:widowControl/>
              <w:shd w:val="clear" w:fill="FFFFFF" w:themeFill="background1"/>
              <w:spacing w:line="0" w:lineRule="atLeast"/>
              <w:jc w:val="center"/>
              <w:rPr>
                <w:rFonts w:eastAsia="仿宋_GB2312"/>
                <w:color w:val="auto"/>
                <w:kern w:val="0"/>
                <w:sz w:val="18"/>
                <w:szCs w:val="18"/>
                <w:highlight w:val="none"/>
              </w:rPr>
            </w:pPr>
            <w:r>
              <w:rPr>
                <w:rFonts w:eastAsia="仿宋_GB2312"/>
                <w:color w:val="auto"/>
                <w:kern w:val="0"/>
                <w:sz w:val="18"/>
                <w:szCs w:val="18"/>
                <w:highlight w:val="none"/>
              </w:rPr>
              <w:t>效益　</w:t>
            </w:r>
          </w:p>
        </w:tc>
        <w:tc>
          <w:tcPr>
            <w:tcW w:w="394" w:type="pct"/>
            <w:vMerge w:val="restart"/>
            <w:shd w:val="clear" w:color="auto" w:fill="FFFFFF"/>
            <w:vAlign w:val="center"/>
          </w:tcPr>
          <w:p w14:paraId="36D8962F">
            <w:pPr>
              <w:widowControl/>
              <w:shd w:val="clear" w:fill="FFFFFF" w:themeFill="background1"/>
              <w:spacing w:line="0" w:lineRule="atLeast"/>
              <w:jc w:val="center"/>
              <w:rPr>
                <w:rFonts w:eastAsia="仿宋_GB2312"/>
                <w:color w:val="auto"/>
                <w:kern w:val="0"/>
                <w:sz w:val="18"/>
                <w:szCs w:val="18"/>
                <w:highlight w:val="none"/>
              </w:rPr>
            </w:pPr>
            <w:r>
              <w:rPr>
                <w:rFonts w:eastAsia="仿宋_GB2312"/>
                <w:color w:val="auto"/>
                <w:kern w:val="0"/>
                <w:sz w:val="18"/>
                <w:szCs w:val="18"/>
                <w:highlight w:val="none"/>
              </w:rPr>
              <w:t>项目效益　</w:t>
            </w:r>
          </w:p>
        </w:tc>
        <w:tc>
          <w:tcPr>
            <w:tcW w:w="422" w:type="pct"/>
            <w:shd w:val="clear" w:color="auto" w:fill="FFFFFF"/>
            <w:vAlign w:val="center"/>
          </w:tcPr>
          <w:p w14:paraId="51399B6F">
            <w:pPr>
              <w:widowControl/>
              <w:shd w:val="clear" w:fill="FFFFFF" w:themeFill="background1"/>
              <w:spacing w:line="0" w:lineRule="atLeast"/>
              <w:jc w:val="center"/>
              <w:rPr>
                <w:rFonts w:eastAsia="仿宋_GB2312"/>
                <w:color w:val="auto"/>
                <w:kern w:val="0"/>
                <w:sz w:val="18"/>
                <w:szCs w:val="18"/>
                <w:highlight w:val="none"/>
              </w:rPr>
            </w:pPr>
            <w:r>
              <w:rPr>
                <w:rFonts w:eastAsia="仿宋_GB2312"/>
                <w:color w:val="auto"/>
                <w:kern w:val="0"/>
                <w:sz w:val="18"/>
                <w:szCs w:val="18"/>
                <w:highlight w:val="none"/>
              </w:rPr>
              <w:t>实施效益</w:t>
            </w:r>
          </w:p>
        </w:tc>
        <w:tc>
          <w:tcPr>
            <w:tcW w:w="680" w:type="pct"/>
            <w:shd w:val="clear" w:color="auto" w:fill="FFFFFF"/>
            <w:vAlign w:val="center"/>
          </w:tcPr>
          <w:p w14:paraId="3F63AB1C">
            <w:pPr>
              <w:widowControl/>
              <w:shd w:val="clear" w:fill="FFFFFF" w:themeFill="background1"/>
              <w:spacing w:line="0" w:lineRule="atLeast"/>
              <w:jc w:val="left"/>
              <w:rPr>
                <w:rFonts w:eastAsia="仿宋_GB2312"/>
                <w:color w:val="auto"/>
                <w:kern w:val="0"/>
                <w:sz w:val="18"/>
                <w:szCs w:val="18"/>
                <w:highlight w:val="none"/>
              </w:rPr>
            </w:pPr>
            <w:r>
              <w:rPr>
                <w:rFonts w:eastAsia="仿宋_GB2312"/>
                <w:color w:val="auto"/>
                <w:kern w:val="0"/>
                <w:sz w:val="18"/>
                <w:szCs w:val="18"/>
                <w:highlight w:val="none"/>
              </w:rPr>
              <w:t>项目实施所产生的效益。</w:t>
            </w:r>
          </w:p>
        </w:tc>
        <w:tc>
          <w:tcPr>
            <w:tcW w:w="2056" w:type="pct"/>
            <w:shd w:val="clear" w:color="auto" w:fill="FFFFFF"/>
            <w:vAlign w:val="center"/>
          </w:tcPr>
          <w:p w14:paraId="1D18573B">
            <w:pPr>
              <w:widowControl/>
              <w:shd w:val="clear" w:fill="FFFFFF" w:themeFill="background1"/>
              <w:spacing w:line="0" w:lineRule="atLeast"/>
              <w:rPr>
                <w:rFonts w:eastAsia="仿宋_GB2312"/>
                <w:color w:val="auto"/>
                <w:kern w:val="0"/>
                <w:sz w:val="18"/>
                <w:szCs w:val="18"/>
                <w:highlight w:val="none"/>
              </w:rPr>
            </w:pPr>
            <w:r>
              <w:rPr>
                <w:rFonts w:eastAsia="仿宋_GB2312"/>
                <w:color w:val="auto"/>
                <w:kern w:val="0"/>
                <w:sz w:val="18"/>
                <w:szCs w:val="18"/>
                <w:highlight w:val="none"/>
              </w:rPr>
              <w:t>项目实施所产生的社会效益、经济效益、生态效益、可持续影响等。可根据项目实际情况有选择地设置和细化。</w:t>
            </w:r>
          </w:p>
        </w:tc>
        <w:tc>
          <w:tcPr>
            <w:tcW w:w="514" w:type="pct"/>
            <w:shd w:val="clear" w:color="auto" w:fill="FFFFFF"/>
            <w:vAlign w:val="center"/>
          </w:tcPr>
          <w:p w14:paraId="7DACF79E">
            <w:pPr>
              <w:widowControl/>
              <w:shd w:val="clear" w:fill="FFFFFF" w:themeFill="background1"/>
              <w:spacing w:line="0" w:lineRule="atLeast"/>
              <w:jc w:val="center"/>
              <w:rPr>
                <w:rFonts w:eastAsia="仿宋_GB2312"/>
                <w:b/>
                <w:bCs/>
                <w:color w:val="auto"/>
                <w:kern w:val="0"/>
                <w:sz w:val="18"/>
                <w:szCs w:val="18"/>
                <w:highlight w:val="none"/>
              </w:rPr>
            </w:pPr>
            <w:r>
              <w:rPr>
                <w:rFonts w:eastAsia="仿宋_GB2312"/>
                <w:b/>
                <w:bCs/>
                <w:color w:val="auto"/>
                <w:kern w:val="0"/>
                <w:sz w:val="18"/>
                <w:szCs w:val="18"/>
                <w:highlight w:val="none"/>
              </w:rPr>
              <w:t>10</w:t>
            </w:r>
          </w:p>
        </w:tc>
        <w:tc>
          <w:tcPr>
            <w:tcW w:w="538" w:type="pct"/>
            <w:shd w:val="clear" w:color="auto" w:fill="FFFFFF"/>
            <w:vAlign w:val="center"/>
          </w:tcPr>
          <w:p w14:paraId="3A18AFE4">
            <w:pPr>
              <w:widowControl/>
              <w:shd w:val="clear" w:fill="FFFFFF" w:themeFill="background1"/>
              <w:spacing w:line="0" w:lineRule="atLeast"/>
              <w:jc w:val="center"/>
              <w:rPr>
                <w:rFonts w:eastAsia="仿宋_GB2312"/>
                <w:b/>
                <w:bCs/>
                <w:color w:val="auto"/>
                <w:kern w:val="0"/>
                <w:sz w:val="18"/>
                <w:szCs w:val="18"/>
                <w:highlight w:val="none"/>
              </w:rPr>
            </w:pPr>
            <w:r>
              <w:rPr>
                <w:rFonts w:hint="eastAsia" w:eastAsia="仿宋_GB2312"/>
                <w:b/>
                <w:bCs/>
                <w:color w:val="auto"/>
                <w:kern w:val="0"/>
                <w:sz w:val="18"/>
                <w:szCs w:val="18"/>
                <w:highlight w:val="none"/>
              </w:rPr>
              <w:t>10</w:t>
            </w:r>
          </w:p>
        </w:tc>
      </w:tr>
      <w:tr w14:paraId="79FF5E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395" w:type="pct"/>
            <w:vMerge w:val="continue"/>
            <w:shd w:val="clear" w:color="auto" w:fill="FFFFFF"/>
            <w:vAlign w:val="center"/>
          </w:tcPr>
          <w:p w14:paraId="63ECDCA5">
            <w:pPr>
              <w:widowControl/>
              <w:shd w:val="clear" w:fill="FFFFFF" w:themeFill="background1"/>
              <w:spacing w:line="0" w:lineRule="atLeast"/>
              <w:jc w:val="center"/>
              <w:rPr>
                <w:rFonts w:eastAsia="仿宋_GB2312"/>
                <w:color w:val="auto"/>
                <w:kern w:val="0"/>
                <w:sz w:val="18"/>
                <w:szCs w:val="18"/>
                <w:highlight w:val="none"/>
              </w:rPr>
            </w:pPr>
          </w:p>
        </w:tc>
        <w:tc>
          <w:tcPr>
            <w:tcW w:w="394" w:type="pct"/>
            <w:vMerge w:val="continue"/>
            <w:shd w:val="clear" w:color="auto" w:fill="FFFFFF"/>
            <w:vAlign w:val="center"/>
          </w:tcPr>
          <w:p w14:paraId="511AB6FD">
            <w:pPr>
              <w:widowControl/>
              <w:shd w:val="clear" w:fill="FFFFFF" w:themeFill="background1"/>
              <w:spacing w:line="0" w:lineRule="atLeast"/>
              <w:jc w:val="center"/>
              <w:rPr>
                <w:rFonts w:eastAsia="仿宋_GB2312"/>
                <w:color w:val="auto"/>
                <w:kern w:val="0"/>
                <w:sz w:val="18"/>
                <w:szCs w:val="18"/>
                <w:highlight w:val="none"/>
              </w:rPr>
            </w:pPr>
          </w:p>
        </w:tc>
        <w:tc>
          <w:tcPr>
            <w:tcW w:w="422" w:type="pct"/>
            <w:shd w:val="clear" w:color="auto" w:fill="FFFFFF"/>
            <w:vAlign w:val="center"/>
          </w:tcPr>
          <w:p w14:paraId="72D291DA">
            <w:pPr>
              <w:widowControl/>
              <w:shd w:val="clear" w:fill="FFFFFF" w:themeFill="background1"/>
              <w:spacing w:line="0" w:lineRule="atLeast"/>
              <w:jc w:val="center"/>
              <w:rPr>
                <w:rFonts w:eastAsia="仿宋_GB2312"/>
                <w:color w:val="auto"/>
                <w:kern w:val="0"/>
                <w:sz w:val="18"/>
                <w:szCs w:val="18"/>
                <w:highlight w:val="none"/>
              </w:rPr>
            </w:pPr>
            <w:r>
              <w:rPr>
                <w:rFonts w:eastAsia="仿宋_GB2312"/>
                <w:color w:val="auto"/>
                <w:kern w:val="0"/>
                <w:sz w:val="18"/>
                <w:szCs w:val="18"/>
                <w:highlight w:val="none"/>
              </w:rPr>
              <w:t>满意度</w:t>
            </w:r>
          </w:p>
        </w:tc>
        <w:tc>
          <w:tcPr>
            <w:tcW w:w="680" w:type="pct"/>
            <w:shd w:val="clear" w:color="000000" w:fill="FFFFFF"/>
            <w:vAlign w:val="center"/>
          </w:tcPr>
          <w:p w14:paraId="7CBA25F3">
            <w:pPr>
              <w:widowControl/>
              <w:shd w:val="clear" w:fill="FFFFFF" w:themeFill="background1"/>
              <w:spacing w:line="0" w:lineRule="atLeast"/>
              <w:rPr>
                <w:rFonts w:eastAsia="仿宋_GB2312"/>
                <w:color w:val="auto"/>
                <w:kern w:val="0"/>
                <w:sz w:val="18"/>
                <w:szCs w:val="18"/>
                <w:highlight w:val="none"/>
              </w:rPr>
            </w:pPr>
            <w:r>
              <w:rPr>
                <w:rFonts w:eastAsia="仿宋_GB2312"/>
                <w:color w:val="auto"/>
                <w:kern w:val="0"/>
                <w:sz w:val="18"/>
                <w:szCs w:val="18"/>
                <w:highlight w:val="none"/>
              </w:rPr>
              <w:t>社会公众或服务对象对项目实施效果的满意程度。</w:t>
            </w:r>
          </w:p>
        </w:tc>
        <w:tc>
          <w:tcPr>
            <w:tcW w:w="2056" w:type="pct"/>
            <w:shd w:val="clear" w:color="000000" w:fill="FFFFFF"/>
            <w:vAlign w:val="center"/>
          </w:tcPr>
          <w:p w14:paraId="35479077">
            <w:pPr>
              <w:widowControl/>
              <w:shd w:val="clear" w:fill="FFFFFF" w:themeFill="background1"/>
              <w:spacing w:line="0" w:lineRule="atLeast"/>
              <w:rPr>
                <w:rFonts w:eastAsia="仿宋_GB2312"/>
                <w:color w:val="auto"/>
                <w:kern w:val="0"/>
                <w:sz w:val="18"/>
                <w:szCs w:val="18"/>
                <w:highlight w:val="none"/>
              </w:rPr>
            </w:pPr>
            <w:r>
              <w:rPr>
                <w:rFonts w:eastAsia="仿宋_GB2312"/>
                <w:color w:val="auto"/>
                <w:kern w:val="0"/>
                <w:sz w:val="18"/>
                <w:szCs w:val="18"/>
                <w:highlight w:val="none"/>
              </w:rPr>
              <w:t>社会公众或服务对象是指因该项目实施而受到影响的部门（单位）、群体或个人。一般采取社会调查的方式。</w:t>
            </w:r>
          </w:p>
        </w:tc>
        <w:tc>
          <w:tcPr>
            <w:tcW w:w="514" w:type="pct"/>
            <w:shd w:val="clear" w:color="000000" w:fill="FFFFFF"/>
            <w:vAlign w:val="center"/>
          </w:tcPr>
          <w:p w14:paraId="39D13765">
            <w:pPr>
              <w:widowControl/>
              <w:shd w:val="clear" w:fill="FFFFFF" w:themeFill="background1"/>
              <w:spacing w:line="0" w:lineRule="atLeast"/>
              <w:jc w:val="center"/>
              <w:rPr>
                <w:rFonts w:eastAsia="仿宋_GB2312"/>
                <w:b/>
                <w:bCs/>
                <w:color w:val="auto"/>
                <w:kern w:val="0"/>
                <w:sz w:val="18"/>
                <w:szCs w:val="18"/>
                <w:highlight w:val="none"/>
              </w:rPr>
            </w:pPr>
            <w:r>
              <w:rPr>
                <w:rFonts w:eastAsia="仿宋_GB2312"/>
                <w:b/>
                <w:bCs/>
                <w:color w:val="auto"/>
                <w:kern w:val="0"/>
                <w:sz w:val="18"/>
                <w:szCs w:val="18"/>
                <w:highlight w:val="none"/>
              </w:rPr>
              <w:t>10</w:t>
            </w:r>
          </w:p>
        </w:tc>
        <w:tc>
          <w:tcPr>
            <w:tcW w:w="538" w:type="pct"/>
            <w:shd w:val="clear" w:color="000000" w:fill="FFFFFF"/>
            <w:vAlign w:val="center"/>
          </w:tcPr>
          <w:p w14:paraId="42585B7D">
            <w:pPr>
              <w:widowControl/>
              <w:shd w:val="clear" w:fill="FFFFFF" w:themeFill="background1"/>
              <w:spacing w:line="0" w:lineRule="atLeast"/>
              <w:jc w:val="center"/>
              <w:rPr>
                <w:rFonts w:eastAsia="仿宋_GB2312"/>
                <w:b/>
                <w:bCs/>
                <w:color w:val="auto"/>
                <w:kern w:val="0"/>
                <w:sz w:val="18"/>
                <w:szCs w:val="18"/>
                <w:highlight w:val="none"/>
              </w:rPr>
            </w:pPr>
            <w:r>
              <w:rPr>
                <w:rFonts w:hint="eastAsia" w:eastAsia="仿宋_GB2312"/>
                <w:b/>
                <w:bCs/>
                <w:color w:val="auto"/>
                <w:kern w:val="0"/>
                <w:sz w:val="18"/>
                <w:szCs w:val="18"/>
                <w:highlight w:val="none"/>
              </w:rPr>
              <w:t>10</w:t>
            </w:r>
          </w:p>
        </w:tc>
      </w:tr>
      <w:tr w14:paraId="5A3C5C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3" w:hRule="atLeast"/>
          <w:jc w:val="center"/>
        </w:trPr>
        <w:tc>
          <w:tcPr>
            <w:tcW w:w="3949" w:type="pct"/>
            <w:gridSpan w:val="5"/>
            <w:shd w:val="clear" w:color="auto" w:fill="FFFFFF"/>
            <w:vAlign w:val="center"/>
          </w:tcPr>
          <w:p w14:paraId="54E587CD">
            <w:pPr>
              <w:widowControl/>
              <w:shd w:val="clear" w:fill="FFFFFF" w:themeFill="background1"/>
              <w:spacing w:line="0" w:lineRule="atLeast"/>
              <w:jc w:val="center"/>
              <w:rPr>
                <w:rFonts w:eastAsia="仿宋_GB2312"/>
                <w:b/>
                <w:bCs/>
                <w:color w:val="auto"/>
                <w:kern w:val="0"/>
                <w:sz w:val="18"/>
                <w:szCs w:val="18"/>
                <w:highlight w:val="none"/>
              </w:rPr>
            </w:pPr>
            <w:r>
              <w:rPr>
                <w:rFonts w:hint="eastAsia" w:eastAsia="仿宋_GB2312"/>
                <w:b/>
                <w:bCs/>
                <w:color w:val="auto"/>
                <w:kern w:val="0"/>
                <w:sz w:val="18"/>
                <w:szCs w:val="18"/>
                <w:highlight w:val="none"/>
              </w:rPr>
              <w:t>合计</w:t>
            </w:r>
          </w:p>
        </w:tc>
        <w:tc>
          <w:tcPr>
            <w:tcW w:w="512" w:type="pct"/>
            <w:shd w:val="clear" w:color="000000" w:fill="FFFFFF"/>
            <w:vAlign w:val="center"/>
          </w:tcPr>
          <w:p w14:paraId="195892D3">
            <w:pPr>
              <w:widowControl/>
              <w:shd w:val="clear" w:fill="FFFFFF" w:themeFill="background1"/>
              <w:spacing w:line="0" w:lineRule="atLeast"/>
              <w:jc w:val="center"/>
              <w:rPr>
                <w:rFonts w:eastAsia="仿宋_GB2312"/>
                <w:b/>
                <w:bCs/>
                <w:color w:val="auto"/>
                <w:kern w:val="0"/>
                <w:sz w:val="18"/>
                <w:szCs w:val="18"/>
                <w:highlight w:val="none"/>
              </w:rPr>
            </w:pPr>
            <w:r>
              <w:rPr>
                <w:rFonts w:eastAsia="仿宋_GB2312"/>
                <w:b/>
                <w:bCs/>
                <w:color w:val="auto"/>
                <w:kern w:val="0"/>
                <w:sz w:val="18"/>
                <w:szCs w:val="18"/>
                <w:highlight w:val="none"/>
              </w:rPr>
              <w:fldChar w:fldCharType="begin"/>
            </w:r>
            <w:r>
              <w:rPr>
                <w:rFonts w:eastAsia="仿宋_GB2312"/>
                <w:b/>
                <w:bCs/>
                <w:color w:val="auto"/>
                <w:kern w:val="0"/>
                <w:sz w:val="18"/>
                <w:szCs w:val="18"/>
                <w:highlight w:val="none"/>
              </w:rPr>
              <w:instrText xml:space="preserve"> = sum(F2:F18) \* MERGEFORMAT </w:instrText>
            </w:r>
            <w:r>
              <w:rPr>
                <w:rFonts w:eastAsia="仿宋_GB2312"/>
                <w:b/>
                <w:bCs/>
                <w:color w:val="auto"/>
                <w:kern w:val="0"/>
                <w:sz w:val="18"/>
                <w:szCs w:val="18"/>
                <w:highlight w:val="none"/>
              </w:rPr>
              <w:fldChar w:fldCharType="separate"/>
            </w:r>
            <w:r>
              <w:rPr>
                <w:rFonts w:eastAsia="仿宋_GB2312"/>
                <w:b/>
                <w:bCs/>
                <w:color w:val="auto"/>
                <w:kern w:val="0"/>
                <w:sz w:val="18"/>
                <w:szCs w:val="18"/>
                <w:highlight w:val="none"/>
              </w:rPr>
              <w:t>100</w:t>
            </w:r>
            <w:r>
              <w:rPr>
                <w:rFonts w:eastAsia="仿宋_GB2312"/>
                <w:b/>
                <w:bCs/>
                <w:color w:val="auto"/>
                <w:kern w:val="0"/>
                <w:sz w:val="18"/>
                <w:szCs w:val="18"/>
                <w:highlight w:val="none"/>
              </w:rPr>
              <w:fldChar w:fldCharType="end"/>
            </w:r>
          </w:p>
        </w:tc>
        <w:tc>
          <w:tcPr>
            <w:tcW w:w="538" w:type="pct"/>
            <w:shd w:val="clear" w:color="000000" w:fill="FFFFFF"/>
            <w:vAlign w:val="center"/>
          </w:tcPr>
          <w:p w14:paraId="0202F18A">
            <w:pPr>
              <w:widowControl/>
              <w:shd w:val="clear" w:fill="FFFFFF" w:themeFill="background1"/>
              <w:spacing w:line="0" w:lineRule="atLeast"/>
              <w:jc w:val="center"/>
              <w:rPr>
                <w:rFonts w:eastAsia="仿宋_GB2312"/>
                <w:b/>
                <w:bCs/>
                <w:color w:val="auto"/>
                <w:kern w:val="0"/>
                <w:sz w:val="18"/>
                <w:szCs w:val="18"/>
                <w:highlight w:val="none"/>
              </w:rPr>
            </w:pPr>
            <w:r>
              <w:rPr>
                <w:rFonts w:hint="eastAsia" w:eastAsia="仿宋_GB2312"/>
                <w:b/>
                <w:bCs/>
                <w:color w:val="auto"/>
                <w:kern w:val="0"/>
                <w:sz w:val="18"/>
                <w:szCs w:val="18"/>
                <w:highlight w:val="none"/>
              </w:rPr>
              <w:t>100</w:t>
            </w:r>
          </w:p>
        </w:tc>
      </w:tr>
    </w:tbl>
    <w:p w14:paraId="4B861DB0">
      <w:pPr>
        <w:shd w:val="clear" w:fill="FFFFFF" w:themeFill="background1"/>
        <w:rPr>
          <w:color w:val="auto"/>
          <w:highlight w:val="none"/>
        </w:rPr>
        <w:sectPr>
          <w:pgSz w:w="16838" w:h="11906" w:orient="landscape"/>
          <w:pgMar w:top="1800" w:right="1440" w:bottom="1558" w:left="1440" w:header="851" w:footer="992" w:gutter="0"/>
          <w:cols w:space="425" w:num="1"/>
          <w:docGrid w:type="lines" w:linePitch="312" w:charSpace="0"/>
        </w:sectPr>
      </w:pPr>
    </w:p>
    <w:p w14:paraId="54F50CFE">
      <w:pPr>
        <w:shd w:val="clear" w:fill="FFFFFF" w:themeFill="background1"/>
        <w:spacing w:line="600" w:lineRule="exact"/>
        <w:rPr>
          <w:rFonts w:eastAsia="黑体"/>
          <w:color w:val="auto"/>
          <w:sz w:val="32"/>
          <w:szCs w:val="32"/>
          <w:highlight w:val="none"/>
        </w:rPr>
      </w:pPr>
      <w:r>
        <w:rPr>
          <w:rFonts w:hint="eastAsia" w:eastAsia="黑体"/>
          <w:color w:val="auto"/>
          <w:sz w:val="32"/>
          <w:szCs w:val="32"/>
          <w:highlight w:val="none"/>
        </w:rPr>
        <w:t>附件2</w:t>
      </w:r>
    </w:p>
    <w:tbl>
      <w:tblPr>
        <w:tblStyle w:val="14"/>
        <w:tblW w:w="13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0"/>
        <w:gridCol w:w="980"/>
        <w:gridCol w:w="1376"/>
        <w:gridCol w:w="1189"/>
        <w:gridCol w:w="2177"/>
        <w:gridCol w:w="1919"/>
        <w:gridCol w:w="1904"/>
        <w:gridCol w:w="359"/>
        <w:gridCol w:w="398"/>
        <w:gridCol w:w="378"/>
        <w:gridCol w:w="480"/>
        <w:gridCol w:w="679"/>
        <w:gridCol w:w="1026"/>
      </w:tblGrid>
      <w:tr w14:paraId="7EA57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3851" w:type="dxa"/>
            <w:gridSpan w:val="13"/>
            <w:tcBorders>
              <w:top w:val="nil"/>
              <w:left w:val="nil"/>
              <w:bottom w:val="nil"/>
              <w:right w:val="nil"/>
            </w:tcBorders>
            <w:shd w:val="clear" w:color="auto" w:fill="auto"/>
            <w:vAlign w:val="center"/>
          </w:tcPr>
          <w:p w14:paraId="0E20710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项目支出绩效自评表</w:t>
            </w:r>
          </w:p>
        </w:tc>
      </w:tr>
      <w:tr w14:paraId="38650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51" w:type="dxa"/>
            <w:gridSpan w:val="13"/>
            <w:tcBorders>
              <w:top w:val="nil"/>
              <w:left w:val="nil"/>
              <w:bottom w:val="nil"/>
              <w:right w:val="nil"/>
            </w:tcBorders>
            <w:shd w:val="clear" w:color="auto" w:fill="auto"/>
            <w:vAlign w:val="center"/>
          </w:tcPr>
          <w:p w14:paraId="1F288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(2024年度)</w:t>
            </w:r>
          </w:p>
        </w:tc>
      </w:tr>
      <w:tr w14:paraId="0F612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E2B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169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4469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乌财社【2023】266号-2024国家财政基本公共卫生服务补助资金（直达资金）</w:t>
            </w:r>
          </w:p>
        </w:tc>
      </w:tr>
      <w:tr w14:paraId="1158E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91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4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A32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sz w:val="18"/>
                <w:szCs w:val="18"/>
                <w:lang w:eastAsia="zh-CN"/>
              </w:rPr>
              <w:t>沙依巴克区卫生健康委员会</w:t>
            </w:r>
            <w:bookmarkStart w:id="3" w:name="_GoBack"/>
            <w:bookmarkEnd w:id="3"/>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07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54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8D41B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乌鲁木齐市沙依巴克区妇幼保健服务中心</w:t>
            </w:r>
          </w:p>
        </w:tc>
      </w:tr>
      <w:tr w14:paraId="74471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B33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2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20794">
            <w:pPr>
              <w:jc w:val="center"/>
              <w:rPr>
                <w:rFonts w:hint="eastAsia" w:ascii="宋体" w:hAnsi="宋体" w:eastAsia="宋体" w:cs="宋体"/>
                <w:i w:val="0"/>
                <w:iCs w:val="0"/>
                <w:color w:val="000000"/>
                <w:sz w:val="20"/>
                <w:szCs w:val="20"/>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C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D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036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93B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B2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6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6B9DC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BCF9D">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AB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8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360.99</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40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250.99</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50F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250.99</w:t>
            </w:r>
          </w:p>
        </w:tc>
        <w:tc>
          <w:tcPr>
            <w:tcW w:w="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391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C1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32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10.00分</w:t>
            </w:r>
          </w:p>
        </w:tc>
      </w:tr>
      <w:tr w14:paraId="770AC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28D29">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AA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其中：当年财政拨款</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BB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360.99</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4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250.99</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948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250.99</w:t>
            </w:r>
          </w:p>
        </w:tc>
        <w:tc>
          <w:tcPr>
            <w:tcW w:w="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045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E6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6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28E6A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BF179">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A9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67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40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12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BD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1D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3A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2C556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59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73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F4A9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54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A85E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2AC15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3F828">
            <w:pPr>
              <w:jc w:val="center"/>
              <w:rPr>
                <w:rFonts w:hint="eastAsia" w:ascii="宋体" w:hAnsi="宋体" w:eastAsia="宋体" w:cs="宋体"/>
                <w:i w:val="0"/>
                <w:iCs w:val="0"/>
                <w:color w:val="000000"/>
                <w:sz w:val="20"/>
                <w:szCs w:val="20"/>
                <w:u w:val="none"/>
              </w:rPr>
            </w:pPr>
          </w:p>
        </w:tc>
        <w:tc>
          <w:tcPr>
            <w:tcW w:w="7333"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95A84D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面完成2022年度家庭医生签约服务、城乡居民健康档案、0-6岁儿童健康管理、孕产妇健康管理、免费婚前医学检查、新生儿遗传代谢性疾病筛查、新生儿听力筛查、免疫规划、65岁及以上老年人健康管理、健康教育、原发性高血压患者健康管理、2型糖尿病患者健康管理、严重精神障碍患者管理、传染病和突发公共卫生事件报告处理、结核病防治、卫生监督协管、中医药健康管理服务各项任务目标。</w:t>
            </w:r>
          </w:p>
        </w:tc>
        <w:tc>
          <w:tcPr>
            <w:tcW w:w="5438"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D4DCA5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雅山中心在沙区卫健委的领导下，在沙依巴克区疾控中心，沙依巴克区妇幼保健服务中心的指导下，规范开展基本公共卫生服务，截止2024年12月31日，我中心基本公共卫生服务各项指标完成情况如下：常住人口家庭医生签约率、各重点人群签约率均达标，城乡居民健康档案建档率85.88%，0-6岁儿童健康管理率达到92%，孕产妇健康管理率达85%，65岁以上老年人健康管理率72%，健康教育各项指标均完成，高血压患者健康管理率、糖尿病健康管理率、严重精神障碍患者健康管理均达标，传染病和突发公共卫生事件报告率和及时率均达到100%，肺结核患者管理率和规范管理率均100%，65岁以下老年人中医药健康管理率达到75%，0-36月儿童中医药健康管理率85%。通过此项目的开展，城乡居民公共卫生服务差距不断缩小，有效提高了基本公共卫生服务水平。</w:t>
            </w:r>
          </w:p>
        </w:tc>
      </w:tr>
      <w:tr w14:paraId="3E332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706B16">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BEC3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B7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6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2E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CD8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70B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实际完成值</w:t>
            </w:r>
          </w:p>
        </w:tc>
        <w:tc>
          <w:tcPr>
            <w:tcW w:w="8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DEB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7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FA23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17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2C0D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偏差原因分析及改进措施</w:t>
            </w:r>
          </w:p>
        </w:tc>
      </w:tr>
      <w:tr w14:paraId="5D540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C182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96D8C">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5CC68">
            <w:pPr>
              <w:jc w:val="center"/>
              <w:rPr>
                <w:rFonts w:hint="eastAsia" w:ascii="宋体" w:hAnsi="宋体" w:eastAsia="宋体" w:cs="宋体"/>
                <w:i w:val="0"/>
                <w:iCs w:val="0"/>
                <w:color w:val="000000"/>
                <w:sz w:val="20"/>
                <w:szCs w:val="20"/>
                <w:u w:val="none"/>
              </w:rPr>
            </w:pPr>
          </w:p>
        </w:tc>
        <w:tc>
          <w:tcPr>
            <w:tcW w:w="26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6BCB5">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B1D7B">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60101">
            <w:pPr>
              <w:jc w:val="center"/>
              <w:rPr>
                <w:rFonts w:hint="eastAsia" w:ascii="宋体" w:hAnsi="宋体" w:eastAsia="宋体" w:cs="宋体"/>
                <w:i w:val="0"/>
                <w:iCs w:val="0"/>
                <w:color w:val="000000"/>
                <w:sz w:val="20"/>
                <w:szCs w:val="20"/>
                <w:u w:val="none"/>
              </w:rPr>
            </w:pPr>
          </w:p>
        </w:tc>
        <w:tc>
          <w:tcPr>
            <w:tcW w:w="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43378">
            <w:pPr>
              <w:jc w:val="center"/>
              <w:rPr>
                <w:rFonts w:hint="eastAsia" w:ascii="宋体" w:hAnsi="宋体" w:eastAsia="宋体" w:cs="宋体"/>
                <w:i w:val="0"/>
                <w:iCs w:val="0"/>
                <w:color w:val="000000"/>
                <w:sz w:val="20"/>
                <w:szCs w:val="20"/>
                <w:u w:val="none"/>
              </w:rPr>
            </w:pPr>
          </w:p>
        </w:tc>
        <w:tc>
          <w:tcPr>
            <w:tcW w:w="7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3703A">
            <w:pPr>
              <w:jc w:val="center"/>
              <w:rPr>
                <w:rFonts w:hint="eastAsia" w:ascii="宋体" w:hAnsi="宋体" w:eastAsia="宋体" w:cs="宋体"/>
                <w:i w:val="0"/>
                <w:iCs w:val="0"/>
                <w:color w:val="000000"/>
                <w:sz w:val="20"/>
                <w:szCs w:val="20"/>
                <w:u w:val="none"/>
              </w:rPr>
            </w:pPr>
          </w:p>
        </w:tc>
        <w:tc>
          <w:tcPr>
            <w:tcW w:w="17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CC34F">
            <w:pPr>
              <w:jc w:val="center"/>
              <w:rPr>
                <w:rFonts w:hint="eastAsia" w:ascii="宋体" w:hAnsi="宋体" w:eastAsia="宋体" w:cs="宋体"/>
                <w:i w:val="0"/>
                <w:iCs w:val="0"/>
                <w:color w:val="000000"/>
                <w:sz w:val="20"/>
                <w:szCs w:val="20"/>
                <w:u w:val="none"/>
              </w:rPr>
            </w:pPr>
          </w:p>
        </w:tc>
      </w:tr>
      <w:tr w14:paraId="34844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C10B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CED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706B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A82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本中心项目受益人数</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E3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&gt;=12732人</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34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=12732人</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D6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35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27637">
            <w:pPr>
              <w:jc w:val="center"/>
              <w:rPr>
                <w:rFonts w:hint="eastAsia" w:ascii="宋体" w:hAnsi="宋体" w:eastAsia="宋体" w:cs="宋体"/>
                <w:i w:val="0"/>
                <w:iCs w:val="0"/>
                <w:color w:val="000000"/>
                <w:sz w:val="20"/>
                <w:szCs w:val="20"/>
                <w:u w:val="none"/>
              </w:rPr>
            </w:pPr>
          </w:p>
        </w:tc>
      </w:tr>
      <w:tr w14:paraId="1B596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FF32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449DA">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9C7AE">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4E7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下属站受益人数</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D6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&gt;=36383人</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2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=36383人</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2AA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6D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63283">
            <w:pPr>
              <w:jc w:val="center"/>
              <w:rPr>
                <w:rFonts w:hint="eastAsia" w:ascii="宋体" w:hAnsi="宋体" w:eastAsia="宋体" w:cs="宋体"/>
                <w:i w:val="0"/>
                <w:iCs w:val="0"/>
                <w:color w:val="000000"/>
                <w:sz w:val="20"/>
                <w:szCs w:val="20"/>
                <w:u w:val="none"/>
              </w:rPr>
            </w:pPr>
          </w:p>
        </w:tc>
      </w:tr>
      <w:tr w14:paraId="3CFED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F85B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6F023">
            <w:pPr>
              <w:jc w:val="center"/>
              <w:rPr>
                <w:rFonts w:hint="eastAsia" w:ascii="宋体" w:hAnsi="宋体" w:eastAsia="宋体" w:cs="宋体"/>
                <w:i w:val="0"/>
                <w:iCs w:val="0"/>
                <w:color w:val="000000"/>
                <w:sz w:val="20"/>
                <w:szCs w:val="20"/>
                <w:u w:val="none"/>
              </w:rPr>
            </w:pP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61CD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A5D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居民规范化电子健康档案覆盖率</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0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&gt;=65%</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F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54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E2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287D5">
            <w:pPr>
              <w:jc w:val="center"/>
              <w:rPr>
                <w:rFonts w:hint="eastAsia" w:ascii="宋体" w:hAnsi="宋体" w:eastAsia="宋体" w:cs="宋体"/>
                <w:i w:val="0"/>
                <w:iCs w:val="0"/>
                <w:color w:val="000000"/>
                <w:sz w:val="20"/>
                <w:szCs w:val="20"/>
                <w:u w:val="none"/>
              </w:rPr>
            </w:pPr>
          </w:p>
        </w:tc>
      </w:tr>
      <w:tr w14:paraId="5D48E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84BE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EF55B">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CE5BF">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E4F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0-6岁儿童眼保健和视力检查覆盖率</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16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&gt;=92%</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D0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58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573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5C46D">
            <w:pPr>
              <w:jc w:val="center"/>
              <w:rPr>
                <w:rFonts w:hint="eastAsia" w:ascii="宋体" w:hAnsi="宋体" w:eastAsia="宋体" w:cs="宋体"/>
                <w:i w:val="0"/>
                <w:iCs w:val="0"/>
                <w:color w:val="000000"/>
                <w:sz w:val="20"/>
                <w:szCs w:val="20"/>
                <w:u w:val="none"/>
              </w:rPr>
            </w:pPr>
          </w:p>
        </w:tc>
      </w:tr>
      <w:tr w14:paraId="61F4D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73A4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D78A2">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407DB">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5A5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孕产妇系统管理率</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EA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&gt;=85%</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DD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BA0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59E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CCCA6F">
            <w:pPr>
              <w:jc w:val="center"/>
              <w:rPr>
                <w:rFonts w:hint="eastAsia" w:ascii="宋体" w:hAnsi="宋体" w:eastAsia="宋体" w:cs="宋体"/>
                <w:i w:val="0"/>
                <w:iCs w:val="0"/>
                <w:color w:val="000000"/>
                <w:sz w:val="20"/>
                <w:szCs w:val="20"/>
                <w:u w:val="none"/>
              </w:rPr>
            </w:pPr>
          </w:p>
        </w:tc>
      </w:tr>
      <w:tr w14:paraId="26004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67D6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374A5">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7325B">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833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0-6岁儿童健康管理率</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8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&gt;=92%</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1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693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A3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98C6E">
            <w:pPr>
              <w:jc w:val="center"/>
              <w:rPr>
                <w:rFonts w:hint="eastAsia" w:ascii="宋体" w:hAnsi="宋体" w:eastAsia="宋体" w:cs="宋体"/>
                <w:i w:val="0"/>
                <w:iCs w:val="0"/>
                <w:color w:val="000000"/>
                <w:sz w:val="20"/>
                <w:szCs w:val="20"/>
                <w:u w:val="none"/>
              </w:rPr>
            </w:pPr>
          </w:p>
        </w:tc>
      </w:tr>
      <w:tr w14:paraId="7A5F6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B760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3AF63">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5DC4">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4AC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适龄儿童国家免疫规划疫苗接种率</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D1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&gt;=95%</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3A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4A0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76C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FCF30">
            <w:pPr>
              <w:jc w:val="center"/>
              <w:rPr>
                <w:rFonts w:hint="eastAsia" w:ascii="宋体" w:hAnsi="宋体" w:eastAsia="宋体" w:cs="宋体"/>
                <w:i w:val="0"/>
                <w:iCs w:val="0"/>
                <w:color w:val="000000"/>
                <w:sz w:val="20"/>
                <w:szCs w:val="20"/>
                <w:u w:val="none"/>
              </w:rPr>
            </w:pPr>
          </w:p>
        </w:tc>
      </w:tr>
      <w:tr w14:paraId="193F9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4744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3D2C6">
            <w:pPr>
              <w:jc w:val="center"/>
              <w:rPr>
                <w:rFonts w:hint="eastAsia" w:ascii="宋体" w:hAnsi="宋体" w:eastAsia="宋体" w:cs="宋体"/>
                <w:i w:val="0"/>
                <w:iCs w:val="0"/>
                <w:color w:val="000000"/>
                <w:sz w:val="20"/>
                <w:szCs w:val="20"/>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6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F09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资金拨付及时率（%）</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80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32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6B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765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194AA">
            <w:pPr>
              <w:jc w:val="center"/>
              <w:rPr>
                <w:rFonts w:hint="eastAsia" w:ascii="宋体" w:hAnsi="宋体" w:eastAsia="宋体" w:cs="宋体"/>
                <w:i w:val="0"/>
                <w:iCs w:val="0"/>
                <w:color w:val="000000"/>
                <w:sz w:val="20"/>
                <w:szCs w:val="20"/>
                <w:u w:val="none"/>
              </w:rPr>
            </w:pPr>
          </w:p>
        </w:tc>
      </w:tr>
      <w:tr w14:paraId="11E07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C3750">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8F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F1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C31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拨付下属站经费</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5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&lt;=215.99万元</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7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=215.99万元</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00B5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7BE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835D4">
            <w:pPr>
              <w:jc w:val="center"/>
              <w:rPr>
                <w:rFonts w:hint="eastAsia" w:ascii="宋体" w:hAnsi="宋体" w:eastAsia="宋体" w:cs="宋体"/>
                <w:i w:val="0"/>
                <w:iCs w:val="0"/>
                <w:color w:val="000000"/>
                <w:sz w:val="20"/>
                <w:szCs w:val="20"/>
                <w:u w:val="none"/>
              </w:rPr>
            </w:pPr>
          </w:p>
        </w:tc>
      </w:tr>
      <w:tr w14:paraId="6B585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423E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A1FE3">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3AACB">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05B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项目经费</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F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&lt;=35万元</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A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=35万元</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4D3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D9F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94CCC1">
            <w:pPr>
              <w:jc w:val="center"/>
              <w:rPr>
                <w:rFonts w:hint="eastAsia" w:ascii="宋体" w:hAnsi="宋体" w:eastAsia="宋体" w:cs="宋体"/>
                <w:i w:val="0"/>
                <w:iCs w:val="0"/>
                <w:color w:val="000000"/>
                <w:sz w:val="20"/>
                <w:szCs w:val="20"/>
                <w:u w:val="none"/>
              </w:rPr>
            </w:pPr>
          </w:p>
        </w:tc>
      </w:tr>
      <w:tr w14:paraId="267DB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CC04B">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6DE9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A48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AED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城乡居民公共卫生服务差距</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C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不断缩小</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7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完全达到预期</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50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15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E1601">
            <w:pPr>
              <w:jc w:val="center"/>
              <w:rPr>
                <w:rFonts w:hint="eastAsia" w:ascii="宋体" w:hAnsi="宋体" w:eastAsia="宋体" w:cs="宋体"/>
                <w:i w:val="0"/>
                <w:iCs w:val="0"/>
                <w:color w:val="000000"/>
                <w:sz w:val="20"/>
                <w:szCs w:val="20"/>
                <w:u w:val="none"/>
              </w:rPr>
            </w:pPr>
          </w:p>
        </w:tc>
      </w:tr>
      <w:tr w14:paraId="2EF3F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2A60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305FD">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51EBA">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55D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提高基本公共卫生服务水平</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03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不断提高</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C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完全达到预期</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34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51D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7EDCE">
            <w:pPr>
              <w:jc w:val="center"/>
              <w:rPr>
                <w:rFonts w:hint="eastAsia" w:ascii="宋体" w:hAnsi="宋体" w:eastAsia="宋体" w:cs="宋体"/>
                <w:i w:val="0"/>
                <w:iCs w:val="0"/>
                <w:color w:val="000000"/>
                <w:sz w:val="20"/>
                <w:szCs w:val="20"/>
                <w:u w:val="none"/>
              </w:rPr>
            </w:pPr>
          </w:p>
        </w:tc>
      </w:tr>
      <w:tr w14:paraId="545DB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1049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868E0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4D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88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100.00分</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4A6A8">
            <w:pPr>
              <w:jc w:val="center"/>
              <w:rPr>
                <w:rFonts w:hint="eastAsia" w:ascii="宋体" w:hAnsi="宋体" w:eastAsia="宋体" w:cs="宋体"/>
                <w:i w:val="0"/>
                <w:iCs w:val="0"/>
                <w:color w:val="000000"/>
                <w:sz w:val="20"/>
                <w:szCs w:val="20"/>
                <w:u w:val="none"/>
              </w:rPr>
            </w:pPr>
          </w:p>
        </w:tc>
      </w:tr>
    </w:tbl>
    <w:p w14:paraId="30FF4400">
      <w:pPr>
        <w:shd w:val="clear" w:fill="FFFFFF" w:themeFill="background1"/>
        <w:rPr>
          <w:color w:val="auto"/>
          <w:highlight w:val="none"/>
        </w:rPr>
      </w:pPr>
    </w:p>
    <w:sectPr>
      <w:pgSz w:w="16838" w:h="11906" w:orient="landscape"/>
      <w:pgMar w:top="1800" w:right="1440" w:bottom="155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8962"/>
    </w:sdtPr>
    <w:sdtContent>
      <w:p w14:paraId="7C236365">
        <w:pPr>
          <w:pStyle w:val="7"/>
          <w:jc w:val="center"/>
        </w:pPr>
        <w:r>
          <w:fldChar w:fldCharType="begin"/>
        </w:r>
        <w:r>
          <w:instrText xml:space="preserve">PAGE   \* MERGEFORMAT</w:instrText>
        </w:r>
        <w:r>
          <w:fldChar w:fldCharType="separate"/>
        </w:r>
        <w:r>
          <w:rPr>
            <w:lang w:val="zh-CN"/>
          </w:rPr>
          <w:t>17</w:t>
        </w:r>
        <w:r>
          <w:fldChar w:fldCharType="end"/>
        </w:r>
      </w:p>
    </w:sdtContent>
  </w:sdt>
  <w:p w14:paraId="102977DE">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9379A8"/>
    <w:multiLevelType w:val="singleLevel"/>
    <w:tmpl w:val="FF9379A8"/>
    <w:lvl w:ilvl="0" w:tentative="0">
      <w:start w:val="2"/>
      <w:numFmt w:val="chineseCounting"/>
      <w:suff w:val="nothing"/>
      <w:lvlText w:val="（%1）"/>
      <w:lvlJc w:val="left"/>
      <w:rPr>
        <w:rFonts w:hint="eastAsia"/>
      </w:rPr>
    </w:lvl>
  </w:abstractNum>
  <w:abstractNum w:abstractNumId="1">
    <w:nsid w:val="116B29BF"/>
    <w:multiLevelType w:val="singleLevel"/>
    <w:tmpl w:val="116B29BF"/>
    <w:lvl w:ilvl="0" w:tentative="0">
      <w:start w:val="3"/>
      <w:numFmt w:val="chineseCounting"/>
      <w:suff w:val="nothing"/>
      <w:lvlText w:val="%1、"/>
      <w:lvlJc w:val="left"/>
      <w:rPr>
        <w:rFonts w:hint="eastAsia"/>
      </w:rPr>
    </w:lvl>
  </w:abstractNum>
  <w:abstractNum w:abstractNumId="2">
    <w:nsid w:val="27813159"/>
    <w:multiLevelType w:val="singleLevel"/>
    <w:tmpl w:val="27813159"/>
    <w:lvl w:ilvl="0" w:tentative="0">
      <w:start w:val="3"/>
      <w:numFmt w:val="chineseCounting"/>
      <w:suff w:val="nothing"/>
      <w:lvlText w:val="（%1）"/>
      <w:lvlJc w:val="left"/>
      <w:rPr>
        <w:rFonts w:hint="eastAsia"/>
      </w:rPr>
    </w:lvl>
  </w:abstractNum>
  <w:abstractNum w:abstractNumId="3">
    <w:nsid w:val="6FAA0AB1"/>
    <w:multiLevelType w:val="singleLevel"/>
    <w:tmpl w:val="6FAA0AB1"/>
    <w:lvl w:ilvl="0" w:tentative="0">
      <w:start w:val="2"/>
      <w:numFmt w:val="chineseCounting"/>
      <w:suff w:val="nothing"/>
      <w:lvlText w:val="（%1）"/>
      <w:lvlJc w:val="left"/>
      <w:pPr>
        <w:ind w:left="-13"/>
      </w:pPr>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iOGM5NzlhN2JhOTc3OTljZTBmY2FhN2MzNTk3ODEifQ=="/>
  </w:docVars>
  <w:rsids>
    <w:rsidRoot w:val="FF6C4049"/>
    <w:rsid w:val="004352A4"/>
    <w:rsid w:val="006F7242"/>
    <w:rsid w:val="007B168A"/>
    <w:rsid w:val="008B2CFE"/>
    <w:rsid w:val="00CC7627"/>
    <w:rsid w:val="00F26FF6"/>
    <w:rsid w:val="01610122"/>
    <w:rsid w:val="02510197"/>
    <w:rsid w:val="027E0D3A"/>
    <w:rsid w:val="035357E9"/>
    <w:rsid w:val="03EC461B"/>
    <w:rsid w:val="07397B77"/>
    <w:rsid w:val="074B186E"/>
    <w:rsid w:val="0AD007F3"/>
    <w:rsid w:val="0CDE762D"/>
    <w:rsid w:val="0E3C619F"/>
    <w:rsid w:val="0E4E5EA8"/>
    <w:rsid w:val="0E895AF2"/>
    <w:rsid w:val="0EC06D15"/>
    <w:rsid w:val="0F6273CA"/>
    <w:rsid w:val="0FB053D6"/>
    <w:rsid w:val="100F38EC"/>
    <w:rsid w:val="11170296"/>
    <w:rsid w:val="12C66037"/>
    <w:rsid w:val="12CD1ABC"/>
    <w:rsid w:val="13471461"/>
    <w:rsid w:val="13B90F01"/>
    <w:rsid w:val="155E4C4D"/>
    <w:rsid w:val="181066D2"/>
    <w:rsid w:val="19315C3E"/>
    <w:rsid w:val="1B441F5E"/>
    <w:rsid w:val="1C671E73"/>
    <w:rsid w:val="1D322C47"/>
    <w:rsid w:val="23616034"/>
    <w:rsid w:val="23696C97"/>
    <w:rsid w:val="24480FA2"/>
    <w:rsid w:val="25227A45"/>
    <w:rsid w:val="26AC3A6A"/>
    <w:rsid w:val="2B9D7E25"/>
    <w:rsid w:val="2BFD6A4C"/>
    <w:rsid w:val="2C7C7A3B"/>
    <w:rsid w:val="2F364819"/>
    <w:rsid w:val="2FD63906"/>
    <w:rsid w:val="325B00F2"/>
    <w:rsid w:val="37215DAE"/>
    <w:rsid w:val="38CA40DD"/>
    <w:rsid w:val="395F2B56"/>
    <w:rsid w:val="3A182C2E"/>
    <w:rsid w:val="3B482032"/>
    <w:rsid w:val="3BBA0580"/>
    <w:rsid w:val="3BECE841"/>
    <w:rsid w:val="3C46062A"/>
    <w:rsid w:val="3CDE204C"/>
    <w:rsid w:val="3D1862AF"/>
    <w:rsid w:val="3D363C36"/>
    <w:rsid w:val="3E9C3F6D"/>
    <w:rsid w:val="3FF7797D"/>
    <w:rsid w:val="420A6B14"/>
    <w:rsid w:val="43554EEC"/>
    <w:rsid w:val="44B801E8"/>
    <w:rsid w:val="46690BD8"/>
    <w:rsid w:val="49792371"/>
    <w:rsid w:val="49F70BF1"/>
    <w:rsid w:val="4B4340EE"/>
    <w:rsid w:val="4F0A6CD0"/>
    <w:rsid w:val="4FE6383F"/>
    <w:rsid w:val="503D507A"/>
    <w:rsid w:val="51FA74D0"/>
    <w:rsid w:val="52AA4A52"/>
    <w:rsid w:val="533269B7"/>
    <w:rsid w:val="539D3AD1"/>
    <w:rsid w:val="54314212"/>
    <w:rsid w:val="57CA406C"/>
    <w:rsid w:val="59943D66"/>
    <w:rsid w:val="59E051FD"/>
    <w:rsid w:val="59E6355E"/>
    <w:rsid w:val="5B821531"/>
    <w:rsid w:val="5BFF6039"/>
    <w:rsid w:val="5D044318"/>
    <w:rsid w:val="5D76A616"/>
    <w:rsid w:val="5D7F20B9"/>
    <w:rsid w:val="5DAC7D0E"/>
    <w:rsid w:val="5F98B5AF"/>
    <w:rsid w:val="5FFE8511"/>
    <w:rsid w:val="5FFEACE2"/>
    <w:rsid w:val="609D5BF6"/>
    <w:rsid w:val="61073070"/>
    <w:rsid w:val="61B9080E"/>
    <w:rsid w:val="61DF3FED"/>
    <w:rsid w:val="62606CE8"/>
    <w:rsid w:val="642B176B"/>
    <w:rsid w:val="643EE26D"/>
    <w:rsid w:val="656019A0"/>
    <w:rsid w:val="65974733"/>
    <w:rsid w:val="65D87EA7"/>
    <w:rsid w:val="65F242EE"/>
    <w:rsid w:val="666D7E19"/>
    <w:rsid w:val="682C1302"/>
    <w:rsid w:val="68376930"/>
    <w:rsid w:val="68F91E38"/>
    <w:rsid w:val="6B3158B9"/>
    <w:rsid w:val="6BA02A3F"/>
    <w:rsid w:val="6C105349"/>
    <w:rsid w:val="6C1E5A53"/>
    <w:rsid w:val="6F5C41AC"/>
    <w:rsid w:val="6FAF6C78"/>
    <w:rsid w:val="70AA0422"/>
    <w:rsid w:val="716167CC"/>
    <w:rsid w:val="71714F81"/>
    <w:rsid w:val="718A7AD1"/>
    <w:rsid w:val="72A44BC2"/>
    <w:rsid w:val="7317C656"/>
    <w:rsid w:val="734ED73F"/>
    <w:rsid w:val="73C82B32"/>
    <w:rsid w:val="73F94DAE"/>
    <w:rsid w:val="74220495"/>
    <w:rsid w:val="747D1B6F"/>
    <w:rsid w:val="749E5641"/>
    <w:rsid w:val="76271066"/>
    <w:rsid w:val="77FD8BE9"/>
    <w:rsid w:val="78000AED"/>
    <w:rsid w:val="78036054"/>
    <w:rsid w:val="78C571B5"/>
    <w:rsid w:val="79A9BD3F"/>
    <w:rsid w:val="7AC5270E"/>
    <w:rsid w:val="7B4E129B"/>
    <w:rsid w:val="7B776F12"/>
    <w:rsid w:val="7BFFFDD0"/>
    <w:rsid w:val="7C0A5FE0"/>
    <w:rsid w:val="7C336E5F"/>
    <w:rsid w:val="7C8D4919"/>
    <w:rsid w:val="7D7A5F86"/>
    <w:rsid w:val="7E4B683A"/>
    <w:rsid w:val="7E5E656D"/>
    <w:rsid w:val="7E8F2BCB"/>
    <w:rsid w:val="7F37BB4E"/>
    <w:rsid w:val="7F9A64B3"/>
    <w:rsid w:val="7FD2430E"/>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qFormat/>
    <w:uiPriority w:val="0"/>
    <w:pPr>
      <w:jc w:val="left"/>
    </w:p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rPr>
      <w:rFonts w:ascii="Calibri" w:hAnsi="Calibri"/>
    </w:rPr>
  </w:style>
  <w:style w:type="paragraph" w:styleId="6">
    <w:name w:val="Balloon Text"/>
    <w:basedOn w:val="1"/>
    <w:link w:val="20"/>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paragraph" w:styleId="10">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11">
    <w:name w:val="annotation subject"/>
    <w:basedOn w:val="3"/>
    <w:next w:val="3"/>
    <w:link w:val="23"/>
    <w:qFormat/>
    <w:uiPriority w:val="0"/>
    <w:rPr>
      <w:b/>
      <w:bCs/>
    </w:rPr>
  </w:style>
  <w:style w:type="paragraph" w:styleId="12">
    <w:name w:val="Body Text First Indent"/>
    <w:basedOn w:val="4"/>
    <w:qFormat/>
    <w:uiPriority w:val="0"/>
    <w:pPr>
      <w:spacing w:after="0"/>
      <w:ind w:firstLine="200" w:firstLineChars="200"/>
    </w:pPr>
  </w:style>
  <w:style w:type="paragraph" w:styleId="13">
    <w:name w:val="Body Text First Indent 2"/>
    <w:basedOn w:val="5"/>
    <w:qFormat/>
    <w:uiPriority w:val="0"/>
    <w:pPr>
      <w:ind w:firstLine="420" w:firstLineChars="200"/>
    </w:pPr>
  </w:style>
  <w:style w:type="character" w:styleId="16">
    <w:name w:val="Strong"/>
    <w:basedOn w:val="15"/>
    <w:qFormat/>
    <w:uiPriority w:val="0"/>
    <w:rPr>
      <w:b/>
      <w:bCs/>
    </w:rPr>
  </w:style>
  <w:style w:type="character" w:styleId="17">
    <w:name w:val="annotation reference"/>
    <w:basedOn w:val="15"/>
    <w:qFormat/>
    <w:uiPriority w:val="0"/>
    <w:rPr>
      <w:sz w:val="21"/>
      <w:szCs w:val="21"/>
    </w:rPr>
  </w:style>
  <w:style w:type="character" w:customStyle="1" w:styleId="18">
    <w:name w:val="fontstyle01"/>
    <w:qFormat/>
    <w:uiPriority w:val="0"/>
    <w:rPr>
      <w:rFonts w:ascii="仿宋_GB2312" w:hAnsi="仿宋_GB2312" w:eastAsia="仿宋_GB2312" w:cs="仿宋_GB2312"/>
      <w:color w:val="000000"/>
      <w:sz w:val="32"/>
      <w:szCs w:val="32"/>
    </w:rPr>
  </w:style>
  <w:style w:type="paragraph" w:customStyle="1" w:styleId="19">
    <w:name w:val="闻政-正文段落文字"/>
    <w:basedOn w:val="1"/>
    <w:qFormat/>
    <w:uiPriority w:val="3"/>
    <w:pPr>
      <w:spacing w:line="500" w:lineRule="exact"/>
      <w:ind w:firstLine="200"/>
    </w:pPr>
    <w:rPr>
      <w:kern w:val="0"/>
      <w:szCs w:val="28"/>
    </w:rPr>
  </w:style>
  <w:style w:type="character" w:customStyle="1" w:styleId="20">
    <w:name w:val="批注框文本 Char"/>
    <w:basedOn w:val="15"/>
    <w:link w:val="6"/>
    <w:qFormat/>
    <w:uiPriority w:val="0"/>
    <w:rPr>
      <w:rFonts w:ascii="Times New Roman" w:hAnsi="Times New Roman" w:eastAsia="宋体" w:cs="Times New Roman"/>
      <w:kern w:val="2"/>
      <w:sz w:val="18"/>
      <w:szCs w:val="18"/>
    </w:rPr>
  </w:style>
  <w:style w:type="character" w:customStyle="1" w:styleId="21">
    <w:name w:val="页眉 Char"/>
    <w:basedOn w:val="15"/>
    <w:link w:val="8"/>
    <w:qFormat/>
    <w:uiPriority w:val="0"/>
    <w:rPr>
      <w:rFonts w:ascii="Times New Roman" w:hAnsi="Times New Roman" w:eastAsia="宋体" w:cs="Times New Roman"/>
      <w:kern w:val="2"/>
      <w:sz w:val="18"/>
      <w:szCs w:val="18"/>
    </w:rPr>
  </w:style>
  <w:style w:type="character" w:customStyle="1" w:styleId="22">
    <w:name w:val="批注文字 Char"/>
    <w:basedOn w:val="15"/>
    <w:link w:val="3"/>
    <w:qFormat/>
    <w:uiPriority w:val="0"/>
    <w:rPr>
      <w:rFonts w:ascii="Times New Roman" w:hAnsi="Times New Roman" w:eastAsia="宋体" w:cs="Times New Roman"/>
      <w:kern w:val="2"/>
      <w:sz w:val="21"/>
      <w:szCs w:val="24"/>
    </w:rPr>
  </w:style>
  <w:style w:type="character" w:customStyle="1" w:styleId="23">
    <w:name w:val="批注主题 Char"/>
    <w:basedOn w:val="22"/>
    <w:link w:val="11"/>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31</Pages>
  <Words>6343</Words>
  <Characters>6537</Characters>
  <Lines>9</Lines>
  <Paragraphs>27</Paragraphs>
  <TotalTime>0</TotalTime>
  <ScaleCrop>false</ScaleCrop>
  <LinksUpToDate>false</LinksUpToDate>
  <CharactersWithSpaces>6560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2023-03-08T13:13:00Z</dcterms:created>
  <dc:creator>审核人</dc:creator>
  <cp:lastModifiedBy>11点28分不打烊</cp:lastModifiedBy>
  <dcterms:modified xsi:type="dcterms:W3CDTF">2025-11-28T03:20:32Z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DC3E7FEC325B4F3D8D532F62DB8790F1_13</vt:lpwstr>
  </property>
  <property fmtid="{D5CDD505-2E9C-101B-9397-08002B2CF9AE}" pid="4" name="KSOTemplateDocerSaveRecord">
    <vt:lpwstr>eyJoZGlkIjoiNTlkZWQ3ZWZiOGVhYTk1OTExMjBmYWQ4ZjAxNTk5MTciLCJ1c2VySWQiOiI5MTU3NDI2MDkifQ==</vt:lpwstr>
  </property>
</Properties>
</file>