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755C3">
      <w:pPr>
        <w:spacing w:line="540" w:lineRule="exact"/>
        <w:jc w:val="center"/>
        <w:rPr>
          <w:rFonts w:eastAsia="华文中宋"/>
          <w:b/>
          <w:kern w:val="0"/>
          <w:sz w:val="52"/>
          <w:szCs w:val="52"/>
        </w:rPr>
      </w:pPr>
    </w:p>
    <w:p w14:paraId="07886B04">
      <w:pPr>
        <w:spacing w:line="540" w:lineRule="exact"/>
        <w:rPr>
          <w:rFonts w:eastAsia="华文中宋"/>
          <w:b/>
          <w:kern w:val="0"/>
          <w:sz w:val="52"/>
          <w:szCs w:val="52"/>
        </w:rPr>
      </w:pPr>
    </w:p>
    <w:p w14:paraId="74428C82">
      <w:pPr>
        <w:spacing w:line="540" w:lineRule="exact"/>
        <w:jc w:val="center"/>
        <w:rPr>
          <w:rFonts w:eastAsia="华文中宋"/>
          <w:b/>
          <w:kern w:val="0"/>
          <w:sz w:val="52"/>
          <w:szCs w:val="52"/>
        </w:rPr>
      </w:pPr>
    </w:p>
    <w:p w14:paraId="1B198F29">
      <w:pPr>
        <w:spacing w:line="540" w:lineRule="exact"/>
        <w:jc w:val="center"/>
        <w:rPr>
          <w:rFonts w:eastAsia="华文中宋"/>
          <w:b/>
          <w:kern w:val="0"/>
          <w:sz w:val="52"/>
          <w:szCs w:val="52"/>
        </w:rPr>
      </w:pPr>
    </w:p>
    <w:p w14:paraId="0AEF7784">
      <w:pPr>
        <w:spacing w:line="540" w:lineRule="exact"/>
        <w:jc w:val="center"/>
        <w:rPr>
          <w:rFonts w:eastAsia="方正小标宋_GBK"/>
          <w:kern w:val="0"/>
          <w:sz w:val="48"/>
          <w:szCs w:val="48"/>
        </w:rPr>
      </w:pPr>
      <w:r>
        <w:rPr>
          <w:rFonts w:hint="eastAsia" w:eastAsia="方正小标宋_GBK"/>
          <w:kern w:val="0"/>
          <w:sz w:val="48"/>
          <w:szCs w:val="48"/>
        </w:rPr>
        <w:t>区人才公寓装修经费</w:t>
      </w:r>
      <w:r>
        <w:rPr>
          <w:rFonts w:eastAsia="方正小标宋_GBK"/>
          <w:kern w:val="0"/>
          <w:sz w:val="48"/>
          <w:szCs w:val="48"/>
        </w:rPr>
        <w:t>项目支出绩效评价</w:t>
      </w:r>
    </w:p>
    <w:p w14:paraId="3AE46126">
      <w:pPr>
        <w:spacing w:line="540" w:lineRule="exact"/>
        <w:jc w:val="center"/>
        <w:rPr>
          <w:rFonts w:eastAsia="方正小标宋_GBK"/>
          <w:kern w:val="0"/>
          <w:sz w:val="48"/>
          <w:szCs w:val="48"/>
        </w:rPr>
      </w:pPr>
      <w:r>
        <w:rPr>
          <w:rFonts w:eastAsia="方正小标宋_GBK"/>
          <w:kern w:val="0"/>
          <w:sz w:val="48"/>
          <w:szCs w:val="48"/>
        </w:rPr>
        <w:t>报告</w:t>
      </w:r>
    </w:p>
    <w:p w14:paraId="61E85197">
      <w:pPr>
        <w:spacing w:line="540" w:lineRule="exact"/>
        <w:jc w:val="center"/>
        <w:rPr>
          <w:rFonts w:eastAsia="华文中宋"/>
          <w:b/>
          <w:kern w:val="0"/>
          <w:sz w:val="52"/>
          <w:szCs w:val="52"/>
        </w:rPr>
      </w:pPr>
    </w:p>
    <w:p w14:paraId="7DF5D41A">
      <w:pPr>
        <w:spacing w:line="540" w:lineRule="exact"/>
        <w:jc w:val="center"/>
        <w:rPr>
          <w:rFonts w:eastAsia="仿宋_GB2312"/>
          <w:kern w:val="0"/>
          <w:sz w:val="36"/>
          <w:szCs w:val="36"/>
        </w:rPr>
      </w:pPr>
      <w:r>
        <w:rPr>
          <w:rFonts w:eastAsia="仿宋_GB2312"/>
          <w:kern w:val="0"/>
          <w:sz w:val="36"/>
          <w:szCs w:val="36"/>
        </w:rPr>
        <w:t>（2024年度）</w:t>
      </w:r>
    </w:p>
    <w:p w14:paraId="0EA4BB36">
      <w:pPr>
        <w:spacing w:line="540" w:lineRule="exact"/>
        <w:jc w:val="center"/>
        <w:rPr>
          <w:rFonts w:eastAsia="仿宋_GB2312"/>
          <w:kern w:val="0"/>
          <w:sz w:val="30"/>
          <w:szCs w:val="30"/>
        </w:rPr>
      </w:pPr>
    </w:p>
    <w:p w14:paraId="6F0AF99F">
      <w:pPr>
        <w:spacing w:line="540" w:lineRule="exact"/>
        <w:jc w:val="center"/>
        <w:rPr>
          <w:rFonts w:eastAsia="仿宋_GB2312"/>
          <w:kern w:val="0"/>
          <w:sz w:val="30"/>
          <w:szCs w:val="30"/>
        </w:rPr>
      </w:pPr>
    </w:p>
    <w:p w14:paraId="514C1C6F">
      <w:pPr>
        <w:spacing w:line="540" w:lineRule="exact"/>
        <w:jc w:val="center"/>
        <w:rPr>
          <w:rFonts w:eastAsia="仿宋_GB2312"/>
          <w:kern w:val="0"/>
          <w:sz w:val="30"/>
          <w:szCs w:val="30"/>
        </w:rPr>
      </w:pPr>
    </w:p>
    <w:p w14:paraId="12752890">
      <w:pPr>
        <w:pStyle w:val="10"/>
        <w:rPr>
          <w:rFonts w:ascii="Times New Roman" w:hAnsi="Times New Roman"/>
        </w:rPr>
      </w:pPr>
    </w:p>
    <w:p w14:paraId="17AAC127">
      <w:pPr>
        <w:spacing w:line="540" w:lineRule="exact"/>
        <w:jc w:val="center"/>
        <w:rPr>
          <w:rFonts w:eastAsia="仿宋_GB2312"/>
          <w:kern w:val="0"/>
          <w:sz w:val="30"/>
          <w:szCs w:val="30"/>
        </w:rPr>
      </w:pPr>
    </w:p>
    <w:p w14:paraId="364517FA">
      <w:pPr>
        <w:spacing w:line="540" w:lineRule="exact"/>
        <w:rPr>
          <w:rFonts w:eastAsia="仿宋_GB2312"/>
          <w:kern w:val="0"/>
          <w:sz w:val="30"/>
          <w:szCs w:val="30"/>
        </w:rPr>
      </w:pPr>
    </w:p>
    <w:p w14:paraId="5DD41B45">
      <w:pPr>
        <w:spacing w:line="700" w:lineRule="exact"/>
        <w:ind w:firstLine="1440" w:firstLineChars="400"/>
        <w:jc w:val="left"/>
        <w:rPr>
          <w:rFonts w:eastAsia="仿宋_GB2312"/>
          <w:kern w:val="0"/>
          <w:sz w:val="36"/>
          <w:szCs w:val="36"/>
        </w:rPr>
      </w:pPr>
      <w:r>
        <w:rPr>
          <w:rFonts w:eastAsia="仿宋_GB2312"/>
          <w:kern w:val="0"/>
          <w:sz w:val="36"/>
          <w:szCs w:val="36"/>
        </w:rPr>
        <w:t>项目名称：</w:t>
      </w:r>
      <w:r>
        <w:rPr>
          <w:rFonts w:hint="eastAsia" w:eastAsia="仿宋_GB2312"/>
          <w:kern w:val="0"/>
          <w:sz w:val="36"/>
          <w:szCs w:val="36"/>
        </w:rPr>
        <w:t>区人才公寓装修经费</w:t>
      </w:r>
    </w:p>
    <w:p w14:paraId="373076A9">
      <w:pPr>
        <w:spacing w:line="700" w:lineRule="exact"/>
        <w:ind w:firstLine="1440" w:firstLineChars="400"/>
        <w:jc w:val="left"/>
        <w:rPr>
          <w:rFonts w:eastAsia="仿宋_GB2312"/>
          <w:kern w:val="0"/>
          <w:sz w:val="36"/>
          <w:szCs w:val="36"/>
        </w:rPr>
      </w:pPr>
      <w:r>
        <w:rPr>
          <w:rFonts w:eastAsia="仿宋_GB2312"/>
          <w:kern w:val="0"/>
          <w:sz w:val="36"/>
          <w:szCs w:val="36"/>
        </w:rPr>
        <w:t>实施单位（公章）：</w:t>
      </w:r>
      <w:r>
        <w:rPr>
          <w:rFonts w:hint="eastAsia" w:eastAsia="仿宋_GB2312"/>
          <w:kern w:val="0"/>
          <w:sz w:val="36"/>
          <w:szCs w:val="36"/>
        </w:rPr>
        <w:t>沙区机关事务管理中心</w:t>
      </w:r>
    </w:p>
    <w:p w14:paraId="5CE517C5">
      <w:pPr>
        <w:spacing w:line="700" w:lineRule="exact"/>
        <w:ind w:firstLine="1440" w:firstLineChars="40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沙区人民政府办公室</w:t>
      </w:r>
    </w:p>
    <w:p w14:paraId="77E30E5F">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靳雯</w:t>
      </w:r>
    </w:p>
    <w:p w14:paraId="1A5B2C7A">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1</w:t>
      </w:r>
      <w:r>
        <w:rPr>
          <w:rFonts w:eastAsia="仿宋_GB2312"/>
          <w:kern w:val="0"/>
          <w:sz w:val="36"/>
          <w:szCs w:val="36"/>
        </w:rPr>
        <w:t>日</w:t>
      </w:r>
    </w:p>
    <w:p w14:paraId="21D4ED5D">
      <w:pPr>
        <w:spacing w:line="540" w:lineRule="exact"/>
        <w:jc w:val="center"/>
        <w:rPr>
          <w:rFonts w:eastAsia="仿宋_GB2312"/>
          <w:kern w:val="0"/>
          <w:sz w:val="30"/>
          <w:szCs w:val="30"/>
        </w:rPr>
      </w:pPr>
    </w:p>
    <w:p w14:paraId="0E855A7D">
      <w:pPr>
        <w:spacing w:line="540" w:lineRule="exact"/>
        <w:rPr>
          <w:rStyle w:val="16"/>
          <w:rFonts w:eastAsia="黑体"/>
          <w:b w:val="0"/>
          <w:spacing w:val="-4"/>
          <w:sz w:val="32"/>
          <w:szCs w:val="32"/>
        </w:rPr>
      </w:pPr>
    </w:p>
    <w:p w14:paraId="2D3F218D">
      <w:pPr>
        <w:spacing w:line="540" w:lineRule="exact"/>
        <w:ind w:firstLine="640"/>
        <w:rPr>
          <w:rStyle w:val="16"/>
          <w:rFonts w:eastAsia="黑体"/>
          <w:b w:val="0"/>
          <w:spacing w:val="-4"/>
          <w:sz w:val="32"/>
          <w:szCs w:val="32"/>
        </w:rPr>
      </w:pPr>
    </w:p>
    <w:p w14:paraId="3568A552">
      <w:pPr>
        <w:spacing w:line="540" w:lineRule="exact"/>
        <w:rPr>
          <w:rStyle w:val="16"/>
          <w:rFonts w:eastAsia="黑体"/>
          <w:b w:val="0"/>
          <w:spacing w:val="-4"/>
          <w:sz w:val="32"/>
          <w:szCs w:val="32"/>
        </w:rPr>
      </w:pPr>
    </w:p>
    <w:p w14:paraId="27D19D35">
      <w:pPr>
        <w:spacing w:line="560" w:lineRule="exact"/>
        <w:ind w:firstLine="640" w:firstLineChars="200"/>
        <w:rPr>
          <w:rFonts w:eastAsia="黑体"/>
          <w:bCs/>
          <w:sz w:val="32"/>
          <w:szCs w:val="32"/>
        </w:rPr>
        <w:sectPr>
          <w:pgSz w:w="11906" w:h="16838"/>
          <w:pgMar w:top="1440" w:right="1558" w:bottom="1440" w:left="1800" w:header="851" w:footer="992" w:gutter="0"/>
          <w:cols w:space="425" w:num="1"/>
          <w:docGrid w:type="lines" w:linePitch="312" w:charSpace="0"/>
        </w:sectPr>
      </w:pPr>
    </w:p>
    <w:p w14:paraId="3617F427">
      <w:pPr>
        <w:spacing w:line="560" w:lineRule="exact"/>
        <w:ind w:firstLine="640" w:firstLineChars="200"/>
        <w:rPr>
          <w:rFonts w:eastAsia="黑体"/>
          <w:bCs/>
          <w:sz w:val="32"/>
          <w:szCs w:val="32"/>
        </w:rPr>
      </w:pPr>
      <w:r>
        <w:rPr>
          <w:rFonts w:eastAsia="黑体"/>
          <w:bCs/>
          <w:sz w:val="32"/>
          <w:szCs w:val="32"/>
        </w:rPr>
        <w:t>一、基本情况</w:t>
      </w:r>
    </w:p>
    <w:p w14:paraId="0ACFD41F">
      <w:pPr>
        <w:spacing w:line="560" w:lineRule="exact"/>
        <w:ind w:firstLine="643" w:firstLineChars="200"/>
        <w:rPr>
          <w:rFonts w:eastAsia="楷体_GB2312"/>
          <w:b/>
          <w:bCs/>
          <w:sz w:val="32"/>
          <w:szCs w:val="32"/>
        </w:rPr>
      </w:pPr>
      <w:r>
        <w:rPr>
          <w:rFonts w:eastAsia="楷体_GB2312"/>
          <w:b/>
          <w:bCs/>
          <w:sz w:val="32"/>
          <w:szCs w:val="32"/>
        </w:rPr>
        <w:t>（一）项目概况</w:t>
      </w:r>
    </w:p>
    <w:p w14:paraId="29A87CE5">
      <w:pPr>
        <w:spacing w:line="560" w:lineRule="exact"/>
        <w:ind w:firstLine="643" w:firstLineChars="200"/>
        <w:rPr>
          <w:rFonts w:eastAsia="仿宋_GB2312"/>
          <w:b/>
          <w:bCs/>
          <w:sz w:val="32"/>
          <w:szCs w:val="32"/>
        </w:rPr>
      </w:pPr>
      <w:r>
        <w:rPr>
          <w:rFonts w:eastAsia="仿宋_GB2312"/>
          <w:b/>
          <w:bCs/>
          <w:sz w:val="32"/>
          <w:szCs w:val="32"/>
        </w:rPr>
        <w:t>1.项目背景</w:t>
      </w:r>
    </w:p>
    <w:p w14:paraId="7AE92038">
      <w:pPr>
        <w:spacing w:line="560" w:lineRule="exact"/>
        <w:ind w:firstLine="600" w:firstLineChars="200"/>
        <w:rPr>
          <w:rStyle w:val="16"/>
          <w:rFonts w:hint="default" w:eastAsia="仿宋_GB2312"/>
          <w:b w:val="0"/>
          <w:spacing w:val="-4"/>
          <w:sz w:val="32"/>
          <w:szCs w:val="32"/>
          <w:highlight w:val="yellow"/>
          <w:lang w:val="en-US" w:eastAsia="zh-CN"/>
        </w:rPr>
      </w:pPr>
      <w:r>
        <w:rPr>
          <w:rFonts w:hint="eastAsia" w:eastAsia="仿宋_GB2312"/>
          <w:sz w:val="30"/>
          <w:szCs w:val="30"/>
        </w:rPr>
        <w:t>为贯彻落实地方人才引进政策，优化人才居住环境，提升区域竞争力，区政府计划对区内人才公寓进行统一装修升级，打造高品质、智能化、宜居的公寓空间，吸引并留住高层次人才和青年创新创业群体。根据《人才安居工程实施方案》等文件要求，政府需为引进人才提供配套住房保障，装修项目是完善人才服务的重要环节</w:t>
      </w:r>
      <w:r>
        <w:rPr>
          <w:rFonts w:hint="eastAsia" w:eastAsia="仿宋_GB2312"/>
          <w:sz w:val="30"/>
          <w:szCs w:val="30"/>
          <w:lang w:eastAsia="zh-CN"/>
        </w:rPr>
        <w:t>，</w:t>
      </w:r>
      <w:r>
        <w:rPr>
          <w:rFonts w:hint="eastAsia" w:eastAsia="仿宋_GB2312"/>
          <w:sz w:val="30"/>
          <w:szCs w:val="30"/>
          <w:lang w:val="en-US" w:eastAsia="zh-CN"/>
        </w:rPr>
        <w:t>我单位特设立此项目。</w:t>
      </w:r>
    </w:p>
    <w:p w14:paraId="72792D41">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49BB6F1E">
      <w:pPr>
        <w:spacing w:line="560" w:lineRule="exact"/>
        <w:ind w:firstLine="600" w:firstLineChars="200"/>
        <w:rPr>
          <w:rFonts w:hint="eastAsia" w:eastAsia="仿宋_GB2312"/>
          <w:sz w:val="30"/>
          <w:szCs w:val="30"/>
        </w:rPr>
      </w:pPr>
      <w:r>
        <w:rPr>
          <w:rFonts w:eastAsia="仿宋_GB2312"/>
          <w:sz w:val="30"/>
          <w:szCs w:val="30"/>
        </w:rPr>
        <w:t>项目主要内容：</w:t>
      </w:r>
      <w:r>
        <w:rPr>
          <w:rFonts w:hint="eastAsia" w:eastAsia="仿宋_GB2312"/>
          <w:sz w:val="30"/>
          <w:szCs w:val="30"/>
        </w:rPr>
        <w:t>该项目总预算155.4万元，用于区人才公寓装修共计28套房间，项目资金及时支付，按时完成，区内“引进人才”工作人员及时入住，验收合格率100%。</w:t>
      </w:r>
    </w:p>
    <w:p w14:paraId="5A744B55">
      <w:pPr>
        <w:spacing w:line="560" w:lineRule="exact"/>
        <w:ind w:firstLine="640" w:firstLineChars="200"/>
      </w:pPr>
      <w:r>
        <w:rPr>
          <w:rFonts w:eastAsia="仿宋_GB2312"/>
          <w:sz w:val="32"/>
          <w:szCs w:val="32"/>
        </w:rPr>
        <w:t>项目实施情况：</w:t>
      </w:r>
      <w:r>
        <w:rPr>
          <w:rFonts w:hint="eastAsia" w:eastAsia="仿宋_GB2312"/>
          <w:sz w:val="32"/>
          <w:szCs w:val="32"/>
        </w:rPr>
        <w:t>按照要求装修房间数量28套，项目资金支付率100%，预算空置率100%，项目验收合格率100%，保障区内“引进人才”工作人员及时入住，满意率95%</w:t>
      </w:r>
      <w:r>
        <w:rPr>
          <w:rFonts w:eastAsia="仿宋_GB2312"/>
          <w:sz w:val="32"/>
          <w:szCs w:val="32"/>
        </w:rPr>
        <w:t>。</w:t>
      </w:r>
    </w:p>
    <w:p w14:paraId="2C49042C">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3748BDFA">
      <w:pPr>
        <w:spacing w:line="600" w:lineRule="exact"/>
        <w:ind w:firstLine="640" w:firstLineChars="200"/>
        <w:outlineLvl w:val="0"/>
        <w:rPr>
          <w:rFonts w:eastAsia="仿宋_GB2312"/>
          <w:sz w:val="32"/>
          <w:szCs w:val="32"/>
        </w:rPr>
      </w:pPr>
      <w:r>
        <w:rPr>
          <w:rFonts w:eastAsia="仿宋_GB2312"/>
          <w:sz w:val="32"/>
          <w:szCs w:val="32"/>
        </w:rPr>
        <w:t>（1）资金投入情况</w:t>
      </w:r>
    </w:p>
    <w:p w14:paraId="15081207">
      <w:pPr>
        <w:spacing w:line="600" w:lineRule="exact"/>
        <w:ind w:firstLine="640" w:firstLineChars="200"/>
        <w:outlineLvl w:val="0"/>
        <w:rPr>
          <w:rFonts w:hint="eastAsia" w:eastAsia="仿宋_GB2312"/>
          <w:color w:val="FF0000"/>
          <w:sz w:val="32"/>
          <w:szCs w:val="32"/>
        </w:rPr>
      </w:pPr>
      <w:r>
        <w:rPr>
          <w:rFonts w:eastAsia="仿宋_GB2312"/>
          <w:sz w:val="32"/>
          <w:szCs w:val="32"/>
        </w:rPr>
        <w:t>该项目年初预算数</w:t>
      </w:r>
      <w:r>
        <w:rPr>
          <w:rFonts w:hint="eastAsia" w:eastAsia="仿宋_GB2312"/>
          <w:sz w:val="32"/>
          <w:szCs w:val="32"/>
        </w:rPr>
        <w:t>179</w:t>
      </w:r>
      <w:r>
        <w:rPr>
          <w:rFonts w:eastAsia="仿宋_GB2312"/>
          <w:sz w:val="32"/>
          <w:szCs w:val="32"/>
        </w:rPr>
        <w:t>万元，全年预算</w:t>
      </w:r>
      <w:r>
        <w:rPr>
          <w:rFonts w:hint="eastAsia" w:eastAsia="仿宋_GB2312"/>
          <w:sz w:val="32"/>
          <w:szCs w:val="32"/>
        </w:rPr>
        <w:t>数155.4</w:t>
      </w:r>
      <w:r>
        <w:rPr>
          <w:rFonts w:eastAsia="仿宋_GB2312"/>
          <w:sz w:val="32"/>
          <w:szCs w:val="32"/>
        </w:rPr>
        <w:t>万元，该项目资金已全部落实到位，</w:t>
      </w:r>
      <w:r>
        <w:rPr>
          <w:rFonts w:hint="eastAsia" w:eastAsia="仿宋_GB2312" w:cs="Times New Roman"/>
          <w:color w:val="auto"/>
          <w:sz w:val="32"/>
          <w:szCs w:val="32"/>
          <w:highlight w:val="none"/>
          <w:lang w:val="en-US" w:eastAsia="zh-CN"/>
        </w:rPr>
        <w:t>根据沙财发〔2024〕1号文件批准，项目系本级资金</w:t>
      </w:r>
      <w:r>
        <w:rPr>
          <w:rFonts w:hint="default" w:ascii="Times New Roman" w:hAnsi="Times New Roman" w:eastAsia="仿宋_GB2312" w:cs="Times New Roman"/>
          <w:color w:val="auto"/>
          <w:sz w:val="32"/>
          <w:szCs w:val="32"/>
          <w:highlight w:val="none"/>
          <w:lang w:val="en-US" w:eastAsia="zh-CN"/>
        </w:rPr>
        <w:t>。</w:t>
      </w:r>
    </w:p>
    <w:p w14:paraId="21A00B8C">
      <w:pPr>
        <w:spacing w:line="600" w:lineRule="exact"/>
        <w:ind w:firstLine="640" w:firstLineChars="200"/>
        <w:outlineLvl w:val="0"/>
        <w:rPr>
          <w:rFonts w:eastAsia="仿宋_GB2312"/>
          <w:sz w:val="32"/>
          <w:szCs w:val="32"/>
        </w:rPr>
      </w:pPr>
      <w:r>
        <w:rPr>
          <w:rFonts w:eastAsia="仿宋_GB2312"/>
          <w:sz w:val="32"/>
          <w:szCs w:val="32"/>
        </w:rPr>
        <w:t>（2）资金使用情况</w:t>
      </w:r>
    </w:p>
    <w:p w14:paraId="78FEC753">
      <w:pPr>
        <w:spacing w:line="600" w:lineRule="exact"/>
        <w:ind w:firstLine="640" w:firstLineChars="200"/>
        <w:outlineLvl w:val="0"/>
        <w:rPr>
          <w:rFonts w:hint="eastAsia" w:eastAsia="仿宋_GB2312"/>
          <w:sz w:val="32"/>
          <w:szCs w:val="32"/>
          <w:lang w:eastAsia="zh-CN"/>
        </w:rPr>
      </w:pPr>
      <w:r>
        <w:rPr>
          <w:rFonts w:eastAsia="仿宋_GB2312"/>
          <w:sz w:val="32"/>
          <w:szCs w:val="32"/>
        </w:rPr>
        <w:t>该项目年初预算数</w:t>
      </w:r>
      <w:r>
        <w:rPr>
          <w:rFonts w:hint="eastAsia" w:eastAsia="仿宋_GB2312"/>
          <w:sz w:val="32"/>
          <w:szCs w:val="32"/>
        </w:rPr>
        <w:t>179</w:t>
      </w:r>
      <w:r>
        <w:rPr>
          <w:rFonts w:eastAsia="仿宋_GB2312"/>
          <w:sz w:val="32"/>
          <w:szCs w:val="32"/>
        </w:rPr>
        <w:t>万元，全年预算数</w:t>
      </w:r>
      <w:r>
        <w:rPr>
          <w:rFonts w:hint="eastAsia" w:eastAsia="仿宋_GB2312"/>
          <w:sz w:val="32"/>
          <w:szCs w:val="32"/>
        </w:rPr>
        <w:t>155.4</w:t>
      </w:r>
      <w:r>
        <w:rPr>
          <w:rFonts w:eastAsia="仿宋_GB2312"/>
          <w:sz w:val="32"/>
          <w:szCs w:val="32"/>
        </w:rPr>
        <w:t>万元</w:t>
      </w:r>
      <w:r>
        <w:rPr>
          <w:rFonts w:hint="eastAsia" w:eastAsia="仿宋_GB2312"/>
          <w:sz w:val="32"/>
          <w:szCs w:val="32"/>
          <w:lang w:eastAsia="zh-CN"/>
        </w:rPr>
        <w:t>，</w:t>
      </w:r>
      <w:r>
        <w:rPr>
          <w:rFonts w:eastAsia="仿宋_GB2312"/>
          <w:sz w:val="32"/>
          <w:szCs w:val="32"/>
        </w:rPr>
        <w:t>全年执行数</w:t>
      </w:r>
      <w:r>
        <w:rPr>
          <w:rFonts w:hint="eastAsia" w:eastAsia="仿宋_GB2312"/>
          <w:sz w:val="32"/>
          <w:szCs w:val="32"/>
        </w:rPr>
        <w:t>155.4</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w:t>
      </w:r>
      <w:r>
        <w:rPr>
          <w:rFonts w:hint="eastAsia" w:eastAsia="仿宋_GB2312"/>
          <w:sz w:val="32"/>
          <w:szCs w:val="32"/>
        </w:rPr>
        <w:t>区人才公寓装修共计28套房间，保障“引进人才”工作人员正常生活水平</w:t>
      </w:r>
      <w:r>
        <w:rPr>
          <w:rFonts w:hint="eastAsia" w:eastAsia="仿宋_GB2312"/>
          <w:sz w:val="32"/>
          <w:szCs w:val="32"/>
          <w:lang w:eastAsia="zh-CN"/>
        </w:rPr>
        <w:t>。</w:t>
      </w:r>
    </w:p>
    <w:p w14:paraId="5FF35306">
      <w:pPr>
        <w:spacing w:line="560" w:lineRule="exact"/>
        <w:ind w:firstLine="643" w:firstLineChars="200"/>
        <w:rPr>
          <w:rFonts w:eastAsia="楷体_GB2312"/>
          <w:b/>
          <w:bCs/>
          <w:sz w:val="32"/>
          <w:szCs w:val="32"/>
        </w:rPr>
      </w:pPr>
      <w:r>
        <w:rPr>
          <w:rFonts w:eastAsia="楷体_GB2312"/>
          <w:b/>
          <w:bCs/>
          <w:sz w:val="32"/>
          <w:szCs w:val="32"/>
        </w:rPr>
        <w:t>（二）项目绩效目标</w:t>
      </w:r>
    </w:p>
    <w:p w14:paraId="5E550E13">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774F25D">
      <w:pPr>
        <w:spacing w:line="600" w:lineRule="exact"/>
        <w:ind w:firstLine="640" w:firstLineChars="200"/>
        <w:outlineLvl w:val="0"/>
        <w:rPr>
          <w:rFonts w:hint="eastAsia" w:eastAsia="仿宋_GB2312"/>
          <w:sz w:val="32"/>
          <w:szCs w:val="32"/>
        </w:rPr>
      </w:pPr>
      <w:r>
        <w:rPr>
          <w:rFonts w:hint="eastAsia" w:eastAsia="仿宋_GB2312"/>
          <w:sz w:val="32"/>
          <w:szCs w:val="32"/>
        </w:rPr>
        <w:t>该项目总预算</w:t>
      </w:r>
      <w:r>
        <w:rPr>
          <w:rFonts w:hint="eastAsia" w:eastAsia="仿宋_GB2312"/>
          <w:sz w:val="32"/>
          <w:szCs w:val="32"/>
          <w:lang w:val="en-US" w:eastAsia="zh-CN"/>
        </w:rPr>
        <w:t>155.4</w:t>
      </w:r>
      <w:r>
        <w:rPr>
          <w:rFonts w:hint="eastAsia" w:eastAsia="仿宋_GB2312"/>
          <w:sz w:val="32"/>
          <w:szCs w:val="32"/>
        </w:rPr>
        <w:t>万元，用于区人才公寓装修共计28套房间，项目资金及时支付，按时完成，区内“引进人才”工作人员及时入住，验收合格率100%。</w:t>
      </w:r>
    </w:p>
    <w:p w14:paraId="21BD8291">
      <w:pPr>
        <w:spacing w:line="560" w:lineRule="exact"/>
        <w:ind w:firstLine="640" w:firstLineChars="200"/>
        <w:rPr>
          <w:rFonts w:eastAsia="仿宋_GB2312"/>
          <w:color w:val="FF0000"/>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6F392194">
      <w:pP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一，前期按要求及时申请项目预算，二、按照工作计划按时完成我区人才公寓28套房间装修工作，完成质量验收工作</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通过此项目开展保障区内“引进人才”工作人员及时入住</w:t>
      </w:r>
    </w:p>
    <w:p w14:paraId="5176FFCF">
      <w:pPr>
        <w:spacing w:line="560" w:lineRule="exact"/>
        <w:ind w:firstLine="640" w:firstLineChars="200"/>
        <w:rPr>
          <w:rFonts w:eastAsia="黑体"/>
          <w:sz w:val="32"/>
          <w:szCs w:val="32"/>
        </w:rPr>
      </w:pPr>
      <w:r>
        <w:rPr>
          <w:rFonts w:eastAsia="黑体"/>
          <w:sz w:val="32"/>
          <w:szCs w:val="32"/>
        </w:rPr>
        <w:t>二、绩效评价工作开展情况</w:t>
      </w:r>
    </w:p>
    <w:p w14:paraId="6E9E8082">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471EFC1D">
      <w:pPr>
        <w:pStyle w:val="10"/>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1.绩效评价完整性</w:t>
      </w:r>
    </w:p>
    <w:p w14:paraId="191AAF76">
      <w:pPr>
        <w:spacing w:line="560" w:lineRule="exact"/>
        <w:ind w:firstLine="640" w:firstLineChars="200"/>
        <w:rPr>
          <w:rFonts w:eastAsia="仿宋_GB2312"/>
          <w:sz w:val="32"/>
          <w:szCs w:val="32"/>
          <w:highlight w:val="none"/>
        </w:rPr>
      </w:pPr>
      <w:r>
        <w:rPr>
          <w:rFonts w:eastAsia="仿宋_GB2312"/>
          <w:sz w:val="32"/>
          <w:szCs w:val="32"/>
          <w:highlight w:val="none"/>
        </w:rPr>
        <w:t>本项目预算绩效评价报告在编制过程中，严格遵循相关法规与标准，确保评价内容的全面性与准确性。报告涵盖了项目从预算编制、执行到完成的全过程，对项目的各项绩效指标进行了细致</w:t>
      </w:r>
      <w:r>
        <w:rPr>
          <w:rFonts w:hint="eastAsia" w:eastAsia="仿宋_GB2312"/>
          <w:sz w:val="32"/>
          <w:szCs w:val="32"/>
          <w:highlight w:val="none"/>
          <w:lang w:eastAsia="zh-CN"/>
        </w:rPr>
        <w:t>地</w:t>
      </w:r>
      <w:r>
        <w:rPr>
          <w:rFonts w:eastAsia="仿宋_GB2312"/>
          <w:sz w:val="32"/>
          <w:szCs w:val="32"/>
          <w:highlight w:val="none"/>
        </w:rPr>
        <w:t>梳理与评估。</w:t>
      </w:r>
    </w:p>
    <w:p w14:paraId="3F0E4451">
      <w:pPr>
        <w:spacing w:line="560" w:lineRule="exact"/>
        <w:ind w:firstLine="640" w:firstLineChars="200"/>
        <w:rPr>
          <w:rFonts w:eastAsia="仿宋_GB2312"/>
          <w:sz w:val="32"/>
          <w:szCs w:val="32"/>
          <w:highlight w:val="none"/>
        </w:rPr>
      </w:pPr>
      <w:r>
        <w:rPr>
          <w:rFonts w:eastAsia="仿宋_GB2312"/>
          <w:sz w:val="32"/>
          <w:szCs w:val="32"/>
          <w:highlight w:val="none"/>
        </w:rPr>
        <w:t>在评价指标体系的构建上，充分考虑了项目的性质、目标以及预期成果，选取了具有代表性和可衡量性的关键指标，涵盖了社会效益</w:t>
      </w:r>
      <w:r>
        <w:rPr>
          <w:rFonts w:hint="eastAsia" w:eastAsia="仿宋_GB2312"/>
          <w:sz w:val="32"/>
          <w:szCs w:val="32"/>
          <w:highlight w:val="none"/>
          <w:lang w:eastAsia="zh-CN"/>
        </w:rPr>
        <w:t>指标</w:t>
      </w:r>
      <w:r>
        <w:rPr>
          <w:rFonts w:eastAsia="仿宋_GB2312"/>
          <w:sz w:val="32"/>
          <w:szCs w:val="32"/>
          <w:highlight w:val="none"/>
        </w:rPr>
        <w:t>维度，力求全方位反映项目的绩效状况。同时，对于每个指标的评价标准和数据来源均进行了明确说明，确保评价结果的客观性和可追溯性。</w:t>
      </w:r>
    </w:p>
    <w:p w14:paraId="623A6FB7">
      <w:pPr>
        <w:spacing w:line="560" w:lineRule="exact"/>
        <w:ind w:firstLine="640" w:firstLineChars="200"/>
        <w:rPr>
          <w:rFonts w:eastAsia="仿宋_GB2312"/>
          <w:sz w:val="32"/>
          <w:szCs w:val="32"/>
          <w:highlight w:val="none"/>
        </w:rPr>
      </w:pPr>
      <w:r>
        <w:rPr>
          <w:rFonts w:eastAsia="仿宋_GB2312"/>
          <w:sz w:val="32"/>
          <w:szCs w:val="32"/>
          <w:highlight w:val="none"/>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w:t>
      </w:r>
      <w:r>
        <w:rPr>
          <w:rFonts w:hint="eastAsia" w:eastAsia="仿宋_GB2312"/>
          <w:sz w:val="32"/>
          <w:szCs w:val="32"/>
          <w:highlight w:val="none"/>
          <w:lang w:eastAsia="zh-CN"/>
        </w:rPr>
        <w:t>地</w:t>
      </w:r>
      <w:r>
        <w:rPr>
          <w:rFonts w:eastAsia="仿宋_GB2312"/>
          <w:sz w:val="32"/>
          <w:szCs w:val="32"/>
          <w:highlight w:val="none"/>
        </w:rPr>
        <w:t>处理和说明，保证了评价数据的真实性和有效性。</w:t>
      </w:r>
    </w:p>
    <w:p w14:paraId="586AA339">
      <w:pPr>
        <w:spacing w:line="560" w:lineRule="exact"/>
        <w:ind w:firstLine="640" w:firstLineChars="200"/>
        <w:rPr>
          <w:rFonts w:eastAsia="仿宋_GB2312"/>
          <w:sz w:val="32"/>
          <w:szCs w:val="32"/>
          <w:highlight w:val="none"/>
        </w:rPr>
      </w:pPr>
      <w:r>
        <w:rPr>
          <w:rFonts w:eastAsia="仿宋_GB2312"/>
          <w:sz w:val="32"/>
          <w:szCs w:val="32"/>
          <w:highlight w:val="none"/>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18E4D59F">
      <w:pPr>
        <w:spacing w:line="560" w:lineRule="exact"/>
        <w:ind w:firstLine="640" w:firstLineChars="200"/>
        <w:rPr>
          <w:rFonts w:eastAsia="仿宋_GB2312"/>
          <w:sz w:val="32"/>
          <w:szCs w:val="32"/>
          <w:highlight w:val="none"/>
        </w:rPr>
      </w:pPr>
      <w:r>
        <w:rPr>
          <w:rFonts w:eastAsia="仿宋_GB2312"/>
          <w:sz w:val="32"/>
          <w:szCs w:val="32"/>
          <w:highlight w:val="none"/>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0DA3E0C">
      <w:pPr>
        <w:spacing w:line="560" w:lineRule="exact"/>
        <w:ind w:firstLine="640" w:firstLineChars="200"/>
        <w:rPr>
          <w:rFonts w:eastAsia="仿宋_GB2312"/>
          <w:sz w:val="32"/>
          <w:szCs w:val="32"/>
          <w:highlight w:val="none"/>
        </w:rPr>
      </w:pPr>
      <w:r>
        <w:rPr>
          <w:rFonts w:eastAsia="仿宋_GB2312"/>
          <w:sz w:val="32"/>
          <w:szCs w:val="32"/>
          <w:highlight w:val="none"/>
        </w:rPr>
        <w:t>2.绩效评价的目的</w:t>
      </w:r>
    </w:p>
    <w:p w14:paraId="16DC24A0">
      <w:pPr>
        <w:spacing w:line="560" w:lineRule="exact"/>
        <w:ind w:firstLine="640" w:firstLineChars="200"/>
        <w:rPr>
          <w:rFonts w:eastAsia="仿宋_GB2312"/>
          <w:sz w:val="32"/>
          <w:szCs w:val="32"/>
          <w:highlight w:val="none"/>
        </w:rPr>
      </w:pPr>
      <w:r>
        <w:rPr>
          <w:rFonts w:eastAsia="仿宋_GB2312"/>
          <w:sz w:val="32"/>
          <w:szCs w:val="32"/>
          <w:highlight w:val="none"/>
        </w:rPr>
        <w:t>（1）评估项目实施效果</w:t>
      </w:r>
    </w:p>
    <w:p w14:paraId="125ED2A1">
      <w:pPr>
        <w:spacing w:line="560" w:lineRule="exact"/>
        <w:ind w:firstLine="640" w:firstLineChars="200"/>
        <w:rPr>
          <w:rFonts w:eastAsia="仿宋_GB2312"/>
          <w:sz w:val="32"/>
          <w:szCs w:val="32"/>
          <w:highlight w:val="none"/>
        </w:rPr>
      </w:pPr>
      <w:r>
        <w:rPr>
          <w:rFonts w:eastAsia="仿宋_GB2312"/>
          <w:sz w:val="32"/>
          <w:szCs w:val="32"/>
          <w:highlight w:val="none"/>
        </w:rPr>
        <w:t>通过对项目预算执行情况及各项绩效目标达成程度的系统性分析，全面、客观地评估项目在预定周期内的实施效果，包括社会效益指标，为项目后续的改进与优化提供科学依据。</w:t>
      </w:r>
    </w:p>
    <w:p w14:paraId="05E540D3">
      <w:pPr>
        <w:spacing w:line="560" w:lineRule="exact"/>
        <w:ind w:firstLine="640" w:firstLineChars="200"/>
        <w:rPr>
          <w:rFonts w:eastAsia="仿宋_GB2312"/>
          <w:sz w:val="32"/>
          <w:szCs w:val="32"/>
          <w:highlight w:val="none"/>
        </w:rPr>
      </w:pPr>
      <w:r>
        <w:rPr>
          <w:rFonts w:eastAsia="仿宋_GB2312"/>
          <w:sz w:val="32"/>
          <w:szCs w:val="32"/>
          <w:highlight w:val="none"/>
        </w:rPr>
        <w:t>（2）提升资源利用效率</w:t>
      </w:r>
    </w:p>
    <w:p w14:paraId="4B2C5999">
      <w:pPr>
        <w:spacing w:line="560" w:lineRule="exact"/>
        <w:ind w:firstLine="640" w:firstLineChars="200"/>
        <w:rPr>
          <w:rFonts w:eastAsia="仿宋_GB2312"/>
          <w:sz w:val="32"/>
          <w:szCs w:val="32"/>
          <w:highlight w:val="none"/>
        </w:rPr>
      </w:pPr>
      <w:r>
        <w:rPr>
          <w:rFonts w:eastAsia="仿宋_GB2312"/>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2A2A2D2D">
      <w:pPr>
        <w:spacing w:line="560" w:lineRule="exact"/>
        <w:ind w:firstLine="640" w:firstLineChars="200"/>
        <w:rPr>
          <w:rFonts w:eastAsia="仿宋_GB2312"/>
          <w:sz w:val="32"/>
          <w:szCs w:val="32"/>
          <w:highlight w:val="none"/>
        </w:rPr>
      </w:pPr>
      <w:r>
        <w:rPr>
          <w:rFonts w:eastAsia="仿宋_GB2312"/>
          <w:sz w:val="32"/>
          <w:szCs w:val="32"/>
          <w:highlight w:val="none"/>
        </w:rPr>
        <w:t>（3）强化项目管理责任</w:t>
      </w:r>
    </w:p>
    <w:p w14:paraId="7E89683C">
      <w:pPr>
        <w:spacing w:line="560" w:lineRule="exact"/>
        <w:ind w:firstLine="640" w:firstLineChars="200"/>
        <w:rPr>
          <w:rFonts w:eastAsia="仿宋_GB2312"/>
          <w:sz w:val="32"/>
          <w:szCs w:val="32"/>
          <w:highlight w:val="none"/>
        </w:rPr>
      </w:pPr>
      <w:r>
        <w:rPr>
          <w:rFonts w:eastAsia="仿宋_GB2312"/>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C79BE80">
      <w:pPr>
        <w:spacing w:line="560" w:lineRule="exact"/>
        <w:ind w:firstLine="640" w:firstLineChars="200"/>
        <w:rPr>
          <w:rFonts w:eastAsia="仿宋_GB2312"/>
          <w:sz w:val="32"/>
          <w:szCs w:val="32"/>
          <w:highlight w:val="none"/>
        </w:rPr>
      </w:pPr>
      <w:r>
        <w:rPr>
          <w:rFonts w:eastAsia="仿宋_GB2312"/>
          <w:sz w:val="32"/>
          <w:szCs w:val="32"/>
          <w:highlight w:val="none"/>
        </w:rPr>
        <w:t>（4）为决策提供支持</w:t>
      </w:r>
    </w:p>
    <w:p w14:paraId="27D5C4AF">
      <w:pPr>
        <w:spacing w:line="560" w:lineRule="exact"/>
        <w:ind w:firstLine="640" w:firstLineChars="200"/>
        <w:rPr>
          <w:rFonts w:eastAsia="仿宋_GB2312"/>
          <w:sz w:val="32"/>
          <w:szCs w:val="32"/>
          <w:highlight w:val="none"/>
        </w:rPr>
      </w:pPr>
      <w:r>
        <w:rPr>
          <w:rFonts w:eastAsia="仿宋_GB2312"/>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57993C7D">
      <w:pPr>
        <w:spacing w:line="560" w:lineRule="exact"/>
        <w:ind w:firstLine="640" w:firstLineChars="200"/>
        <w:rPr>
          <w:rFonts w:eastAsia="仿宋_GB2312"/>
          <w:sz w:val="32"/>
          <w:szCs w:val="32"/>
          <w:highlight w:val="none"/>
        </w:rPr>
      </w:pPr>
      <w:r>
        <w:rPr>
          <w:rFonts w:eastAsia="仿宋_GB2312"/>
          <w:sz w:val="32"/>
          <w:szCs w:val="32"/>
          <w:highlight w:val="none"/>
        </w:rPr>
        <w:t>（5）促进项目持续改进</w:t>
      </w:r>
    </w:p>
    <w:p w14:paraId="2B6AB6E6">
      <w:pPr>
        <w:spacing w:line="560" w:lineRule="exact"/>
        <w:ind w:firstLine="640" w:firstLineChars="200"/>
        <w:rPr>
          <w:rFonts w:eastAsia="仿宋_GB2312"/>
          <w:sz w:val="32"/>
          <w:szCs w:val="32"/>
          <w:highlight w:val="none"/>
        </w:rPr>
      </w:pPr>
      <w:r>
        <w:rPr>
          <w:rFonts w:eastAsia="仿宋_GB2312"/>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48698BA4">
      <w:pPr>
        <w:spacing w:line="560" w:lineRule="exact"/>
        <w:ind w:firstLine="640" w:firstLineChars="200"/>
        <w:rPr>
          <w:rFonts w:eastAsia="方正仿宋_GBK"/>
          <w:sz w:val="32"/>
          <w:szCs w:val="32"/>
          <w:highlight w:val="none"/>
        </w:rPr>
      </w:pPr>
      <w:r>
        <w:rPr>
          <w:rFonts w:eastAsia="仿宋_GB2312"/>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6D667CBC">
      <w:pPr>
        <w:pStyle w:val="10"/>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3</w:t>
      </w:r>
      <w:r>
        <w:rPr>
          <w:rFonts w:ascii="Times New Roman" w:hAnsi="Times New Roman" w:eastAsia="仿宋_GB2312"/>
          <w:highlight w:val="none"/>
        </w:rPr>
        <w:t>.</w:t>
      </w:r>
      <w:r>
        <w:rPr>
          <w:rFonts w:ascii="Times New Roman" w:hAnsi="Times New Roman" w:eastAsia="仿宋_GB2312"/>
          <w:b w:val="0"/>
          <w:bCs w:val="0"/>
          <w:highlight w:val="none"/>
        </w:rPr>
        <w:t>绩效评价的对象</w:t>
      </w:r>
    </w:p>
    <w:p w14:paraId="6185B34E">
      <w:pPr>
        <w:pStyle w:val="10"/>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本项目预算绩效评价报告的评价对象是</w:t>
      </w:r>
      <w:r>
        <w:rPr>
          <w:rFonts w:hint="eastAsia" w:ascii="Times New Roman" w:hAnsi="Times New Roman" w:eastAsia="仿宋_GB2312"/>
          <w:b w:val="0"/>
          <w:bCs w:val="0"/>
          <w:highlight w:val="none"/>
        </w:rPr>
        <w:t>区人才公寓装修经费</w:t>
      </w:r>
      <w:r>
        <w:rPr>
          <w:rFonts w:ascii="Times New Roman" w:hAnsi="Times New Roman" w:eastAsia="仿宋_GB2312"/>
          <w:b w:val="0"/>
          <w:bCs w:val="0"/>
          <w:highlight w:val="none"/>
        </w:rPr>
        <w:t>及其预算执行情况。该项目由</w:t>
      </w:r>
      <w:r>
        <w:rPr>
          <w:rFonts w:hint="eastAsia" w:ascii="Times New Roman" w:hAnsi="Times New Roman" w:eastAsia="仿宋_GB2312"/>
          <w:b w:val="0"/>
          <w:bCs w:val="0"/>
          <w:highlight w:val="none"/>
          <w:lang w:eastAsia="zh-CN"/>
        </w:rPr>
        <w:t>沙区机关事务管理中心</w:t>
      </w:r>
      <w:r>
        <w:rPr>
          <w:rFonts w:ascii="Times New Roman" w:hAnsi="Times New Roman" w:eastAsia="仿宋_GB2312"/>
          <w:b w:val="0"/>
          <w:bCs w:val="0"/>
          <w:highlight w:val="none"/>
        </w:rPr>
        <w:t>负责实施，旨在</w:t>
      </w:r>
      <w:r>
        <w:rPr>
          <w:rFonts w:hint="eastAsia" w:ascii="Times New Roman" w:hAnsi="Times New Roman" w:eastAsia="仿宋_GB2312"/>
          <w:b w:val="0"/>
          <w:bCs w:val="0"/>
          <w:highlight w:val="none"/>
        </w:rPr>
        <w:t>用于区人才公寓装修共计28套房间，项目资金及时支付，</w:t>
      </w:r>
      <w:r>
        <w:rPr>
          <w:rFonts w:hint="eastAsia" w:ascii="Times New Roman" w:hAnsi="Times New Roman" w:eastAsia="仿宋_GB2312"/>
          <w:b w:val="0"/>
          <w:bCs w:val="0"/>
          <w:highlight w:val="none"/>
          <w:lang w:eastAsia="zh-CN"/>
        </w:rPr>
        <w:t>项目按</w:t>
      </w:r>
      <w:r>
        <w:rPr>
          <w:rFonts w:hint="eastAsia" w:ascii="Times New Roman" w:hAnsi="Times New Roman" w:eastAsia="仿宋_GB2312"/>
          <w:b w:val="0"/>
          <w:bCs w:val="0"/>
          <w:highlight w:val="none"/>
        </w:rPr>
        <w:t>时完成，区内“引进人才”工作人员及时入住</w:t>
      </w:r>
      <w:r>
        <w:rPr>
          <w:rFonts w:ascii="Times New Roman" w:hAnsi="Times New Roman" w:eastAsia="仿宋_GB2312"/>
          <w:b w:val="0"/>
          <w:bCs w:val="0"/>
          <w:highlight w:val="none"/>
        </w:rPr>
        <w:t>。项目预算涵盖从</w:t>
      </w:r>
      <w:r>
        <w:rPr>
          <w:rFonts w:hint="eastAsia" w:ascii="Times New Roman" w:hAnsi="Times New Roman" w:eastAsia="仿宋_GB2312"/>
          <w:b w:val="0"/>
          <w:bCs w:val="0"/>
          <w:highlight w:val="none"/>
          <w:lang w:val="en-US" w:eastAsia="zh-CN"/>
        </w:rPr>
        <w:t>2024年1月1日</w:t>
      </w:r>
      <w:r>
        <w:rPr>
          <w:rFonts w:ascii="Times New Roman" w:hAnsi="Times New Roman" w:eastAsia="仿宋_GB2312"/>
          <w:b w:val="0"/>
          <w:bCs w:val="0"/>
          <w:highlight w:val="none"/>
        </w:rPr>
        <w:t>至</w:t>
      </w:r>
      <w:r>
        <w:rPr>
          <w:rFonts w:hint="eastAsia" w:ascii="Times New Roman" w:hAnsi="Times New Roman" w:eastAsia="仿宋_GB2312"/>
          <w:b w:val="0"/>
          <w:bCs w:val="0"/>
          <w:highlight w:val="none"/>
          <w:lang w:val="en-US" w:eastAsia="zh-CN"/>
        </w:rPr>
        <w:t>2024年12月31日</w:t>
      </w:r>
      <w:r>
        <w:rPr>
          <w:rFonts w:ascii="Times New Roman" w:hAnsi="Times New Roman" w:eastAsia="仿宋_GB2312"/>
          <w:b w:val="0"/>
          <w:bCs w:val="0"/>
          <w:highlight w:val="none"/>
        </w:rPr>
        <w:t>的全部资金投入与支出，涉及资</w:t>
      </w:r>
      <w:r>
        <w:rPr>
          <w:rFonts w:hint="eastAsia" w:ascii="Times New Roman" w:hAnsi="Times New Roman" w:eastAsia="仿宋_GB2312"/>
          <w:b w:val="0"/>
          <w:bCs w:val="0"/>
          <w:highlight w:val="none"/>
          <w:lang w:val="en-US" w:eastAsia="zh-CN"/>
        </w:rPr>
        <w:t>金155.4</w:t>
      </w:r>
      <w:r>
        <w:rPr>
          <w:rFonts w:ascii="Times New Roman" w:hAnsi="Times New Roman" w:eastAsia="仿宋_GB2312"/>
          <w:b w:val="0"/>
          <w:bCs w:val="0"/>
          <w:highlight w:val="none"/>
        </w:rPr>
        <w:t>万元。</w:t>
      </w:r>
    </w:p>
    <w:p w14:paraId="4EBA72FE">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1FB9983E">
      <w:pPr>
        <w:pStyle w:val="10"/>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本项目预算绩效评价报告的评价范围广泛而全面，涵盖了从项目立项至评价时点期间的所有关键预算活动和财务流程。具体而言，评价范围包括但不限于以下几个方面：</w:t>
      </w:r>
    </w:p>
    <w:p w14:paraId="1AE25EDC">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项目预算编制与执行：全面审视项目预算的编制依据、合理性、科学性以及实际执行情况，包括预算调整的原因和效果。</w:t>
      </w:r>
    </w:p>
    <w:p w14:paraId="061F0C80">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资金管理：深入分析项目资金的分配、使用和监管情况，确保资金使用的合规性、高效性和透明度。</w:t>
      </w:r>
    </w:p>
    <w:p w14:paraId="6D243833">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项目实施进度与产出：评估项目是否按照既定计划顺利推进，各项任务是否按时完成，以及项目产出的数量、质量和时效性是否符合预期。</w:t>
      </w:r>
    </w:p>
    <w:p w14:paraId="1641D2A4">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社会影响：保障区内“引进人才”工作人员及时入住。</w:t>
      </w:r>
    </w:p>
    <w:p w14:paraId="573D0B96">
      <w:pPr>
        <w:spacing w:line="560" w:lineRule="exact"/>
        <w:ind w:firstLine="643" w:firstLineChars="200"/>
      </w:pPr>
      <w:r>
        <w:rPr>
          <w:rFonts w:eastAsia="楷体_GB2312"/>
          <w:b/>
          <w:bCs/>
          <w:sz w:val="32"/>
          <w:szCs w:val="32"/>
        </w:rPr>
        <w:t>（二）绩效评价原则、评价指标体系（详情见表1）、评价方法、评价标准。</w:t>
      </w:r>
    </w:p>
    <w:p w14:paraId="059D732A">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4DDADE60">
      <w:pPr>
        <w:spacing w:line="560" w:lineRule="exact"/>
        <w:ind w:firstLine="640" w:firstLineChars="200"/>
        <w:rPr>
          <w:rFonts w:eastAsia="仿宋_GB2312"/>
          <w:color w:val="000000"/>
          <w:sz w:val="32"/>
          <w:szCs w:val="32"/>
        </w:rPr>
      </w:pPr>
      <w:r>
        <w:rPr>
          <w:rFonts w:eastAsia="仿宋_GB2312"/>
          <w:color w:val="000000"/>
          <w:sz w:val="32"/>
          <w:szCs w:val="32"/>
        </w:rPr>
        <w:t>本次项目绩效评价遵循以下基本原则：</w:t>
      </w:r>
    </w:p>
    <w:p w14:paraId="2BC18E95">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w:t>
      </w:r>
      <w:r>
        <w:rPr>
          <w:rFonts w:hint="eastAsia" w:ascii="Times New Roman" w:hAnsi="Times New Roman" w:eastAsia="仿宋_GB2312"/>
          <w:b w:val="0"/>
          <w:bCs w:val="0"/>
          <w:lang w:eastAsia="zh-CN"/>
        </w:rPr>
        <w:t>地</w:t>
      </w:r>
      <w:r>
        <w:rPr>
          <w:rFonts w:ascii="Times New Roman" w:hAnsi="Times New Roman" w:eastAsia="仿宋_GB2312"/>
          <w:b w:val="0"/>
          <w:bCs w:val="0"/>
        </w:rPr>
        <w:t>反映。</w:t>
      </w:r>
    </w:p>
    <w:p w14:paraId="441535BA">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6ECDEC69">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6B364685">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637124C4">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2CEA03F5">
      <w:pPr>
        <w:spacing w:line="560" w:lineRule="exact"/>
        <w:ind w:firstLine="708" w:firstLineChars="200"/>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26965EAB">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（1）确定评价指标</w:t>
      </w:r>
    </w:p>
    <w:p w14:paraId="40B54115">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6B865B8C">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（2）确定权重</w:t>
      </w:r>
    </w:p>
    <w:p w14:paraId="0BDF18F7">
      <w:pPr>
        <w:spacing w:line="560" w:lineRule="exact"/>
        <w:ind w:firstLine="708" w:firstLineChars="200"/>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hint="eastAsia" w:eastAsia="仿宋_GB2312"/>
          <w:color w:val="000000"/>
          <w:spacing w:val="17"/>
          <w:sz w:val="32"/>
          <w:szCs w:val="32"/>
          <w:lang w:val="en-US" w:eastAsia="zh-CN"/>
        </w:rPr>
        <w:t>2</w:t>
      </w:r>
      <w:r>
        <w:rPr>
          <w:rFonts w:eastAsia="仿宋_GB2312"/>
          <w:color w:val="000000"/>
          <w:spacing w:val="17"/>
          <w:sz w:val="32"/>
          <w:szCs w:val="32"/>
        </w:rPr>
        <w:t>0分，项目过程权重为20分，项目产出权重为40分，项目效益权重为20分。</w:t>
      </w:r>
    </w:p>
    <w:p w14:paraId="6231F2BD">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（3）确定指标标准值</w:t>
      </w:r>
    </w:p>
    <w:p w14:paraId="2210B35D">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647B1BE0">
      <w:pPr>
        <w:pStyle w:val="10"/>
        <w:spacing w:before="0" w:after="0" w:line="560" w:lineRule="exact"/>
        <w:ind w:firstLine="708" w:firstLineChars="200"/>
        <w:jc w:val="both"/>
        <w:rPr>
          <w:rFonts w:ascii="Times New Roman" w:hAnsi="Times New Roman" w:eastAsia="仿宋_GB2312"/>
          <w:b w:val="0"/>
          <w:bCs w:val="0"/>
          <w:color w:val="000000"/>
          <w:spacing w:val="17"/>
          <w:kern w:val="2"/>
        </w:rPr>
      </w:pPr>
      <w:r>
        <w:rPr>
          <w:rFonts w:ascii="Times New Roman" w:hAnsi="Times New Roman" w:eastAsia="仿宋_GB2312"/>
          <w:b w:val="0"/>
          <w:bCs w:val="0"/>
          <w:color w:val="000000"/>
          <w:spacing w:val="17"/>
          <w:kern w:val="2"/>
        </w:rPr>
        <w:t>绩效评价总分值100分，根据综合评分结果，90（含）-100分为优、80（含）-90分为良、60（含）-80分为中、60分以下为差。</w:t>
      </w:r>
    </w:p>
    <w:p w14:paraId="1D31E807">
      <w:pPr>
        <w:pStyle w:val="10"/>
        <w:widowControl w:val="0"/>
        <w:spacing w:before="0" w:after="0" w:line="560" w:lineRule="exact"/>
        <w:ind w:firstLine="708" w:firstLineChars="200"/>
        <w:jc w:val="both"/>
        <w:outlineLvl w:val="9"/>
        <w:rPr>
          <w:rFonts w:ascii="Times New Roman" w:hAnsi="Times New Roman" w:eastAsia="仿宋_GB2312"/>
          <w:b w:val="0"/>
          <w:bCs w:val="0"/>
          <w:color w:val="000000"/>
          <w:spacing w:val="17"/>
        </w:rPr>
      </w:pPr>
      <w:r>
        <w:rPr>
          <w:rFonts w:ascii="Times New Roman" w:hAnsi="Times New Roman" w:eastAsia="仿宋_GB2312"/>
          <w:b w:val="0"/>
          <w:bCs w:val="0"/>
          <w:color w:val="000000"/>
          <w:spacing w:val="17"/>
        </w:rPr>
        <w:t>具体评价指标体系详情见附件1</w:t>
      </w:r>
    </w:p>
    <w:p w14:paraId="5523F782">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347C83BE">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066B7DF0">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68F6B8A6">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比较法。是指将实施情况与绩效目标、历史情况、不同部门和地区同类支出情况进行比较的方法。</w:t>
      </w:r>
    </w:p>
    <w:p w14:paraId="762AC345">
      <w:pPr>
        <w:pStyle w:val="10"/>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4</w:t>
      </w:r>
      <w:r>
        <w:rPr>
          <w:rFonts w:ascii="Times New Roman" w:hAnsi="Times New Roman" w:eastAsia="仿宋_GB2312"/>
          <w:highlight w:val="none"/>
        </w:rPr>
        <w:t>.</w:t>
      </w:r>
      <w:r>
        <w:rPr>
          <w:rFonts w:ascii="Times New Roman" w:hAnsi="Times New Roman" w:eastAsia="仿宋_GB2312"/>
          <w:b w:val="0"/>
          <w:bCs w:val="0"/>
          <w:highlight w:val="none"/>
        </w:rPr>
        <w:t>评价标准</w:t>
      </w:r>
    </w:p>
    <w:p w14:paraId="51743CB3">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highlight w:val="none"/>
        </w:rPr>
        <w:t>绩效评价标准通常包括计划标准、行业标准、历史标准等，用于对绩效指标完成情况进行比较、分析、评价。本次评价主要采用了</w:t>
      </w:r>
      <w:r>
        <w:rPr>
          <w:rFonts w:hint="eastAsia" w:ascii="Times New Roman" w:hAnsi="Times New Roman" w:eastAsia="仿宋_GB2312"/>
          <w:b w:val="0"/>
          <w:bCs w:val="0"/>
          <w:highlight w:val="none"/>
          <w:lang w:eastAsia="zh-CN"/>
        </w:rPr>
        <w:t>计划</w:t>
      </w:r>
      <w:r>
        <w:rPr>
          <w:rFonts w:ascii="Times New Roman" w:hAnsi="Times New Roman" w:eastAsia="仿宋_GB2312"/>
          <w:b w:val="0"/>
          <w:bCs w:val="0"/>
          <w:highlight w:val="none"/>
        </w:rPr>
        <w:t>标准</w:t>
      </w:r>
      <w:r>
        <w:rPr>
          <w:rFonts w:ascii="Times New Roman" w:hAnsi="Times New Roman" w:eastAsia="仿宋_GB2312"/>
          <w:b w:val="0"/>
          <w:bCs w:val="0"/>
        </w:rPr>
        <w:t>。</w:t>
      </w:r>
    </w:p>
    <w:p w14:paraId="2F91910C">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（1）计划标准。指以预先制定的目标、计划、预算、定额等作为评价标准。</w:t>
      </w:r>
    </w:p>
    <w:p w14:paraId="6BF7020F">
      <w:pPr>
        <w:pStyle w:val="10"/>
        <w:numPr>
          <w:ilvl w:val="0"/>
          <w:numId w:val="2"/>
        </w:numPr>
        <w:spacing w:before="0" w:after="0" w:line="560" w:lineRule="exact"/>
        <w:ind w:firstLine="711" w:firstLineChars="200"/>
        <w:jc w:val="both"/>
        <w:rPr>
          <w:rFonts w:ascii="Times New Roman" w:hAnsi="Times New Roman" w:eastAsia="楷体"/>
          <w:color w:val="000000"/>
          <w:spacing w:val="17"/>
        </w:rPr>
      </w:pPr>
      <w:r>
        <w:rPr>
          <w:rFonts w:ascii="Times New Roman" w:hAnsi="Times New Roman" w:eastAsia="楷体"/>
          <w:color w:val="000000"/>
          <w:spacing w:val="17"/>
        </w:rPr>
        <w:t>绩效评价工作过程</w:t>
      </w:r>
    </w:p>
    <w:p w14:paraId="577A6D4B">
      <w:pPr>
        <w:spacing w:line="560" w:lineRule="exact"/>
        <w:ind w:firstLine="640" w:firstLineChars="200"/>
        <w:rPr>
          <w:rFonts w:eastAsia="仿宋_GB2312"/>
          <w:sz w:val="32"/>
          <w:szCs w:val="32"/>
          <w:highlight w:val="none"/>
        </w:rPr>
      </w:pPr>
      <w:r>
        <w:rPr>
          <w:rFonts w:eastAsia="仿宋_GB2312"/>
          <w:sz w:val="32"/>
          <w:szCs w:val="32"/>
          <w:highlight w:val="none"/>
        </w:rPr>
        <w:t>（1）前期准备与规划</w:t>
      </w:r>
    </w:p>
    <w:p w14:paraId="590B19FD">
      <w:pPr>
        <w:spacing w:line="560" w:lineRule="exact"/>
        <w:ind w:firstLine="640" w:firstLineChars="200"/>
        <w:rPr>
          <w:rFonts w:eastAsia="仿宋_GB2312"/>
          <w:sz w:val="32"/>
          <w:szCs w:val="32"/>
          <w:highlight w:val="none"/>
        </w:rPr>
      </w:pPr>
      <w:r>
        <w:rPr>
          <w:rFonts w:eastAsia="仿宋_GB2312"/>
          <w:sz w:val="32"/>
          <w:szCs w:val="32"/>
          <w:highlight w:val="none"/>
        </w:rPr>
        <w:t>在项目绩效评价工作启动之初，成立了专门的评价工作小组，小组成员由财务</w:t>
      </w:r>
      <w:r>
        <w:rPr>
          <w:rFonts w:hint="eastAsia" w:eastAsia="仿宋_GB2312"/>
          <w:sz w:val="32"/>
          <w:szCs w:val="32"/>
          <w:highlight w:val="none"/>
          <w:lang w:eastAsia="zh-CN"/>
        </w:rPr>
        <w:t>人员</w:t>
      </w:r>
      <w:r>
        <w:rPr>
          <w:rFonts w:eastAsia="仿宋_GB2312"/>
          <w:sz w:val="32"/>
          <w:szCs w:val="32"/>
          <w:highlight w:val="none"/>
        </w:rPr>
        <w:t>、项目管理专业人员组成，确保从多角度、全方位对项目绩效进行评价。同时，明确了评价工作的目标、范围、重点及时间安排，制定了详细的工作计划，为评价工作的顺利开展奠定了坚实基础。</w:t>
      </w:r>
    </w:p>
    <w:p w14:paraId="24BFA845">
      <w:pPr>
        <w:spacing w:line="560" w:lineRule="exact"/>
        <w:ind w:firstLine="640" w:firstLineChars="200"/>
        <w:rPr>
          <w:rFonts w:eastAsia="仿宋_GB2312"/>
          <w:sz w:val="32"/>
          <w:szCs w:val="32"/>
          <w:highlight w:val="none"/>
        </w:rPr>
      </w:pPr>
      <w:r>
        <w:rPr>
          <w:rFonts w:eastAsia="仿宋_GB2312"/>
          <w:sz w:val="32"/>
          <w:szCs w:val="32"/>
          <w:highlight w:val="none"/>
        </w:rPr>
        <w:t>（2）指标体系构建</w:t>
      </w:r>
    </w:p>
    <w:p w14:paraId="50AAC214">
      <w:pPr>
        <w:spacing w:line="560" w:lineRule="exact"/>
        <w:ind w:firstLine="640" w:firstLineChars="200"/>
        <w:rPr>
          <w:rFonts w:eastAsia="仿宋_GB2312"/>
          <w:sz w:val="32"/>
          <w:szCs w:val="32"/>
          <w:highlight w:val="none"/>
        </w:rPr>
      </w:pPr>
      <w:r>
        <w:rPr>
          <w:rFonts w:eastAsia="仿宋_GB2312"/>
          <w:sz w:val="32"/>
          <w:szCs w:val="32"/>
          <w:highlight w:val="none"/>
        </w:rPr>
        <w:t>依据项目的性质、目标以及预期成果，构建了科学合理的绩效评价指标体系。该指标体系涵盖了</w:t>
      </w:r>
      <w:r>
        <w:rPr>
          <w:rFonts w:eastAsia="仿宋_GB2312"/>
          <w:color w:val="000000"/>
          <w:spacing w:val="17"/>
          <w:sz w:val="32"/>
          <w:szCs w:val="32"/>
          <w:highlight w:val="none"/>
        </w:rPr>
        <w:t>项目决策、项目过程、项目产出、项目效益四个维度</w:t>
      </w:r>
      <w:r>
        <w:rPr>
          <w:rFonts w:eastAsia="仿宋_GB2312"/>
          <w:sz w:val="32"/>
          <w:szCs w:val="32"/>
          <w:highlight w:val="none"/>
        </w:rPr>
        <w:t>，选取了具有代表性和可衡量性的关键指标，并为每个指标设定了明确的评价标准与权重，确保评价结果能够全面、准确地反映项目的绩效状况。</w:t>
      </w:r>
    </w:p>
    <w:p w14:paraId="0AD2F332">
      <w:pPr>
        <w:spacing w:line="560" w:lineRule="exact"/>
        <w:ind w:firstLine="640" w:firstLineChars="200"/>
        <w:rPr>
          <w:rFonts w:eastAsia="仿宋_GB2312"/>
          <w:sz w:val="32"/>
          <w:szCs w:val="32"/>
          <w:highlight w:val="none"/>
        </w:rPr>
      </w:pPr>
      <w:r>
        <w:rPr>
          <w:rFonts w:eastAsia="仿宋_GB2312"/>
          <w:sz w:val="32"/>
          <w:szCs w:val="32"/>
          <w:highlight w:val="none"/>
        </w:rPr>
        <w:t>（3）数据收集与整理</w:t>
      </w:r>
    </w:p>
    <w:p w14:paraId="34B83FB8">
      <w:pPr>
        <w:spacing w:line="560" w:lineRule="exact"/>
        <w:ind w:firstLine="640" w:firstLineChars="200"/>
        <w:rPr>
          <w:rFonts w:eastAsia="仿宋_GB2312"/>
          <w:sz w:val="32"/>
          <w:szCs w:val="32"/>
          <w:highlight w:val="none"/>
        </w:rPr>
      </w:pPr>
      <w:r>
        <w:rPr>
          <w:rFonts w:eastAsia="仿宋_GB2312"/>
          <w:sz w:val="32"/>
          <w:szCs w:val="32"/>
          <w:highlight w:val="none"/>
        </w:rPr>
        <w:t>广泛收集与项目相关的各类数据，包括财务报表、项目文档、业务数据、用户反馈等。在数据收集过程中，注重数据的质量与完整性，对缺失或异常的数据进行了合理</w:t>
      </w:r>
      <w:r>
        <w:rPr>
          <w:rFonts w:hint="eastAsia" w:eastAsia="仿宋_GB2312"/>
          <w:sz w:val="32"/>
          <w:szCs w:val="32"/>
          <w:highlight w:val="none"/>
          <w:lang w:eastAsia="zh-CN"/>
        </w:rPr>
        <w:t>地</w:t>
      </w:r>
      <w:r>
        <w:rPr>
          <w:rFonts w:eastAsia="仿宋_GB2312"/>
          <w:sz w:val="32"/>
          <w:szCs w:val="32"/>
          <w:highlight w:val="none"/>
        </w:rPr>
        <w:t>处理和补充。随后，对收集到的数据进行了系统的整理与分类，为后续的数据分析提供了有力支持。</w:t>
      </w:r>
    </w:p>
    <w:p w14:paraId="7DE808AB">
      <w:pPr>
        <w:spacing w:line="560" w:lineRule="exact"/>
        <w:ind w:firstLine="640" w:firstLineChars="200"/>
        <w:rPr>
          <w:rFonts w:eastAsia="仿宋_GB2312"/>
          <w:sz w:val="32"/>
          <w:szCs w:val="32"/>
          <w:highlight w:val="none"/>
        </w:rPr>
      </w:pPr>
      <w:r>
        <w:rPr>
          <w:rFonts w:eastAsia="仿宋_GB2312"/>
          <w:sz w:val="32"/>
          <w:szCs w:val="32"/>
          <w:highlight w:val="none"/>
        </w:rPr>
        <w:t>（4）数据分析与评估</w:t>
      </w:r>
    </w:p>
    <w:p w14:paraId="7569F9F4">
      <w:pPr>
        <w:spacing w:line="560" w:lineRule="exact"/>
        <w:ind w:firstLine="640" w:firstLineChars="200"/>
        <w:rPr>
          <w:rFonts w:eastAsia="仿宋_GB2312"/>
          <w:sz w:val="32"/>
          <w:szCs w:val="32"/>
          <w:highlight w:val="none"/>
        </w:rPr>
      </w:pPr>
      <w:r>
        <w:rPr>
          <w:rFonts w:eastAsia="仿宋_GB2312"/>
          <w:sz w:val="32"/>
          <w:szCs w:val="32"/>
          <w:highlight w:val="none"/>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10C4CD9A">
      <w:pPr>
        <w:spacing w:line="560" w:lineRule="exact"/>
        <w:ind w:firstLine="640" w:firstLineChars="200"/>
        <w:rPr>
          <w:rFonts w:eastAsia="仿宋_GB2312"/>
          <w:sz w:val="32"/>
          <w:szCs w:val="32"/>
          <w:highlight w:val="none"/>
        </w:rPr>
      </w:pPr>
      <w:r>
        <w:rPr>
          <w:rFonts w:eastAsia="仿宋_GB2312"/>
          <w:sz w:val="32"/>
          <w:szCs w:val="32"/>
          <w:highlight w:val="none"/>
        </w:rPr>
        <w:t>（5）报告撰写与反馈</w:t>
      </w:r>
    </w:p>
    <w:p w14:paraId="4A19840F">
      <w:pPr>
        <w:spacing w:line="560" w:lineRule="exact"/>
        <w:ind w:firstLine="640" w:firstLineChars="200"/>
        <w:rPr>
          <w:rFonts w:eastAsia="仿宋_GB2312"/>
          <w:sz w:val="32"/>
          <w:szCs w:val="32"/>
          <w:highlight w:val="none"/>
        </w:rPr>
      </w:pPr>
      <w:r>
        <w:rPr>
          <w:rFonts w:eastAsia="仿宋_GB2312"/>
          <w:sz w:val="32"/>
          <w:szCs w:val="32"/>
          <w:highlight w:val="none"/>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72D107CF">
      <w:pPr>
        <w:spacing w:line="560" w:lineRule="exact"/>
        <w:ind w:firstLine="640" w:firstLineChars="200"/>
        <w:rPr>
          <w:rFonts w:eastAsia="仿宋_GB2312"/>
          <w:sz w:val="32"/>
          <w:szCs w:val="32"/>
          <w:highlight w:val="none"/>
        </w:rPr>
      </w:pPr>
      <w:r>
        <w:rPr>
          <w:rFonts w:eastAsia="仿宋_GB2312"/>
          <w:sz w:val="32"/>
          <w:szCs w:val="32"/>
          <w:highlight w:val="none"/>
        </w:rPr>
        <w:t>（6）后续跟踪与改进</w:t>
      </w:r>
    </w:p>
    <w:p w14:paraId="34F17506">
      <w:pPr>
        <w:spacing w:line="560" w:lineRule="exact"/>
        <w:ind w:firstLine="640" w:firstLineChars="200"/>
        <w:rPr>
          <w:rFonts w:eastAsia="仿宋_GB2312"/>
          <w:sz w:val="32"/>
          <w:szCs w:val="32"/>
          <w:highlight w:val="none"/>
        </w:rPr>
      </w:pPr>
      <w:r>
        <w:rPr>
          <w:rFonts w:eastAsia="仿宋_GB2312"/>
          <w:sz w:val="32"/>
          <w:szCs w:val="32"/>
          <w:highlight w:val="none"/>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54B77C61">
      <w:pPr>
        <w:numPr>
          <w:ilvl w:val="0"/>
          <w:numId w:val="3"/>
        </w:numPr>
        <w:spacing w:line="560" w:lineRule="exact"/>
        <w:ind w:firstLine="640" w:firstLineChars="200"/>
        <w:rPr>
          <w:rFonts w:eastAsia="黑体"/>
          <w:sz w:val="32"/>
          <w:szCs w:val="32"/>
          <w:highlight w:val="none"/>
        </w:rPr>
      </w:pPr>
      <w:r>
        <w:rPr>
          <w:rFonts w:eastAsia="黑体"/>
          <w:sz w:val="32"/>
          <w:szCs w:val="32"/>
          <w:highlight w:val="none"/>
        </w:rPr>
        <w:t>综合评价情况及评价结论（附相关评分表）</w:t>
      </w:r>
    </w:p>
    <w:p w14:paraId="2C68657C">
      <w:pPr>
        <w:pStyle w:val="10"/>
        <w:spacing w:before="0" w:after="0" w:line="560" w:lineRule="exact"/>
        <w:ind w:firstLine="643" w:firstLineChars="200"/>
        <w:jc w:val="both"/>
        <w:rPr>
          <w:rFonts w:ascii="Times New Roman" w:hAnsi="Times New Roman" w:eastAsia="楷体_GB2312"/>
          <w:highlight w:val="none"/>
        </w:rPr>
      </w:pPr>
      <w:r>
        <w:rPr>
          <w:rFonts w:ascii="Times New Roman" w:hAnsi="Times New Roman" w:eastAsia="楷体_GB2312"/>
          <w:highlight w:val="none"/>
        </w:rPr>
        <w:t>（一）评价情况</w:t>
      </w:r>
    </w:p>
    <w:p w14:paraId="137CD15C">
      <w:pPr>
        <w:pStyle w:val="9"/>
        <w:widowControl/>
        <w:spacing w:beforeAutospacing="0" w:afterAutospacing="0" w:line="560" w:lineRule="exact"/>
        <w:ind w:firstLine="640" w:firstLineChars="200"/>
        <w:rPr>
          <w:rFonts w:eastAsia="仿宋_GB2312"/>
          <w:sz w:val="32"/>
          <w:szCs w:val="32"/>
          <w:highlight w:val="none"/>
        </w:rPr>
      </w:pPr>
      <w:r>
        <w:rPr>
          <w:rFonts w:eastAsia="仿宋_GB2312"/>
          <w:sz w:val="32"/>
          <w:szCs w:val="32"/>
          <w:highlight w:val="none"/>
        </w:rPr>
        <w:t>本项目的综合评价基于对项目各方面绩效的深入分析与评估。从项目目标的达成情况来看，</w:t>
      </w:r>
      <w:r>
        <w:rPr>
          <w:rFonts w:hint="eastAsia" w:eastAsia="仿宋_GB2312"/>
          <w:sz w:val="32"/>
          <w:szCs w:val="32"/>
          <w:highlight w:val="none"/>
        </w:rPr>
        <w:t>区人才公寓装修经费</w:t>
      </w:r>
      <w:r>
        <w:rPr>
          <w:rFonts w:eastAsia="仿宋_GB2312"/>
          <w:sz w:val="32"/>
          <w:szCs w:val="32"/>
          <w:highlight w:val="none"/>
        </w:rPr>
        <w:t>在</w:t>
      </w:r>
      <w:r>
        <w:rPr>
          <w:rFonts w:hint="eastAsia" w:ascii="宋体" w:hAnsi="宋体" w:eastAsia="宋体" w:cs="宋体"/>
          <w:i w:val="0"/>
          <w:caps w:val="0"/>
          <w:color w:val="333333"/>
          <w:spacing w:val="0"/>
          <w:sz w:val="21"/>
          <w:szCs w:val="21"/>
          <w:highlight w:val="none"/>
          <w:shd w:val="clear" w:fill="FFFFFF"/>
        </w:rPr>
        <w:t>用</w:t>
      </w:r>
      <w:r>
        <w:rPr>
          <w:rFonts w:hint="eastAsia" w:eastAsia="仿宋_GB2312"/>
          <w:sz w:val="32"/>
          <w:szCs w:val="32"/>
          <w:highlight w:val="none"/>
        </w:rPr>
        <w:t>于区人才公寓装修共计28套房间，项目资金及时支付，按时完成，区内“引进人才”工作人员及时入住，验收合格率100%</w:t>
      </w:r>
      <w:r>
        <w:rPr>
          <w:rFonts w:hint="eastAsia" w:eastAsia="仿宋_GB2312"/>
          <w:sz w:val="32"/>
          <w:szCs w:val="32"/>
          <w:highlight w:val="none"/>
          <w:lang w:eastAsia="zh-CN"/>
        </w:rPr>
        <w:t>，</w:t>
      </w:r>
      <w:r>
        <w:rPr>
          <w:rFonts w:hint="eastAsia" w:eastAsia="仿宋_GB2312"/>
          <w:sz w:val="32"/>
          <w:szCs w:val="32"/>
          <w:highlight w:val="none"/>
        </w:rPr>
        <w:t>表现出色，达到了预期的标准与要求。</w:t>
      </w:r>
      <w:r>
        <w:rPr>
          <w:rFonts w:eastAsia="仿宋_GB2312"/>
          <w:sz w:val="32"/>
          <w:szCs w:val="32"/>
          <w:highlight w:val="none"/>
        </w:rPr>
        <w:t>同时，项目也在保障区内“引进人才”工作人员及时入住取得了显著的成效。</w:t>
      </w:r>
    </w:p>
    <w:p w14:paraId="6F16B004">
      <w:pPr>
        <w:pStyle w:val="9"/>
        <w:widowControl/>
        <w:spacing w:beforeAutospacing="0" w:afterAutospacing="0" w:line="560" w:lineRule="exact"/>
        <w:ind w:firstLine="640" w:firstLineChars="200"/>
        <w:rPr>
          <w:rFonts w:eastAsia="仿宋_GB2312"/>
          <w:sz w:val="32"/>
          <w:szCs w:val="32"/>
          <w:highlight w:val="none"/>
        </w:rPr>
      </w:pPr>
      <w:r>
        <w:rPr>
          <w:rFonts w:eastAsia="仿宋_GB2312"/>
          <w:sz w:val="32"/>
          <w:szCs w:val="32"/>
          <w:highlight w:val="none"/>
        </w:rPr>
        <w:t>在项目管理方面，</w:t>
      </w:r>
      <w:r>
        <w:rPr>
          <w:rFonts w:hint="eastAsia" w:eastAsia="仿宋_GB2312"/>
          <w:sz w:val="32"/>
          <w:szCs w:val="32"/>
          <w:highlight w:val="none"/>
          <w:lang w:eastAsia="zh-CN"/>
        </w:rPr>
        <w:t>沙区机关事务管理中心</w:t>
      </w:r>
      <w:r>
        <w:rPr>
          <w:rFonts w:eastAsia="仿宋_GB2312"/>
          <w:sz w:val="32"/>
          <w:szCs w:val="32"/>
          <w:highlight w:val="none"/>
        </w:rPr>
        <w:t>通过有效</w:t>
      </w:r>
      <w:r>
        <w:rPr>
          <w:rFonts w:hint="eastAsia" w:eastAsia="仿宋_GB2312"/>
          <w:sz w:val="32"/>
          <w:szCs w:val="32"/>
          <w:highlight w:val="none"/>
          <w:lang w:eastAsia="zh-CN"/>
        </w:rPr>
        <w:t>地</w:t>
      </w:r>
      <w:r>
        <w:rPr>
          <w:rFonts w:eastAsia="仿宋_GB2312"/>
          <w:sz w:val="32"/>
          <w:szCs w:val="32"/>
          <w:highlight w:val="none"/>
        </w:rPr>
        <w:t>规划、组织与协调，项目得以顺利实施，并在预算与时间上保持了良好的控制。</w:t>
      </w:r>
    </w:p>
    <w:p w14:paraId="60C4F37B">
      <w:pPr>
        <w:pStyle w:val="9"/>
        <w:widowControl/>
        <w:spacing w:beforeAutospacing="0" w:afterAutospacing="0" w:line="560" w:lineRule="exact"/>
        <w:ind w:firstLine="640" w:firstLineChars="200"/>
        <w:rPr>
          <w:rFonts w:eastAsia="仿宋_GB2312"/>
          <w:sz w:val="32"/>
          <w:szCs w:val="32"/>
          <w:highlight w:val="none"/>
        </w:rPr>
      </w:pPr>
      <w:r>
        <w:rPr>
          <w:rFonts w:eastAsia="仿宋_GB2312"/>
          <w:sz w:val="32"/>
          <w:szCs w:val="32"/>
          <w:highlight w:val="none"/>
        </w:rPr>
        <w:t>从项目效益的角度来看，本项目不仅实现了预期的社会效益方面产生了积极的影响。具体而言，保障区内“引进人才”工作人员及时入住方面的提升，为项目的利益相关者带来了实实在在的利益。</w:t>
      </w:r>
    </w:p>
    <w:p w14:paraId="4F9BC8FF">
      <w:pPr>
        <w:pStyle w:val="9"/>
        <w:widowControl/>
        <w:spacing w:beforeAutospacing="0" w:afterAutospacing="0" w:line="560" w:lineRule="exact"/>
        <w:ind w:firstLine="640" w:firstLineChars="200"/>
        <w:rPr>
          <w:highlight w:val="none"/>
        </w:rPr>
      </w:pPr>
      <w:r>
        <w:rPr>
          <w:rFonts w:eastAsia="仿宋_GB2312"/>
          <w:sz w:val="32"/>
          <w:szCs w:val="32"/>
          <w:highlight w:val="none"/>
        </w:rPr>
        <w:t>综上所述，</w:t>
      </w:r>
      <w:r>
        <w:rPr>
          <w:rFonts w:hint="eastAsia" w:eastAsia="仿宋_GB2312"/>
          <w:sz w:val="32"/>
          <w:szCs w:val="32"/>
          <w:highlight w:val="none"/>
        </w:rPr>
        <w:t>区人才公寓装修经费</w:t>
      </w:r>
      <w:r>
        <w:rPr>
          <w:rFonts w:eastAsia="仿宋_GB2312"/>
          <w:sz w:val="32"/>
          <w:szCs w:val="32"/>
          <w:highlight w:val="none"/>
        </w:rPr>
        <w:t>在绩效评价中表现出色，达到了项目的预期目标，并在多个方面取得了显著的成效。</w:t>
      </w:r>
    </w:p>
    <w:p w14:paraId="735431EB">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4E3AB105">
      <w:pPr>
        <w:pStyle w:val="10"/>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ascii="Times New Roman" w:hAnsi="Times New Roman" w:eastAsia="仿宋_GB2312"/>
          <w:b w:val="0"/>
          <w:bCs w:val="0"/>
          <w:highlight w:val="none"/>
        </w:rPr>
        <w:t>总得分为</w:t>
      </w:r>
      <w:r>
        <w:rPr>
          <w:rFonts w:hint="eastAsia" w:ascii="Times New Roman" w:hAnsi="Times New Roman" w:eastAsia="仿宋_GB2312"/>
          <w:b w:val="0"/>
          <w:bCs w:val="0"/>
          <w:highlight w:val="none"/>
          <w:lang w:val="en-US" w:eastAsia="zh-CN"/>
        </w:rPr>
        <w:t>100</w:t>
      </w:r>
      <w:r>
        <w:rPr>
          <w:rFonts w:ascii="Times New Roman" w:hAnsi="Times New Roman" w:eastAsia="仿宋_GB2312"/>
          <w:b w:val="0"/>
          <w:bCs w:val="0"/>
          <w:highlight w:val="none"/>
        </w:rPr>
        <w:t>分，属于“优”。其中，项目决策类指标权重为20分，得分为</w:t>
      </w:r>
      <w:r>
        <w:rPr>
          <w:rFonts w:hint="eastAsia" w:ascii="Times New Roman" w:hAnsi="Times New Roman" w:eastAsia="仿宋_GB2312"/>
          <w:b w:val="0"/>
          <w:bCs w:val="0"/>
          <w:highlight w:val="none"/>
          <w:lang w:val="en-US" w:eastAsia="zh-CN"/>
        </w:rPr>
        <w:t>20</w:t>
      </w:r>
      <w:r>
        <w:rPr>
          <w:rFonts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ascii="Times New Roman" w:hAnsi="Times New Roman" w:eastAsia="仿宋_GB2312"/>
          <w:b w:val="0"/>
          <w:bCs w:val="0"/>
          <w:highlight w:val="none"/>
        </w:rPr>
        <w:t>%。项目过程类指标权重为20分，得分为</w:t>
      </w:r>
      <w:r>
        <w:rPr>
          <w:rFonts w:hint="eastAsia" w:ascii="Times New Roman" w:hAnsi="Times New Roman" w:eastAsia="仿宋_GB2312"/>
          <w:b w:val="0"/>
          <w:bCs w:val="0"/>
          <w:highlight w:val="none"/>
          <w:lang w:val="en-US" w:eastAsia="zh-CN"/>
        </w:rPr>
        <w:t>20</w:t>
      </w:r>
      <w:r>
        <w:rPr>
          <w:rFonts w:ascii="Times New Roman" w:hAnsi="Times New Roman" w:eastAsia="仿宋_GB2312"/>
          <w:b w:val="0"/>
          <w:bCs w:val="0"/>
          <w:highlight w:val="none"/>
        </w:rPr>
        <w:t xml:space="preserve">分，得分率为 </w:t>
      </w:r>
      <w:r>
        <w:rPr>
          <w:rFonts w:hint="eastAsia" w:ascii="Times New Roman" w:hAnsi="Times New Roman" w:eastAsia="仿宋_GB2312"/>
          <w:b w:val="0"/>
          <w:bCs w:val="0"/>
          <w:highlight w:val="none"/>
          <w:lang w:val="en-US" w:eastAsia="zh-CN"/>
        </w:rPr>
        <w:t>100</w:t>
      </w:r>
      <w:r>
        <w:rPr>
          <w:rFonts w:ascii="Times New Roman" w:hAnsi="Times New Roman" w:eastAsia="仿宋_GB2312"/>
          <w:b w:val="0"/>
          <w:bCs w:val="0"/>
          <w:highlight w:val="none"/>
        </w:rPr>
        <w:t>%。项目产出类指标权重为40分，得分为</w:t>
      </w:r>
      <w:r>
        <w:rPr>
          <w:rFonts w:hint="eastAsia" w:ascii="Times New Roman" w:hAnsi="Times New Roman" w:eastAsia="仿宋_GB2312"/>
          <w:b w:val="0"/>
          <w:bCs w:val="0"/>
          <w:highlight w:val="none"/>
          <w:lang w:val="en-US" w:eastAsia="zh-CN"/>
        </w:rPr>
        <w:t>40</w:t>
      </w:r>
      <w:r>
        <w:rPr>
          <w:rFonts w:ascii="Times New Roman" w:hAnsi="Times New Roman" w:eastAsia="仿宋_GB2312"/>
          <w:b w:val="0"/>
          <w:bCs w:val="0"/>
          <w:highlight w:val="none"/>
        </w:rPr>
        <w:t xml:space="preserve">分，得分率为 </w:t>
      </w:r>
      <w:r>
        <w:rPr>
          <w:rFonts w:hint="eastAsia" w:ascii="Times New Roman" w:hAnsi="Times New Roman" w:eastAsia="仿宋_GB2312"/>
          <w:b w:val="0"/>
          <w:bCs w:val="0"/>
          <w:highlight w:val="none"/>
          <w:lang w:val="en-US" w:eastAsia="zh-CN"/>
        </w:rPr>
        <w:t>100</w:t>
      </w:r>
      <w:r>
        <w:rPr>
          <w:rFonts w:ascii="Times New Roman" w:hAnsi="Times New Roman" w:eastAsia="仿宋_GB2312"/>
          <w:b w:val="0"/>
          <w:bCs w:val="0"/>
          <w:highlight w:val="none"/>
        </w:rPr>
        <w:t>%。项目效益类指标权重为20分，得分为</w:t>
      </w:r>
      <w:r>
        <w:rPr>
          <w:rFonts w:hint="eastAsia" w:ascii="Times New Roman" w:hAnsi="Times New Roman" w:eastAsia="仿宋_GB2312"/>
          <w:b w:val="0"/>
          <w:bCs w:val="0"/>
          <w:highlight w:val="none"/>
          <w:lang w:val="en-US" w:eastAsia="zh-CN"/>
        </w:rPr>
        <w:t>20</w:t>
      </w:r>
      <w:r>
        <w:rPr>
          <w:rFonts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ascii="Times New Roman" w:hAnsi="Times New Roman" w:eastAsia="仿宋_GB2312"/>
          <w:b w:val="0"/>
          <w:bCs w:val="0"/>
          <w:highlight w:val="none"/>
        </w:rPr>
        <w:t>%。具体打分情况详见：附件1综合评分表。</w:t>
      </w:r>
    </w:p>
    <w:p w14:paraId="1DBB0D1C">
      <w:pPr>
        <w:pStyle w:val="10"/>
        <w:spacing w:before="0" w:after="0"/>
        <w:rPr>
          <w:rFonts w:ascii="Times New Roman" w:hAnsi="Times New Roman" w:eastAsia="仿宋_GB2312"/>
          <w:sz w:val="21"/>
          <w:szCs w:val="21"/>
          <w:highlight w:val="none"/>
        </w:rPr>
      </w:pPr>
      <w:r>
        <w:rPr>
          <w:rFonts w:ascii="Times New Roman" w:hAnsi="Times New Roman" w:eastAsia="仿宋_GB2312"/>
          <w:sz w:val="21"/>
          <w:szCs w:val="21"/>
          <w:highlight w:val="none"/>
        </w:rPr>
        <w:t>表1综合评分表</w:t>
      </w:r>
    </w:p>
    <w:tbl>
      <w:tblPr>
        <w:tblStyle w:val="14"/>
        <w:tblW w:w="8760" w:type="dxa"/>
        <w:jc w:val="center"/>
        <w:tblLayout w:type="fixed"/>
        <w:tblCellMar>
          <w:top w:w="0" w:type="dxa"/>
          <w:left w:w="108" w:type="dxa"/>
          <w:bottom w:w="0" w:type="dxa"/>
          <w:right w:w="108" w:type="dxa"/>
        </w:tblCellMar>
      </w:tblPr>
      <w:tblGrid>
        <w:gridCol w:w="2786"/>
        <w:gridCol w:w="1926"/>
        <w:gridCol w:w="2024"/>
        <w:gridCol w:w="2024"/>
      </w:tblGrid>
      <w:tr w14:paraId="3353F413">
        <w:tblPrEx>
          <w:tblCellMar>
            <w:top w:w="0" w:type="dxa"/>
            <w:left w:w="108" w:type="dxa"/>
            <w:bottom w:w="0" w:type="dxa"/>
            <w:right w:w="108" w:type="dxa"/>
          </w:tblCellMar>
        </w:tblPrEx>
        <w:trPr>
          <w:trHeight w:val="90" w:hRule="atLeast"/>
          <w:tblHeader/>
          <w:jc w:val="center"/>
        </w:trPr>
        <w:tc>
          <w:tcPr>
            <w:tcW w:w="2786"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68E24C7F">
            <w:pPr>
              <w:jc w:val="center"/>
              <w:rPr>
                <w:rFonts w:eastAsia="仿宋_GB2312"/>
                <w:b/>
                <w:bCs/>
                <w:color w:val="000000"/>
                <w:szCs w:val="21"/>
                <w:highlight w:val="none"/>
              </w:rPr>
            </w:pPr>
            <w:r>
              <w:rPr>
                <w:rFonts w:eastAsia="仿宋_GB2312"/>
                <w:b/>
                <w:bCs/>
                <w:color w:val="000000"/>
                <w:szCs w:val="21"/>
                <w:highlight w:val="none"/>
              </w:rPr>
              <w:t>一级指标</w:t>
            </w:r>
          </w:p>
        </w:tc>
        <w:tc>
          <w:tcPr>
            <w:tcW w:w="1926"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DCD0449">
            <w:pPr>
              <w:jc w:val="center"/>
              <w:rPr>
                <w:rFonts w:eastAsia="仿宋_GB2312"/>
                <w:b/>
                <w:bCs/>
                <w:color w:val="000000"/>
                <w:szCs w:val="21"/>
                <w:highlight w:val="none"/>
              </w:rPr>
            </w:pPr>
            <w:r>
              <w:rPr>
                <w:rFonts w:eastAsia="仿宋_GB2312"/>
                <w:b/>
                <w:bCs/>
                <w:color w:val="000000"/>
                <w:szCs w:val="21"/>
                <w:highlight w:val="none"/>
              </w:rPr>
              <w:t>权重分</w:t>
            </w:r>
          </w:p>
        </w:tc>
        <w:tc>
          <w:tcPr>
            <w:tcW w:w="2024"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688D607">
            <w:pPr>
              <w:jc w:val="center"/>
              <w:rPr>
                <w:rFonts w:eastAsia="仿宋_GB2312"/>
                <w:b/>
                <w:bCs/>
                <w:color w:val="000000"/>
                <w:szCs w:val="21"/>
                <w:highlight w:val="none"/>
              </w:rPr>
            </w:pPr>
            <w:r>
              <w:rPr>
                <w:rFonts w:eastAsia="仿宋_GB2312"/>
                <w:b/>
                <w:bCs/>
                <w:color w:val="000000"/>
                <w:szCs w:val="21"/>
                <w:highlight w:val="none"/>
              </w:rPr>
              <w:t>得分</w:t>
            </w:r>
          </w:p>
        </w:tc>
        <w:tc>
          <w:tcPr>
            <w:tcW w:w="2024"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F804798">
            <w:pPr>
              <w:jc w:val="center"/>
              <w:rPr>
                <w:rFonts w:eastAsia="仿宋_GB2312"/>
                <w:b/>
                <w:bCs/>
                <w:color w:val="000000"/>
                <w:szCs w:val="21"/>
                <w:highlight w:val="none"/>
              </w:rPr>
            </w:pPr>
            <w:r>
              <w:rPr>
                <w:rFonts w:hint="eastAsia" w:eastAsia="仿宋_GB2312"/>
                <w:b/>
                <w:bCs/>
                <w:color w:val="000000"/>
                <w:szCs w:val="21"/>
                <w:highlight w:val="none"/>
              </w:rPr>
              <w:t>得分率</w:t>
            </w:r>
          </w:p>
        </w:tc>
      </w:tr>
      <w:tr w14:paraId="679AA402">
        <w:tblPrEx>
          <w:tblCellMar>
            <w:top w:w="0" w:type="dxa"/>
            <w:left w:w="108" w:type="dxa"/>
            <w:bottom w:w="0" w:type="dxa"/>
            <w:right w:w="108" w:type="dxa"/>
          </w:tblCellMar>
        </w:tblPrEx>
        <w:trPr>
          <w:trHeight w:val="340" w:hRule="atLeast"/>
          <w:jc w:val="center"/>
        </w:trPr>
        <w:tc>
          <w:tcPr>
            <w:tcW w:w="2786" w:type="dxa"/>
            <w:tcBorders>
              <w:top w:val="nil"/>
              <w:left w:val="single" w:color="auto" w:sz="4" w:space="0"/>
              <w:bottom w:val="single" w:color="auto" w:sz="4" w:space="0"/>
              <w:right w:val="single" w:color="auto" w:sz="4" w:space="0"/>
            </w:tcBorders>
            <w:shd w:val="clear" w:color="auto" w:fill="auto"/>
            <w:vAlign w:val="center"/>
          </w:tcPr>
          <w:p w14:paraId="60F20148">
            <w:pPr>
              <w:jc w:val="center"/>
              <w:rPr>
                <w:rFonts w:eastAsia="仿宋_GB2312"/>
                <w:color w:val="000000"/>
                <w:szCs w:val="21"/>
                <w:highlight w:val="none"/>
              </w:rPr>
            </w:pPr>
            <w:r>
              <w:rPr>
                <w:rFonts w:eastAsia="仿宋_GB2312"/>
                <w:color w:val="000000"/>
                <w:szCs w:val="21"/>
                <w:highlight w:val="none"/>
              </w:rPr>
              <w:t>项目决策</w:t>
            </w:r>
          </w:p>
        </w:tc>
        <w:tc>
          <w:tcPr>
            <w:tcW w:w="1926" w:type="dxa"/>
            <w:tcBorders>
              <w:top w:val="nil"/>
              <w:left w:val="nil"/>
              <w:bottom w:val="single" w:color="auto" w:sz="4" w:space="0"/>
              <w:right w:val="single" w:color="auto" w:sz="4" w:space="0"/>
            </w:tcBorders>
            <w:shd w:val="clear" w:color="auto" w:fill="auto"/>
            <w:vAlign w:val="center"/>
          </w:tcPr>
          <w:p w14:paraId="673AC00C">
            <w:pPr>
              <w:jc w:val="center"/>
              <w:rPr>
                <w:rFonts w:hint="default" w:eastAsia="仿宋_GB2312"/>
                <w:color w:val="000000"/>
                <w:szCs w:val="21"/>
                <w:highlight w:val="none"/>
                <w:lang w:val="en-US" w:eastAsia="zh-CN"/>
              </w:rPr>
            </w:pPr>
            <w:r>
              <w:rPr>
                <w:rFonts w:hint="eastAsia" w:eastAsia="仿宋_GB2312"/>
                <w:color w:val="000000"/>
                <w:szCs w:val="21"/>
                <w:highlight w:val="none"/>
                <w:lang w:val="en-US" w:eastAsia="zh-CN"/>
              </w:rPr>
              <w:t>20</w:t>
            </w:r>
          </w:p>
        </w:tc>
        <w:tc>
          <w:tcPr>
            <w:tcW w:w="2024" w:type="dxa"/>
            <w:tcBorders>
              <w:top w:val="nil"/>
              <w:left w:val="nil"/>
              <w:bottom w:val="single" w:color="auto" w:sz="4" w:space="0"/>
              <w:right w:val="single" w:color="auto" w:sz="4" w:space="0"/>
            </w:tcBorders>
            <w:shd w:val="clear" w:color="auto" w:fill="auto"/>
            <w:vAlign w:val="center"/>
          </w:tcPr>
          <w:p w14:paraId="02608782">
            <w:pPr>
              <w:jc w:val="center"/>
              <w:rPr>
                <w:rFonts w:hint="default" w:eastAsia="仿宋_GB2312"/>
                <w:color w:val="000000"/>
                <w:szCs w:val="21"/>
                <w:highlight w:val="none"/>
                <w:lang w:val="en-US" w:eastAsia="zh-CN"/>
              </w:rPr>
            </w:pPr>
            <w:r>
              <w:rPr>
                <w:rFonts w:hint="eastAsia" w:eastAsia="仿宋_GB2312"/>
                <w:color w:val="000000"/>
                <w:szCs w:val="21"/>
                <w:highlight w:val="none"/>
                <w:lang w:val="en-US" w:eastAsia="zh-CN"/>
              </w:rPr>
              <w:t>20</w:t>
            </w:r>
          </w:p>
        </w:tc>
        <w:tc>
          <w:tcPr>
            <w:tcW w:w="2024" w:type="dxa"/>
            <w:tcBorders>
              <w:top w:val="nil"/>
              <w:left w:val="nil"/>
              <w:bottom w:val="single" w:color="auto" w:sz="4" w:space="0"/>
              <w:right w:val="single" w:color="auto" w:sz="4" w:space="0"/>
            </w:tcBorders>
            <w:shd w:val="clear" w:color="auto" w:fill="auto"/>
            <w:vAlign w:val="center"/>
          </w:tcPr>
          <w:p w14:paraId="0A60DECF">
            <w:pPr>
              <w:jc w:val="center"/>
              <w:rPr>
                <w:rFonts w:hint="default" w:eastAsia="仿宋_GB2312"/>
                <w:color w:val="000000"/>
                <w:szCs w:val="21"/>
                <w:highlight w:val="none"/>
                <w:lang w:val="en-US" w:eastAsia="zh-CN"/>
              </w:rPr>
            </w:pPr>
            <w:r>
              <w:rPr>
                <w:rFonts w:hint="eastAsia" w:eastAsia="仿宋_GB2312"/>
                <w:color w:val="000000"/>
                <w:szCs w:val="21"/>
                <w:highlight w:val="none"/>
                <w:lang w:val="en-US" w:eastAsia="zh-CN"/>
              </w:rPr>
              <w:t>100%</w:t>
            </w:r>
          </w:p>
        </w:tc>
      </w:tr>
      <w:tr w14:paraId="23DF65DA">
        <w:tblPrEx>
          <w:tblCellMar>
            <w:top w:w="0" w:type="dxa"/>
            <w:left w:w="108" w:type="dxa"/>
            <w:bottom w:w="0" w:type="dxa"/>
            <w:right w:w="108" w:type="dxa"/>
          </w:tblCellMar>
        </w:tblPrEx>
        <w:trPr>
          <w:trHeight w:val="340" w:hRule="atLeast"/>
          <w:jc w:val="center"/>
        </w:trPr>
        <w:tc>
          <w:tcPr>
            <w:tcW w:w="2786" w:type="dxa"/>
            <w:tcBorders>
              <w:top w:val="nil"/>
              <w:left w:val="single" w:color="auto" w:sz="4" w:space="0"/>
              <w:bottom w:val="single" w:color="auto" w:sz="4" w:space="0"/>
              <w:right w:val="single" w:color="auto" w:sz="4" w:space="0"/>
            </w:tcBorders>
            <w:shd w:val="clear" w:color="auto" w:fill="auto"/>
            <w:vAlign w:val="center"/>
          </w:tcPr>
          <w:p w14:paraId="363CFB1F">
            <w:pPr>
              <w:jc w:val="center"/>
              <w:rPr>
                <w:rFonts w:eastAsia="仿宋_GB2312"/>
                <w:color w:val="000000"/>
                <w:szCs w:val="21"/>
                <w:highlight w:val="none"/>
              </w:rPr>
            </w:pPr>
            <w:r>
              <w:rPr>
                <w:rFonts w:eastAsia="仿宋_GB2312"/>
                <w:color w:val="000000"/>
                <w:szCs w:val="21"/>
                <w:highlight w:val="none"/>
              </w:rPr>
              <w:t>项目过程</w:t>
            </w:r>
          </w:p>
        </w:tc>
        <w:tc>
          <w:tcPr>
            <w:tcW w:w="1926" w:type="dxa"/>
            <w:tcBorders>
              <w:top w:val="nil"/>
              <w:left w:val="nil"/>
              <w:bottom w:val="single" w:color="auto" w:sz="4" w:space="0"/>
              <w:right w:val="single" w:color="auto" w:sz="4" w:space="0"/>
            </w:tcBorders>
            <w:shd w:val="clear" w:color="auto" w:fill="auto"/>
            <w:vAlign w:val="center"/>
          </w:tcPr>
          <w:p w14:paraId="2098A7DF">
            <w:pPr>
              <w:jc w:val="center"/>
              <w:rPr>
                <w:rFonts w:eastAsia="仿宋_GB2312"/>
                <w:color w:val="000000"/>
                <w:szCs w:val="21"/>
                <w:highlight w:val="none"/>
              </w:rPr>
            </w:pPr>
            <w:r>
              <w:rPr>
                <w:rFonts w:eastAsia="仿宋_GB2312"/>
                <w:color w:val="000000"/>
                <w:szCs w:val="21"/>
                <w:highlight w:val="none"/>
              </w:rPr>
              <w:t>20</w:t>
            </w:r>
          </w:p>
        </w:tc>
        <w:tc>
          <w:tcPr>
            <w:tcW w:w="2024" w:type="dxa"/>
            <w:tcBorders>
              <w:top w:val="nil"/>
              <w:left w:val="nil"/>
              <w:bottom w:val="single" w:color="auto" w:sz="4" w:space="0"/>
              <w:right w:val="single" w:color="auto" w:sz="4" w:space="0"/>
            </w:tcBorders>
            <w:shd w:val="clear" w:color="auto" w:fill="auto"/>
            <w:vAlign w:val="center"/>
          </w:tcPr>
          <w:p w14:paraId="0875F7D3">
            <w:pPr>
              <w:jc w:val="center"/>
              <w:rPr>
                <w:rFonts w:hint="default" w:eastAsia="仿宋_GB2312"/>
                <w:color w:val="000000"/>
                <w:szCs w:val="21"/>
                <w:highlight w:val="none"/>
                <w:lang w:val="en-US" w:eastAsia="zh-CN"/>
              </w:rPr>
            </w:pPr>
            <w:r>
              <w:rPr>
                <w:rFonts w:hint="eastAsia" w:eastAsia="仿宋_GB2312"/>
                <w:color w:val="000000"/>
                <w:szCs w:val="21"/>
                <w:highlight w:val="none"/>
                <w:lang w:val="en-US" w:eastAsia="zh-CN"/>
              </w:rPr>
              <w:t>20</w:t>
            </w:r>
          </w:p>
        </w:tc>
        <w:tc>
          <w:tcPr>
            <w:tcW w:w="2024" w:type="dxa"/>
            <w:tcBorders>
              <w:top w:val="nil"/>
              <w:left w:val="nil"/>
              <w:bottom w:val="single" w:color="auto" w:sz="4" w:space="0"/>
              <w:right w:val="single" w:color="auto" w:sz="4" w:space="0"/>
            </w:tcBorders>
            <w:shd w:val="clear" w:color="auto" w:fill="auto"/>
            <w:vAlign w:val="center"/>
          </w:tcPr>
          <w:p w14:paraId="505A0B29">
            <w:pPr>
              <w:jc w:val="center"/>
              <w:rPr>
                <w:rFonts w:eastAsia="仿宋_GB2312"/>
                <w:color w:val="000000"/>
                <w:szCs w:val="21"/>
                <w:highlight w:val="none"/>
              </w:rPr>
            </w:pPr>
            <w:r>
              <w:rPr>
                <w:rFonts w:hint="eastAsia" w:eastAsia="仿宋_GB2312"/>
                <w:color w:val="000000"/>
                <w:szCs w:val="21"/>
                <w:highlight w:val="none"/>
                <w:lang w:val="en-US" w:eastAsia="zh-CN"/>
              </w:rPr>
              <w:t>100%</w:t>
            </w:r>
          </w:p>
        </w:tc>
      </w:tr>
      <w:tr w14:paraId="3F3A5800">
        <w:tblPrEx>
          <w:tblCellMar>
            <w:top w:w="0" w:type="dxa"/>
            <w:left w:w="108" w:type="dxa"/>
            <w:bottom w:w="0" w:type="dxa"/>
            <w:right w:w="108" w:type="dxa"/>
          </w:tblCellMar>
        </w:tblPrEx>
        <w:trPr>
          <w:trHeight w:val="340" w:hRule="atLeast"/>
          <w:jc w:val="center"/>
        </w:trPr>
        <w:tc>
          <w:tcPr>
            <w:tcW w:w="2786" w:type="dxa"/>
            <w:tcBorders>
              <w:top w:val="nil"/>
              <w:left w:val="single" w:color="auto" w:sz="4" w:space="0"/>
              <w:bottom w:val="single" w:color="auto" w:sz="4" w:space="0"/>
              <w:right w:val="single" w:color="auto" w:sz="4" w:space="0"/>
            </w:tcBorders>
            <w:shd w:val="clear" w:color="auto" w:fill="auto"/>
            <w:vAlign w:val="center"/>
          </w:tcPr>
          <w:p w14:paraId="228ABAD8">
            <w:pPr>
              <w:jc w:val="center"/>
              <w:rPr>
                <w:rFonts w:eastAsia="仿宋_GB2312"/>
                <w:color w:val="000000"/>
                <w:szCs w:val="21"/>
                <w:highlight w:val="none"/>
              </w:rPr>
            </w:pPr>
            <w:r>
              <w:rPr>
                <w:rFonts w:eastAsia="仿宋_GB2312"/>
                <w:color w:val="000000"/>
                <w:szCs w:val="21"/>
                <w:highlight w:val="none"/>
              </w:rPr>
              <w:t>项目产出</w:t>
            </w:r>
          </w:p>
        </w:tc>
        <w:tc>
          <w:tcPr>
            <w:tcW w:w="1926" w:type="dxa"/>
            <w:tcBorders>
              <w:top w:val="nil"/>
              <w:left w:val="nil"/>
              <w:bottom w:val="single" w:color="auto" w:sz="4" w:space="0"/>
              <w:right w:val="single" w:color="auto" w:sz="4" w:space="0"/>
            </w:tcBorders>
            <w:shd w:val="clear" w:color="auto" w:fill="auto"/>
            <w:vAlign w:val="center"/>
          </w:tcPr>
          <w:p w14:paraId="747CF025">
            <w:pPr>
              <w:jc w:val="center"/>
              <w:rPr>
                <w:rFonts w:eastAsia="仿宋_GB2312"/>
                <w:color w:val="000000"/>
                <w:szCs w:val="21"/>
                <w:highlight w:val="none"/>
              </w:rPr>
            </w:pPr>
            <w:r>
              <w:rPr>
                <w:rFonts w:eastAsia="仿宋_GB2312"/>
                <w:color w:val="000000"/>
                <w:szCs w:val="21"/>
                <w:highlight w:val="none"/>
              </w:rPr>
              <w:t>40</w:t>
            </w:r>
          </w:p>
        </w:tc>
        <w:tc>
          <w:tcPr>
            <w:tcW w:w="2024" w:type="dxa"/>
            <w:tcBorders>
              <w:top w:val="nil"/>
              <w:left w:val="nil"/>
              <w:bottom w:val="single" w:color="auto" w:sz="4" w:space="0"/>
              <w:right w:val="single" w:color="auto" w:sz="4" w:space="0"/>
            </w:tcBorders>
            <w:shd w:val="clear" w:color="auto" w:fill="auto"/>
            <w:vAlign w:val="center"/>
          </w:tcPr>
          <w:p w14:paraId="4F59401E">
            <w:pPr>
              <w:jc w:val="center"/>
              <w:rPr>
                <w:rFonts w:hint="default" w:eastAsia="仿宋_GB2312"/>
                <w:color w:val="000000"/>
                <w:szCs w:val="21"/>
                <w:highlight w:val="none"/>
                <w:lang w:val="en-US" w:eastAsia="zh-CN"/>
              </w:rPr>
            </w:pPr>
            <w:r>
              <w:rPr>
                <w:rFonts w:hint="eastAsia" w:eastAsia="仿宋_GB2312"/>
                <w:color w:val="000000"/>
                <w:szCs w:val="21"/>
                <w:highlight w:val="none"/>
                <w:lang w:val="en-US" w:eastAsia="zh-CN"/>
              </w:rPr>
              <w:t>40</w:t>
            </w:r>
          </w:p>
        </w:tc>
        <w:tc>
          <w:tcPr>
            <w:tcW w:w="2024" w:type="dxa"/>
            <w:tcBorders>
              <w:top w:val="nil"/>
              <w:left w:val="nil"/>
              <w:bottom w:val="single" w:color="auto" w:sz="4" w:space="0"/>
              <w:right w:val="single" w:color="auto" w:sz="4" w:space="0"/>
            </w:tcBorders>
            <w:shd w:val="clear" w:color="auto" w:fill="auto"/>
            <w:vAlign w:val="center"/>
          </w:tcPr>
          <w:p w14:paraId="772CD858">
            <w:pPr>
              <w:jc w:val="center"/>
              <w:rPr>
                <w:rFonts w:eastAsia="仿宋_GB2312"/>
                <w:color w:val="000000"/>
                <w:szCs w:val="21"/>
                <w:highlight w:val="none"/>
              </w:rPr>
            </w:pPr>
            <w:r>
              <w:rPr>
                <w:rFonts w:hint="eastAsia" w:eastAsia="仿宋_GB2312"/>
                <w:color w:val="000000"/>
                <w:szCs w:val="21"/>
                <w:highlight w:val="none"/>
                <w:lang w:val="en-US" w:eastAsia="zh-CN"/>
              </w:rPr>
              <w:t>100%</w:t>
            </w:r>
          </w:p>
        </w:tc>
      </w:tr>
      <w:tr w14:paraId="2F940DF4">
        <w:tblPrEx>
          <w:tblCellMar>
            <w:top w:w="0" w:type="dxa"/>
            <w:left w:w="108" w:type="dxa"/>
            <w:bottom w:w="0" w:type="dxa"/>
            <w:right w:w="108" w:type="dxa"/>
          </w:tblCellMar>
        </w:tblPrEx>
        <w:trPr>
          <w:trHeight w:val="340" w:hRule="atLeast"/>
          <w:jc w:val="center"/>
        </w:trPr>
        <w:tc>
          <w:tcPr>
            <w:tcW w:w="2786" w:type="dxa"/>
            <w:tcBorders>
              <w:top w:val="nil"/>
              <w:left w:val="single" w:color="auto" w:sz="4" w:space="0"/>
              <w:bottom w:val="single" w:color="auto" w:sz="4" w:space="0"/>
              <w:right w:val="single" w:color="auto" w:sz="4" w:space="0"/>
            </w:tcBorders>
            <w:shd w:val="clear" w:color="auto" w:fill="auto"/>
            <w:vAlign w:val="center"/>
          </w:tcPr>
          <w:p w14:paraId="006081EB">
            <w:pPr>
              <w:jc w:val="center"/>
              <w:rPr>
                <w:rFonts w:eastAsia="仿宋_GB2312"/>
                <w:color w:val="000000"/>
                <w:szCs w:val="21"/>
                <w:highlight w:val="none"/>
              </w:rPr>
            </w:pPr>
            <w:r>
              <w:rPr>
                <w:rFonts w:eastAsia="仿宋_GB2312"/>
                <w:color w:val="000000"/>
                <w:szCs w:val="21"/>
                <w:highlight w:val="none"/>
              </w:rPr>
              <w:t>项目效益</w:t>
            </w:r>
          </w:p>
        </w:tc>
        <w:tc>
          <w:tcPr>
            <w:tcW w:w="1926" w:type="dxa"/>
            <w:tcBorders>
              <w:top w:val="nil"/>
              <w:left w:val="nil"/>
              <w:bottom w:val="single" w:color="auto" w:sz="4" w:space="0"/>
              <w:right w:val="single" w:color="auto" w:sz="4" w:space="0"/>
            </w:tcBorders>
            <w:shd w:val="clear" w:color="auto" w:fill="auto"/>
            <w:vAlign w:val="center"/>
          </w:tcPr>
          <w:p w14:paraId="5CC8F384">
            <w:pPr>
              <w:jc w:val="center"/>
              <w:rPr>
                <w:rFonts w:eastAsia="仿宋_GB2312"/>
                <w:color w:val="000000"/>
                <w:szCs w:val="21"/>
                <w:highlight w:val="none"/>
              </w:rPr>
            </w:pPr>
            <w:r>
              <w:rPr>
                <w:rFonts w:eastAsia="仿宋_GB2312"/>
                <w:color w:val="000000"/>
                <w:szCs w:val="21"/>
                <w:highlight w:val="none"/>
              </w:rPr>
              <w:t>20</w:t>
            </w:r>
          </w:p>
        </w:tc>
        <w:tc>
          <w:tcPr>
            <w:tcW w:w="2024" w:type="dxa"/>
            <w:tcBorders>
              <w:top w:val="nil"/>
              <w:left w:val="nil"/>
              <w:bottom w:val="single" w:color="auto" w:sz="4" w:space="0"/>
              <w:right w:val="single" w:color="auto" w:sz="4" w:space="0"/>
            </w:tcBorders>
            <w:shd w:val="clear" w:color="auto" w:fill="auto"/>
            <w:vAlign w:val="center"/>
          </w:tcPr>
          <w:p w14:paraId="661FF7D3">
            <w:pPr>
              <w:jc w:val="center"/>
              <w:rPr>
                <w:rFonts w:hint="default" w:eastAsia="仿宋_GB2312"/>
                <w:color w:val="000000"/>
                <w:szCs w:val="21"/>
                <w:highlight w:val="none"/>
                <w:lang w:val="en-US" w:eastAsia="zh-CN"/>
              </w:rPr>
            </w:pPr>
            <w:r>
              <w:rPr>
                <w:rFonts w:hint="eastAsia" w:eastAsia="仿宋_GB2312"/>
                <w:color w:val="000000"/>
                <w:szCs w:val="21"/>
                <w:highlight w:val="none"/>
                <w:lang w:val="en-US" w:eastAsia="zh-CN"/>
              </w:rPr>
              <w:t>20</w:t>
            </w:r>
          </w:p>
        </w:tc>
        <w:tc>
          <w:tcPr>
            <w:tcW w:w="2024" w:type="dxa"/>
            <w:tcBorders>
              <w:top w:val="nil"/>
              <w:left w:val="nil"/>
              <w:bottom w:val="single" w:color="auto" w:sz="4" w:space="0"/>
              <w:right w:val="single" w:color="auto" w:sz="4" w:space="0"/>
            </w:tcBorders>
            <w:shd w:val="clear" w:color="auto" w:fill="auto"/>
            <w:vAlign w:val="center"/>
          </w:tcPr>
          <w:p w14:paraId="59509497">
            <w:pPr>
              <w:jc w:val="center"/>
              <w:rPr>
                <w:rFonts w:eastAsia="仿宋_GB2312"/>
                <w:color w:val="000000"/>
                <w:szCs w:val="21"/>
                <w:highlight w:val="none"/>
              </w:rPr>
            </w:pPr>
            <w:r>
              <w:rPr>
                <w:rFonts w:hint="eastAsia" w:eastAsia="仿宋_GB2312"/>
                <w:color w:val="000000"/>
                <w:szCs w:val="21"/>
                <w:highlight w:val="none"/>
                <w:lang w:val="en-US" w:eastAsia="zh-CN"/>
              </w:rPr>
              <w:t>100%</w:t>
            </w:r>
          </w:p>
        </w:tc>
      </w:tr>
      <w:tr w14:paraId="05EC8314">
        <w:tblPrEx>
          <w:tblCellMar>
            <w:top w:w="0" w:type="dxa"/>
            <w:left w:w="108" w:type="dxa"/>
            <w:bottom w:w="0" w:type="dxa"/>
            <w:right w:w="108" w:type="dxa"/>
          </w:tblCellMar>
        </w:tblPrEx>
        <w:trPr>
          <w:trHeight w:val="340" w:hRule="atLeast"/>
          <w:jc w:val="center"/>
        </w:trPr>
        <w:tc>
          <w:tcPr>
            <w:tcW w:w="2786" w:type="dxa"/>
            <w:tcBorders>
              <w:top w:val="nil"/>
              <w:left w:val="single" w:color="auto" w:sz="4" w:space="0"/>
              <w:bottom w:val="single" w:color="auto" w:sz="4" w:space="0"/>
              <w:right w:val="single" w:color="auto" w:sz="4" w:space="0"/>
            </w:tcBorders>
            <w:shd w:val="clear" w:color="auto" w:fill="auto"/>
            <w:vAlign w:val="center"/>
          </w:tcPr>
          <w:p w14:paraId="1D374387">
            <w:pPr>
              <w:jc w:val="center"/>
              <w:rPr>
                <w:rFonts w:eastAsia="仿宋_GB2312"/>
                <w:b/>
                <w:bCs/>
                <w:color w:val="000000"/>
                <w:szCs w:val="21"/>
                <w:highlight w:val="none"/>
              </w:rPr>
            </w:pPr>
            <w:r>
              <w:rPr>
                <w:rFonts w:eastAsia="仿宋_GB2312"/>
                <w:b/>
                <w:bCs/>
                <w:color w:val="000000"/>
                <w:szCs w:val="21"/>
                <w:highlight w:val="none"/>
              </w:rPr>
              <w:t>合计</w:t>
            </w:r>
          </w:p>
        </w:tc>
        <w:tc>
          <w:tcPr>
            <w:tcW w:w="1926" w:type="dxa"/>
            <w:tcBorders>
              <w:top w:val="nil"/>
              <w:left w:val="nil"/>
              <w:bottom w:val="single" w:color="auto" w:sz="4" w:space="0"/>
              <w:right w:val="single" w:color="auto" w:sz="4" w:space="0"/>
            </w:tcBorders>
            <w:shd w:val="clear" w:color="auto" w:fill="auto"/>
            <w:vAlign w:val="center"/>
          </w:tcPr>
          <w:p w14:paraId="023F49AE">
            <w:pPr>
              <w:jc w:val="center"/>
              <w:rPr>
                <w:rFonts w:hint="default" w:eastAsia="仿宋_GB2312"/>
                <w:b/>
                <w:bCs/>
                <w:color w:val="000000"/>
                <w:szCs w:val="21"/>
                <w:highlight w:val="none"/>
                <w:lang w:val="en-US" w:eastAsia="zh-CN"/>
              </w:rPr>
            </w:pPr>
            <w:r>
              <w:rPr>
                <w:rFonts w:hint="eastAsia" w:eastAsia="仿宋_GB2312"/>
                <w:b/>
                <w:bCs/>
                <w:color w:val="000000"/>
                <w:szCs w:val="21"/>
                <w:highlight w:val="none"/>
                <w:lang w:val="en-US" w:eastAsia="zh-CN"/>
              </w:rPr>
              <w:t>100</w:t>
            </w:r>
          </w:p>
        </w:tc>
        <w:tc>
          <w:tcPr>
            <w:tcW w:w="2024" w:type="dxa"/>
            <w:tcBorders>
              <w:top w:val="nil"/>
              <w:left w:val="nil"/>
              <w:bottom w:val="single" w:color="auto" w:sz="4" w:space="0"/>
              <w:right w:val="single" w:color="auto" w:sz="4" w:space="0"/>
            </w:tcBorders>
            <w:shd w:val="clear" w:color="auto" w:fill="auto"/>
            <w:vAlign w:val="center"/>
          </w:tcPr>
          <w:p w14:paraId="3CC19FAF">
            <w:pPr>
              <w:jc w:val="center"/>
              <w:rPr>
                <w:rFonts w:hint="default" w:eastAsia="仿宋_GB2312"/>
                <w:b/>
                <w:bCs/>
                <w:color w:val="000000"/>
                <w:szCs w:val="21"/>
                <w:highlight w:val="none"/>
                <w:lang w:val="en-US" w:eastAsia="zh-CN"/>
              </w:rPr>
            </w:pPr>
            <w:r>
              <w:rPr>
                <w:rFonts w:hint="eastAsia" w:eastAsia="仿宋_GB2312"/>
                <w:b/>
                <w:bCs/>
                <w:color w:val="000000"/>
                <w:szCs w:val="21"/>
                <w:highlight w:val="none"/>
                <w:lang w:val="en-US" w:eastAsia="zh-CN"/>
              </w:rPr>
              <w:t>100</w:t>
            </w:r>
          </w:p>
        </w:tc>
        <w:tc>
          <w:tcPr>
            <w:tcW w:w="2024" w:type="dxa"/>
            <w:tcBorders>
              <w:top w:val="nil"/>
              <w:left w:val="nil"/>
              <w:bottom w:val="single" w:color="auto" w:sz="4" w:space="0"/>
              <w:right w:val="single" w:color="auto" w:sz="4" w:space="0"/>
            </w:tcBorders>
            <w:shd w:val="clear" w:color="auto" w:fill="auto"/>
            <w:vAlign w:val="center"/>
          </w:tcPr>
          <w:p w14:paraId="55FCCF44">
            <w:pPr>
              <w:jc w:val="center"/>
              <w:rPr>
                <w:rFonts w:hint="default" w:eastAsia="仿宋_GB2312"/>
                <w:b/>
                <w:bCs/>
                <w:color w:val="000000"/>
                <w:szCs w:val="21"/>
                <w:highlight w:val="none"/>
                <w:lang w:val="en-US" w:eastAsia="zh-CN"/>
              </w:rPr>
            </w:pPr>
            <w:r>
              <w:rPr>
                <w:rFonts w:hint="eastAsia" w:eastAsia="仿宋_GB2312"/>
                <w:b/>
                <w:bCs/>
                <w:color w:val="000000"/>
                <w:szCs w:val="21"/>
                <w:highlight w:val="none"/>
                <w:lang w:val="en-US" w:eastAsia="zh-CN"/>
              </w:rPr>
              <w:t>100%</w:t>
            </w:r>
          </w:p>
        </w:tc>
      </w:tr>
    </w:tbl>
    <w:p w14:paraId="2F0C6F78">
      <w:pPr>
        <w:spacing w:line="560" w:lineRule="exact"/>
        <w:ind w:firstLine="640" w:firstLineChars="200"/>
        <w:rPr>
          <w:rFonts w:eastAsia="黑体"/>
          <w:sz w:val="32"/>
          <w:szCs w:val="32"/>
          <w:highlight w:val="none"/>
        </w:rPr>
      </w:pPr>
      <w:r>
        <w:rPr>
          <w:rFonts w:eastAsia="黑体"/>
          <w:sz w:val="32"/>
          <w:szCs w:val="32"/>
          <w:highlight w:val="none"/>
        </w:rPr>
        <w:t>四、绩效评价指标分析</w:t>
      </w:r>
    </w:p>
    <w:p w14:paraId="6E4A95AA">
      <w:pPr>
        <w:pStyle w:val="10"/>
        <w:spacing w:before="0" w:after="0" w:line="560" w:lineRule="exact"/>
        <w:ind w:firstLine="643" w:firstLineChars="200"/>
        <w:jc w:val="both"/>
        <w:rPr>
          <w:rFonts w:ascii="Times New Roman" w:hAnsi="Times New Roman" w:eastAsia="楷体_GB2312"/>
          <w:highlight w:val="none"/>
        </w:rPr>
      </w:pPr>
      <w:r>
        <w:rPr>
          <w:rFonts w:ascii="Times New Roman" w:hAnsi="Times New Roman" w:eastAsia="楷体_GB2312"/>
          <w:highlight w:val="none"/>
        </w:rPr>
        <w:t>（一）项目决策情况</w:t>
      </w:r>
    </w:p>
    <w:p w14:paraId="6FB409EA">
      <w:pPr>
        <w:spacing w:line="600" w:lineRule="exact"/>
        <w:ind w:firstLine="640" w:firstLineChars="200"/>
        <w:outlineLvl w:val="0"/>
        <w:rPr>
          <w:rFonts w:eastAsia="仿宋_GB2312"/>
          <w:sz w:val="32"/>
          <w:szCs w:val="32"/>
          <w:highlight w:val="none"/>
        </w:rPr>
      </w:pPr>
      <w:r>
        <w:rPr>
          <w:rFonts w:eastAsia="仿宋_GB2312"/>
          <w:sz w:val="32"/>
          <w:szCs w:val="32"/>
          <w:highlight w:val="none"/>
        </w:rPr>
        <w:t>项目决策类指标包括项目立项、绩效目标和资金投入三方面的内容，由6个三级指标构成，权重分值为20分，实际得分</w:t>
      </w:r>
      <w:r>
        <w:rPr>
          <w:rFonts w:hint="eastAsia" w:eastAsia="仿宋_GB2312"/>
          <w:sz w:val="32"/>
          <w:szCs w:val="32"/>
          <w:highlight w:val="none"/>
          <w:lang w:val="en-US" w:eastAsia="zh-CN"/>
        </w:rPr>
        <w:t>20</w:t>
      </w:r>
      <w:r>
        <w:rPr>
          <w:rFonts w:eastAsia="仿宋_GB2312"/>
          <w:sz w:val="32"/>
          <w:szCs w:val="32"/>
          <w:highlight w:val="none"/>
        </w:rPr>
        <w:t>分，得分率为</w:t>
      </w:r>
      <w:r>
        <w:rPr>
          <w:rFonts w:hint="eastAsia" w:eastAsia="仿宋_GB2312"/>
          <w:sz w:val="32"/>
          <w:szCs w:val="32"/>
          <w:highlight w:val="none"/>
          <w:lang w:val="en-US" w:eastAsia="zh-CN"/>
        </w:rPr>
        <w:t>100</w:t>
      </w:r>
      <w:r>
        <w:rPr>
          <w:rFonts w:eastAsia="仿宋_GB2312"/>
          <w:sz w:val="32"/>
          <w:szCs w:val="32"/>
          <w:highlight w:val="none"/>
        </w:rPr>
        <w:t>%。</w:t>
      </w:r>
    </w:p>
    <w:p w14:paraId="4AD21AF9">
      <w:pPr>
        <w:pStyle w:val="19"/>
        <w:spacing w:line="560" w:lineRule="exact"/>
        <w:ind w:firstLine="640"/>
        <w:rPr>
          <w:rFonts w:eastAsia="仿宋_GB2312"/>
          <w:b/>
          <w:bCs/>
          <w:sz w:val="32"/>
          <w:szCs w:val="32"/>
        </w:rPr>
      </w:pPr>
      <w:r>
        <w:rPr>
          <w:rFonts w:eastAsia="仿宋_GB2312"/>
          <w:b/>
          <w:bCs/>
          <w:sz w:val="32"/>
          <w:szCs w:val="32"/>
        </w:rPr>
        <w:t>1.项目立项</w:t>
      </w:r>
    </w:p>
    <w:p w14:paraId="38554203">
      <w:pPr>
        <w:spacing w:line="600" w:lineRule="exact"/>
        <w:ind w:firstLine="640" w:firstLineChars="200"/>
        <w:outlineLvl w:val="0"/>
        <w:rPr>
          <w:rFonts w:eastAsia="仿宋_GB2312"/>
          <w:sz w:val="32"/>
          <w:szCs w:val="32"/>
        </w:rPr>
      </w:pPr>
      <w:r>
        <w:rPr>
          <w:rFonts w:eastAsia="仿宋_GB2312"/>
          <w:sz w:val="32"/>
          <w:szCs w:val="32"/>
        </w:rPr>
        <w:t>（1）立项依据充分性</w:t>
      </w:r>
    </w:p>
    <w:p w14:paraId="5D045FFF">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362E0D86">
      <w:pPr>
        <w:spacing w:line="600" w:lineRule="exact"/>
        <w:ind w:firstLine="640" w:firstLineChars="200"/>
        <w:outlineLvl w:val="0"/>
        <w:rPr>
          <w:rFonts w:eastAsia="仿宋_GB2312"/>
          <w:sz w:val="32"/>
          <w:szCs w:val="32"/>
        </w:rPr>
      </w:pPr>
      <w:r>
        <w:rPr>
          <w:rFonts w:eastAsia="仿宋_GB2312"/>
          <w:sz w:val="32"/>
          <w:szCs w:val="32"/>
        </w:rPr>
        <w:t>（2）立项程序规范性</w:t>
      </w:r>
    </w:p>
    <w:p w14:paraId="18C86153">
      <w:pPr>
        <w:spacing w:line="600" w:lineRule="exact"/>
        <w:ind w:firstLine="640" w:firstLineChars="200"/>
        <w:outlineLvl w:val="0"/>
        <w:rPr>
          <w:rFonts w:eastAsia="仿宋_GB2312"/>
          <w:sz w:val="32"/>
          <w:szCs w:val="32"/>
          <w:highlight w:val="none"/>
        </w:rPr>
      </w:pPr>
      <w:r>
        <w:rPr>
          <w:rFonts w:eastAsia="仿宋_GB2312"/>
          <w:sz w:val="32"/>
          <w:szCs w:val="32"/>
        </w:rPr>
        <w:t>项目申请、设立过程符合相关要求，严格按照审批流程准备符合要求的文件、材料；</w:t>
      </w:r>
      <w:r>
        <w:rPr>
          <w:rFonts w:eastAsia="仿宋_GB2312"/>
          <w:sz w:val="32"/>
          <w:szCs w:val="32"/>
          <w:highlight w:val="none"/>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64F5D357">
      <w:pPr>
        <w:pStyle w:val="19"/>
        <w:spacing w:line="560" w:lineRule="exact"/>
        <w:ind w:firstLine="640"/>
        <w:rPr>
          <w:rFonts w:eastAsia="仿宋_GB2312"/>
          <w:b/>
          <w:bCs/>
          <w:sz w:val="32"/>
          <w:szCs w:val="32"/>
          <w:highlight w:val="none"/>
        </w:rPr>
      </w:pPr>
      <w:r>
        <w:rPr>
          <w:rFonts w:eastAsia="仿宋_GB2312"/>
          <w:b/>
          <w:bCs/>
          <w:sz w:val="32"/>
          <w:szCs w:val="32"/>
          <w:highlight w:val="none"/>
        </w:rPr>
        <w:t>2.绩效目标</w:t>
      </w:r>
    </w:p>
    <w:p w14:paraId="6B9AAC34">
      <w:pPr>
        <w:spacing w:line="600" w:lineRule="exact"/>
        <w:ind w:firstLine="640" w:firstLineChars="200"/>
        <w:outlineLvl w:val="0"/>
        <w:rPr>
          <w:rFonts w:eastAsia="仿宋_GB2312"/>
          <w:sz w:val="32"/>
          <w:szCs w:val="32"/>
        </w:rPr>
      </w:pPr>
      <w:r>
        <w:rPr>
          <w:rFonts w:eastAsia="仿宋_GB2312"/>
          <w:sz w:val="32"/>
          <w:szCs w:val="32"/>
        </w:rPr>
        <w:t>（1）绩效目标合理性</w:t>
      </w:r>
    </w:p>
    <w:p w14:paraId="64626FD9">
      <w:pPr>
        <w:spacing w:line="600" w:lineRule="exact"/>
        <w:ind w:firstLine="640" w:firstLineChars="200"/>
        <w:outlineLvl w:val="0"/>
        <w:rPr>
          <w:rFonts w:eastAsia="仿宋_GB2312"/>
          <w:sz w:val="32"/>
          <w:szCs w:val="32"/>
        </w:rPr>
      </w:pPr>
      <w:r>
        <w:rPr>
          <w:rFonts w:eastAsia="仿宋_GB2312"/>
          <w:sz w:val="32"/>
          <w:szCs w:val="32"/>
        </w:rPr>
        <w:t>年初结合实际工作内容设定绩效目标，绩效目标依据充分，符合客观实际，能反映和考核项目绩效目标与项目实施的相符情况，依据绩效目标设定的绩效指标清晰、细化、可衡量，能反映和考核项目绩效目标</w:t>
      </w:r>
      <w:r>
        <w:rPr>
          <w:rFonts w:hint="eastAsia" w:eastAsia="仿宋_GB2312"/>
          <w:sz w:val="32"/>
          <w:szCs w:val="32"/>
          <w:lang w:eastAsia="zh-CN"/>
        </w:rPr>
        <w:t>的</w:t>
      </w:r>
      <w:r>
        <w:rPr>
          <w:rFonts w:eastAsia="仿宋_GB2312"/>
          <w:sz w:val="32"/>
          <w:szCs w:val="32"/>
        </w:rPr>
        <w:t>细化情况。绩效目标表经过审核，绩效目标与实际工作内容具有相关性，预算与确定的项目投资额相匹配，对项目任务进行了详细分解。项目预期产出效益及效果符合正常的业绩水平。</w:t>
      </w:r>
    </w:p>
    <w:p w14:paraId="505A79A4">
      <w:pPr>
        <w:spacing w:line="600" w:lineRule="exact"/>
        <w:ind w:firstLine="640" w:firstLineChars="200"/>
        <w:outlineLvl w:val="0"/>
        <w:rPr>
          <w:rFonts w:eastAsia="仿宋_GB2312"/>
          <w:sz w:val="32"/>
          <w:szCs w:val="32"/>
        </w:rPr>
      </w:pPr>
      <w:r>
        <w:rPr>
          <w:rFonts w:eastAsia="仿宋_GB2312"/>
          <w:sz w:val="32"/>
          <w:szCs w:val="32"/>
        </w:rPr>
        <w:t>（2）绩效指标明确性</w:t>
      </w:r>
    </w:p>
    <w:p w14:paraId="036AD98C">
      <w:pPr>
        <w:spacing w:line="600" w:lineRule="exact"/>
        <w:ind w:firstLine="640" w:firstLineChars="200"/>
        <w:outlineLvl w:val="0"/>
        <w:rPr>
          <w:rFonts w:ascii="Times New Roman" w:hAnsi="Times New Roman" w:eastAsia="仿宋_GB2312" w:cs="Times New Roman"/>
          <w:sz w:val="32"/>
          <w:szCs w:val="32"/>
        </w:rPr>
      </w:pPr>
      <w:r>
        <w:rPr>
          <w:rFonts w:eastAsia="仿宋_GB2312"/>
          <w:sz w:val="32"/>
          <w:szCs w:val="32"/>
        </w:rPr>
        <w:t>项目设置了明确的预期产出效益和效果，将绩效目标细化分解为具体的绩效指标，</w:t>
      </w:r>
      <w:r>
        <w:rPr>
          <w:rFonts w:hint="eastAsia" w:eastAsia="仿宋_GB2312"/>
          <w:sz w:val="32"/>
          <w:szCs w:val="32"/>
          <w:lang w:val="en-US" w:eastAsia="zh-CN"/>
        </w:rPr>
        <w:t>数量</w:t>
      </w:r>
      <w:r>
        <w:rPr>
          <w:rFonts w:hint="eastAsia" w:ascii="Times New Roman" w:hAnsi="Times New Roman" w:eastAsia="仿宋_GB2312" w:cs="Times New Roman"/>
          <w:sz w:val="32"/>
          <w:szCs w:val="32"/>
          <w:lang w:val="en-US" w:eastAsia="zh-CN"/>
        </w:rPr>
        <w:t>指标：装修房间数量&gt;=28套，质量指标：项目资金支付率100%。项目验收合格率100%。时效指标：项目按计划完成率100%。经济成本指标：预算控制率&lt;=100%。社会效益指标保障区内“引进人才”工作人员及时入住，有效保障。满意度指标：“引进人才”人员入住满意率&gt;=95%</w:t>
      </w:r>
      <w:r>
        <w:rPr>
          <w:rFonts w:ascii="Times New Roman" w:hAnsi="Times New Roman" w:eastAsia="仿宋_GB2312" w:cs="Times New Roman"/>
          <w:sz w:val="32"/>
          <w:szCs w:val="32"/>
        </w:rPr>
        <w:t>绩效目标与项目目标任务数相对应，绩效目标设定的绩效指标清晰、细化、可衡量。</w:t>
      </w:r>
    </w:p>
    <w:p w14:paraId="1E991415">
      <w:pPr>
        <w:pStyle w:val="19"/>
        <w:spacing w:line="560" w:lineRule="exact"/>
        <w:ind w:firstLine="640"/>
        <w:rPr>
          <w:rFonts w:eastAsia="仿宋_GB2312"/>
          <w:b/>
          <w:bCs/>
          <w:sz w:val="32"/>
          <w:szCs w:val="32"/>
        </w:rPr>
      </w:pPr>
      <w:r>
        <w:rPr>
          <w:rFonts w:eastAsia="仿宋_GB2312"/>
          <w:b/>
          <w:bCs/>
          <w:sz w:val="32"/>
          <w:szCs w:val="32"/>
        </w:rPr>
        <w:t>3.资金投入</w:t>
      </w:r>
    </w:p>
    <w:p w14:paraId="410C5C79">
      <w:pPr>
        <w:spacing w:line="600" w:lineRule="exact"/>
        <w:ind w:firstLine="640" w:firstLineChars="200"/>
        <w:outlineLvl w:val="0"/>
        <w:rPr>
          <w:rFonts w:eastAsia="仿宋_GB2312"/>
          <w:sz w:val="32"/>
          <w:szCs w:val="32"/>
        </w:rPr>
      </w:pPr>
      <w:r>
        <w:rPr>
          <w:rFonts w:eastAsia="仿宋_GB2312"/>
          <w:sz w:val="32"/>
          <w:szCs w:val="32"/>
        </w:rPr>
        <w:t>（1）预算编制科学性</w:t>
      </w:r>
    </w:p>
    <w:p w14:paraId="0CEEF451">
      <w:pPr>
        <w:spacing w:line="560" w:lineRule="exact"/>
        <w:ind w:firstLine="640" w:firstLineChars="200"/>
        <w:rPr>
          <w:rFonts w:eastAsia="仿宋_GB2312"/>
          <w:sz w:val="32"/>
          <w:szCs w:val="32"/>
          <w:highlight w:val="none"/>
        </w:rPr>
      </w:pPr>
      <w:r>
        <w:rPr>
          <w:rFonts w:eastAsia="仿宋_GB2312"/>
          <w:sz w:val="32"/>
          <w:szCs w:val="32"/>
          <w:highlight w:val="none"/>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6D9C53AF">
      <w:pPr>
        <w:spacing w:line="600" w:lineRule="exact"/>
        <w:ind w:firstLine="640" w:firstLineChars="200"/>
        <w:outlineLvl w:val="0"/>
        <w:rPr>
          <w:rFonts w:eastAsia="仿宋_GB2312"/>
          <w:sz w:val="32"/>
          <w:szCs w:val="32"/>
          <w:highlight w:val="none"/>
        </w:rPr>
      </w:pPr>
      <w:r>
        <w:rPr>
          <w:rFonts w:eastAsia="仿宋_GB2312"/>
          <w:sz w:val="32"/>
          <w:szCs w:val="32"/>
          <w:highlight w:val="none"/>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1F6BB3C8">
      <w:pPr>
        <w:spacing w:line="600" w:lineRule="exact"/>
        <w:ind w:firstLine="640" w:firstLineChars="200"/>
        <w:outlineLvl w:val="0"/>
        <w:rPr>
          <w:rFonts w:eastAsia="仿宋_GB2312"/>
          <w:sz w:val="32"/>
          <w:szCs w:val="32"/>
          <w:highlight w:val="none"/>
        </w:rPr>
      </w:pPr>
      <w:r>
        <w:rPr>
          <w:rFonts w:eastAsia="仿宋_GB2312"/>
          <w:sz w:val="32"/>
          <w:szCs w:val="32"/>
          <w:highlight w:val="none"/>
        </w:rPr>
        <w:t>（2）资金分配合理性</w:t>
      </w:r>
    </w:p>
    <w:p w14:paraId="48696A11">
      <w:pPr>
        <w:spacing w:line="560" w:lineRule="exact"/>
        <w:ind w:firstLine="640" w:firstLineChars="200"/>
        <w:rPr>
          <w:rFonts w:eastAsia="仿宋_GB2312"/>
          <w:sz w:val="32"/>
          <w:szCs w:val="32"/>
          <w:highlight w:val="none"/>
        </w:rPr>
      </w:pPr>
      <w:r>
        <w:rPr>
          <w:rFonts w:eastAsia="仿宋_GB2312"/>
          <w:sz w:val="32"/>
          <w:szCs w:val="32"/>
          <w:highlight w:val="none"/>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23AFCC60">
      <w:pPr>
        <w:spacing w:line="560" w:lineRule="exact"/>
        <w:ind w:firstLine="640" w:firstLineChars="200"/>
        <w:rPr>
          <w:rFonts w:eastAsia="仿宋_GB2312"/>
          <w:sz w:val="32"/>
          <w:szCs w:val="32"/>
          <w:highlight w:val="none"/>
        </w:rPr>
      </w:pPr>
      <w:r>
        <w:rPr>
          <w:rFonts w:eastAsia="仿宋_GB2312"/>
          <w:sz w:val="32"/>
          <w:szCs w:val="32"/>
          <w:highlight w:val="none"/>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18F3E843">
      <w:pPr>
        <w:spacing w:line="560" w:lineRule="exact"/>
        <w:ind w:firstLine="640" w:firstLineChars="200"/>
        <w:rPr>
          <w:rFonts w:eastAsia="仿宋_GB2312"/>
          <w:sz w:val="32"/>
          <w:szCs w:val="32"/>
          <w:highlight w:val="none"/>
        </w:rPr>
      </w:pPr>
      <w:r>
        <w:rPr>
          <w:rFonts w:eastAsia="仿宋_GB2312"/>
          <w:sz w:val="32"/>
          <w:szCs w:val="32"/>
          <w:highlight w:val="none"/>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6FA125D8">
      <w:pPr>
        <w:pStyle w:val="10"/>
        <w:numPr>
          <w:ilvl w:val="0"/>
          <w:numId w:val="4"/>
        </w:numPr>
        <w:spacing w:before="0" w:after="0" w:line="560" w:lineRule="exact"/>
        <w:ind w:firstLine="643"/>
        <w:jc w:val="both"/>
        <w:rPr>
          <w:rFonts w:ascii="Times New Roman" w:hAnsi="Times New Roman" w:eastAsia="楷体"/>
          <w:highlight w:val="none"/>
        </w:rPr>
      </w:pPr>
      <w:r>
        <w:rPr>
          <w:rFonts w:ascii="Times New Roman" w:hAnsi="Times New Roman" w:eastAsia="楷体"/>
          <w:highlight w:val="none"/>
        </w:rPr>
        <w:t>项目过程情况</w:t>
      </w:r>
    </w:p>
    <w:p w14:paraId="05CDA1B9">
      <w:pPr>
        <w:spacing w:line="600" w:lineRule="exact"/>
        <w:ind w:firstLine="640" w:firstLineChars="200"/>
        <w:outlineLvl w:val="0"/>
        <w:rPr>
          <w:rFonts w:eastAsia="仿宋_GB2312"/>
          <w:sz w:val="32"/>
          <w:szCs w:val="32"/>
          <w:highlight w:val="none"/>
        </w:rPr>
      </w:pPr>
      <w:r>
        <w:rPr>
          <w:rFonts w:eastAsia="仿宋_GB2312"/>
          <w:sz w:val="32"/>
          <w:szCs w:val="32"/>
          <w:highlight w:val="none"/>
        </w:rPr>
        <w:t>项目过程类指标包括资金管理和组织实施两方面的内容，由5个三级指标构成，权重分值为20分，实际得分</w:t>
      </w:r>
      <w:r>
        <w:rPr>
          <w:rFonts w:hint="eastAsia" w:eastAsia="仿宋_GB2312"/>
          <w:sz w:val="32"/>
          <w:szCs w:val="32"/>
          <w:highlight w:val="none"/>
          <w:lang w:val="en-US" w:eastAsia="zh-CN"/>
        </w:rPr>
        <w:t>20</w:t>
      </w:r>
      <w:r>
        <w:rPr>
          <w:rFonts w:eastAsia="仿宋_GB2312"/>
          <w:sz w:val="32"/>
          <w:szCs w:val="32"/>
          <w:highlight w:val="none"/>
        </w:rPr>
        <w:t>分，得分率为</w:t>
      </w:r>
      <w:r>
        <w:rPr>
          <w:rFonts w:hint="eastAsia" w:eastAsia="仿宋_GB2312"/>
          <w:sz w:val="32"/>
          <w:szCs w:val="32"/>
          <w:highlight w:val="none"/>
          <w:lang w:val="en-US" w:eastAsia="zh-CN"/>
        </w:rPr>
        <w:t>100</w:t>
      </w:r>
      <w:r>
        <w:rPr>
          <w:rFonts w:eastAsia="仿宋_GB2312"/>
          <w:sz w:val="32"/>
          <w:szCs w:val="32"/>
          <w:highlight w:val="none"/>
        </w:rPr>
        <w:t>%。</w:t>
      </w:r>
    </w:p>
    <w:p w14:paraId="7E5B7DBE">
      <w:pPr>
        <w:pStyle w:val="19"/>
        <w:spacing w:line="560" w:lineRule="exact"/>
        <w:ind w:firstLine="640"/>
        <w:rPr>
          <w:rFonts w:eastAsia="仿宋_GB2312"/>
          <w:b/>
          <w:bCs/>
          <w:sz w:val="32"/>
          <w:szCs w:val="32"/>
          <w:highlight w:val="none"/>
        </w:rPr>
      </w:pPr>
      <w:r>
        <w:rPr>
          <w:rFonts w:eastAsia="仿宋_GB2312"/>
          <w:b/>
          <w:bCs/>
          <w:sz w:val="32"/>
          <w:szCs w:val="32"/>
          <w:highlight w:val="none"/>
        </w:rPr>
        <w:t>1.资金管理</w:t>
      </w:r>
    </w:p>
    <w:p w14:paraId="238CCA41">
      <w:pPr>
        <w:spacing w:line="600" w:lineRule="exact"/>
        <w:ind w:firstLine="640" w:firstLineChars="200"/>
        <w:outlineLvl w:val="0"/>
        <w:rPr>
          <w:rFonts w:eastAsia="仿宋_GB2312"/>
          <w:sz w:val="32"/>
          <w:szCs w:val="32"/>
          <w:highlight w:val="none"/>
        </w:rPr>
      </w:pPr>
      <w:r>
        <w:rPr>
          <w:rFonts w:eastAsia="仿宋_GB2312"/>
          <w:sz w:val="32"/>
          <w:szCs w:val="32"/>
          <w:highlight w:val="none"/>
        </w:rPr>
        <w:t>（1）资金到位率</w:t>
      </w:r>
    </w:p>
    <w:p w14:paraId="7C079EE4">
      <w:pPr>
        <w:spacing w:line="600" w:lineRule="exact"/>
        <w:ind w:firstLine="640" w:firstLineChars="200"/>
        <w:outlineLvl w:val="0"/>
        <w:rPr>
          <w:rFonts w:eastAsia="仿宋_GB2312"/>
          <w:sz w:val="32"/>
          <w:szCs w:val="32"/>
          <w:highlight w:val="none"/>
        </w:rPr>
      </w:pPr>
      <w:r>
        <w:rPr>
          <w:rFonts w:eastAsia="仿宋_GB2312"/>
          <w:sz w:val="32"/>
          <w:szCs w:val="32"/>
          <w:highlight w:val="none"/>
        </w:rPr>
        <w:t>本项目总投资</w:t>
      </w:r>
      <w:r>
        <w:rPr>
          <w:rFonts w:hint="eastAsia" w:eastAsia="仿宋_GB2312"/>
          <w:sz w:val="32"/>
          <w:szCs w:val="32"/>
          <w:highlight w:val="none"/>
          <w:lang w:val="en-US" w:eastAsia="zh-CN"/>
        </w:rPr>
        <w:t>155.4</w:t>
      </w:r>
      <w:r>
        <w:rPr>
          <w:rFonts w:eastAsia="仿宋_GB2312"/>
          <w:sz w:val="32"/>
          <w:szCs w:val="32"/>
          <w:highlight w:val="none"/>
        </w:rPr>
        <w:t>万元，</w:t>
      </w:r>
      <w:r>
        <w:rPr>
          <w:rFonts w:hint="eastAsia" w:eastAsia="仿宋_GB2312"/>
          <w:sz w:val="32"/>
          <w:szCs w:val="32"/>
          <w:highlight w:val="none"/>
          <w:lang w:val="en-US" w:eastAsia="zh-CN"/>
        </w:rPr>
        <w:t>于2024年4月</w:t>
      </w:r>
      <w:r>
        <w:rPr>
          <w:rFonts w:eastAsia="仿宋_GB2312"/>
          <w:sz w:val="32"/>
          <w:szCs w:val="32"/>
          <w:highlight w:val="none"/>
        </w:rPr>
        <w:t>财政资金足额到位，到位率</w:t>
      </w:r>
      <w:r>
        <w:rPr>
          <w:rFonts w:hint="eastAsia" w:eastAsia="仿宋_GB2312"/>
          <w:sz w:val="32"/>
          <w:szCs w:val="32"/>
          <w:highlight w:val="none"/>
          <w:lang w:val="en-US" w:eastAsia="zh-CN"/>
        </w:rPr>
        <w:t>100</w:t>
      </w:r>
      <w:r>
        <w:rPr>
          <w:rFonts w:eastAsia="仿宋_GB2312"/>
          <w:sz w:val="32"/>
          <w:szCs w:val="32"/>
          <w:highlight w:val="none"/>
        </w:rPr>
        <w:t>%，预算资金按计划进度执行。</w:t>
      </w:r>
    </w:p>
    <w:p w14:paraId="45327E0D">
      <w:pPr>
        <w:spacing w:line="600" w:lineRule="exact"/>
        <w:ind w:firstLine="640" w:firstLineChars="200"/>
        <w:outlineLvl w:val="0"/>
        <w:rPr>
          <w:rFonts w:eastAsia="仿宋_GB2312"/>
          <w:sz w:val="32"/>
          <w:szCs w:val="32"/>
          <w:highlight w:val="none"/>
        </w:rPr>
      </w:pPr>
      <w:r>
        <w:rPr>
          <w:rFonts w:eastAsia="仿宋_GB2312"/>
          <w:sz w:val="32"/>
          <w:szCs w:val="32"/>
          <w:highlight w:val="none"/>
        </w:rPr>
        <w:t>（2）预算执行率</w:t>
      </w:r>
    </w:p>
    <w:p w14:paraId="227D9756">
      <w:pPr>
        <w:spacing w:line="600" w:lineRule="exact"/>
        <w:ind w:firstLine="640" w:firstLineChars="200"/>
        <w:outlineLvl w:val="0"/>
        <w:rPr>
          <w:rFonts w:eastAsia="仿宋_GB2312"/>
          <w:sz w:val="32"/>
          <w:szCs w:val="32"/>
          <w:highlight w:val="none"/>
        </w:rPr>
      </w:pPr>
      <w:r>
        <w:rPr>
          <w:rFonts w:eastAsia="仿宋_GB2312"/>
          <w:sz w:val="32"/>
          <w:szCs w:val="32"/>
          <w:highlight w:val="none"/>
        </w:rPr>
        <w:t>预算编制较为详细，项目资金支出总体能够按照预算执行，预算资金支出</w:t>
      </w:r>
      <w:r>
        <w:rPr>
          <w:rFonts w:hint="eastAsia" w:eastAsia="仿宋_GB2312"/>
          <w:sz w:val="32"/>
          <w:szCs w:val="32"/>
          <w:highlight w:val="none"/>
          <w:lang w:val="en-US" w:eastAsia="zh-CN"/>
        </w:rPr>
        <w:t>155.4</w:t>
      </w:r>
      <w:r>
        <w:rPr>
          <w:rFonts w:eastAsia="仿宋_GB2312"/>
          <w:sz w:val="32"/>
          <w:szCs w:val="32"/>
          <w:highlight w:val="none"/>
        </w:rPr>
        <w:t>万元，</w:t>
      </w:r>
      <w:r>
        <w:rPr>
          <w:rFonts w:hint="eastAsia" w:eastAsia="仿宋_GB2312"/>
          <w:sz w:val="32"/>
          <w:szCs w:val="32"/>
          <w:highlight w:val="none"/>
          <w:lang w:val="en-US" w:eastAsia="zh-CN"/>
        </w:rPr>
        <w:t>全部用于28套人才公寓装修费。</w:t>
      </w:r>
      <w:r>
        <w:rPr>
          <w:rFonts w:eastAsia="仿宋_GB2312"/>
          <w:sz w:val="32"/>
          <w:szCs w:val="32"/>
          <w:highlight w:val="none"/>
        </w:rPr>
        <w:t>预算执行率为</w:t>
      </w:r>
      <w:r>
        <w:rPr>
          <w:rFonts w:hint="eastAsia" w:eastAsia="仿宋_GB2312"/>
          <w:sz w:val="32"/>
          <w:szCs w:val="32"/>
          <w:highlight w:val="none"/>
          <w:lang w:val="en-US" w:eastAsia="zh-CN"/>
        </w:rPr>
        <w:t>100</w:t>
      </w:r>
      <w:r>
        <w:rPr>
          <w:rFonts w:eastAsia="仿宋_GB2312"/>
          <w:sz w:val="32"/>
          <w:szCs w:val="32"/>
          <w:highlight w:val="none"/>
        </w:rPr>
        <w:t>%。</w:t>
      </w:r>
    </w:p>
    <w:p w14:paraId="35FEA85C">
      <w:pPr>
        <w:spacing w:line="600" w:lineRule="exact"/>
        <w:ind w:firstLine="640" w:firstLineChars="200"/>
        <w:outlineLvl w:val="0"/>
        <w:rPr>
          <w:rFonts w:eastAsia="仿宋_GB2312"/>
          <w:sz w:val="32"/>
          <w:szCs w:val="32"/>
          <w:highlight w:val="none"/>
        </w:rPr>
      </w:pPr>
      <w:r>
        <w:rPr>
          <w:rFonts w:eastAsia="仿宋_GB2312"/>
          <w:sz w:val="32"/>
          <w:szCs w:val="32"/>
          <w:highlight w:val="none"/>
        </w:rPr>
        <w:t>（3）资金使用合规性</w:t>
      </w:r>
    </w:p>
    <w:p w14:paraId="2238A3BD">
      <w:pPr>
        <w:spacing w:line="560" w:lineRule="exact"/>
        <w:ind w:firstLine="640" w:firstLineChars="200"/>
        <w:rPr>
          <w:rFonts w:eastAsia="仿宋_GB2312"/>
          <w:sz w:val="32"/>
          <w:szCs w:val="32"/>
          <w:highlight w:val="none"/>
        </w:rPr>
      </w:pPr>
      <w:r>
        <w:rPr>
          <w:rFonts w:eastAsia="仿宋_GB2312"/>
          <w:sz w:val="32"/>
          <w:szCs w:val="32"/>
          <w:highlight w:val="none"/>
        </w:rPr>
        <w:t>本项目的资金使用严格遵循了国家相关法律法规与财务制度，确保了资金的合规性与安全性。在资金使用过程中，我们建立了完善的财务管理体系，对资金的流动进行了全程监控与记录。</w:t>
      </w:r>
    </w:p>
    <w:p w14:paraId="2A4E356B">
      <w:pPr>
        <w:spacing w:line="560" w:lineRule="exact"/>
        <w:ind w:firstLine="640" w:firstLineChars="200"/>
        <w:rPr>
          <w:rFonts w:eastAsia="仿宋_GB2312"/>
          <w:sz w:val="32"/>
          <w:szCs w:val="32"/>
          <w:highlight w:val="none"/>
        </w:rPr>
      </w:pPr>
      <w:r>
        <w:rPr>
          <w:rFonts w:eastAsia="仿宋_GB2312"/>
          <w:sz w:val="32"/>
          <w:szCs w:val="32"/>
          <w:highlight w:val="none"/>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6C583333">
      <w:pPr>
        <w:spacing w:line="560" w:lineRule="exact"/>
        <w:ind w:firstLine="640" w:firstLineChars="200"/>
        <w:rPr>
          <w:rFonts w:eastAsia="仿宋_GB2312"/>
          <w:sz w:val="32"/>
          <w:szCs w:val="32"/>
          <w:highlight w:val="none"/>
        </w:rPr>
      </w:pPr>
      <w:r>
        <w:rPr>
          <w:rFonts w:eastAsia="仿宋_GB2312"/>
          <w:sz w:val="32"/>
          <w:szCs w:val="32"/>
          <w:highlight w:val="none"/>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474FC813">
      <w:pPr>
        <w:pStyle w:val="19"/>
        <w:spacing w:line="560" w:lineRule="exact"/>
        <w:ind w:firstLine="640"/>
        <w:rPr>
          <w:rFonts w:eastAsia="仿宋_GB2312"/>
          <w:b/>
          <w:bCs/>
          <w:sz w:val="32"/>
          <w:szCs w:val="32"/>
          <w:highlight w:val="none"/>
        </w:rPr>
      </w:pPr>
      <w:r>
        <w:rPr>
          <w:rFonts w:eastAsia="仿宋_GB2312"/>
          <w:b/>
          <w:bCs/>
          <w:sz w:val="32"/>
          <w:szCs w:val="32"/>
          <w:highlight w:val="none"/>
        </w:rPr>
        <w:t>2.组织实施</w:t>
      </w:r>
    </w:p>
    <w:p w14:paraId="36286A5A">
      <w:pPr>
        <w:spacing w:line="600" w:lineRule="exact"/>
        <w:ind w:firstLine="640" w:firstLineChars="200"/>
        <w:outlineLvl w:val="0"/>
        <w:rPr>
          <w:rFonts w:eastAsia="仿宋_GB2312"/>
          <w:sz w:val="32"/>
          <w:szCs w:val="32"/>
          <w:highlight w:val="none"/>
        </w:rPr>
      </w:pPr>
      <w:r>
        <w:rPr>
          <w:rFonts w:eastAsia="仿宋_GB2312"/>
          <w:sz w:val="32"/>
          <w:szCs w:val="32"/>
          <w:highlight w:val="none"/>
        </w:rPr>
        <w:t>（1）管理制度健全性</w:t>
      </w:r>
    </w:p>
    <w:p w14:paraId="05786439">
      <w:pPr>
        <w:spacing w:line="560" w:lineRule="exact"/>
        <w:ind w:firstLine="640" w:firstLineChars="200"/>
        <w:rPr>
          <w:rFonts w:eastAsia="仿宋_GB2312"/>
          <w:sz w:val="32"/>
          <w:szCs w:val="32"/>
          <w:highlight w:val="none"/>
        </w:rPr>
      </w:pPr>
      <w:r>
        <w:rPr>
          <w:rFonts w:eastAsia="仿宋_GB2312"/>
          <w:sz w:val="32"/>
          <w:szCs w:val="32"/>
          <w:highlight w:val="none"/>
        </w:rPr>
        <w:t>本项目拥有一套完善、健全的管理制度体系，为项目的成功实施提供了坚实的制度保障。项目管理制度的制定紧密结合了项目的特点与实际情况，涵盖了项目的策划、组织、实施、监控与收尾等各个环节。</w:t>
      </w:r>
    </w:p>
    <w:p w14:paraId="09E990AB">
      <w:pPr>
        <w:spacing w:line="560" w:lineRule="exact"/>
        <w:ind w:firstLine="640" w:firstLineChars="200"/>
        <w:rPr>
          <w:rFonts w:eastAsia="仿宋_GB2312"/>
          <w:sz w:val="32"/>
          <w:szCs w:val="32"/>
          <w:highlight w:val="none"/>
        </w:rPr>
      </w:pPr>
      <w:r>
        <w:rPr>
          <w:rFonts w:eastAsia="仿宋_GB2312"/>
          <w:sz w:val="32"/>
          <w:szCs w:val="32"/>
          <w:highlight w:val="none"/>
        </w:rPr>
        <w:t>在制度设计上，我们注重了制度的科学性与可操作性，确保制度能够切实指导项目的执行与管理。</w:t>
      </w:r>
    </w:p>
    <w:p w14:paraId="38B02031">
      <w:pPr>
        <w:spacing w:line="560" w:lineRule="exact"/>
        <w:ind w:firstLine="640" w:firstLineChars="200"/>
        <w:rPr>
          <w:rFonts w:eastAsia="仿宋_GB2312"/>
          <w:sz w:val="32"/>
          <w:szCs w:val="32"/>
          <w:highlight w:val="none"/>
        </w:rPr>
      </w:pPr>
      <w:r>
        <w:rPr>
          <w:rFonts w:eastAsia="仿宋_GB2312"/>
          <w:sz w:val="32"/>
          <w:szCs w:val="32"/>
          <w:highlight w:val="none"/>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0B024120">
      <w:pPr>
        <w:spacing w:line="600" w:lineRule="exact"/>
        <w:ind w:firstLine="640" w:firstLineChars="200"/>
        <w:outlineLvl w:val="0"/>
        <w:rPr>
          <w:rFonts w:eastAsia="仿宋_GB2312"/>
          <w:sz w:val="32"/>
          <w:szCs w:val="32"/>
          <w:highlight w:val="none"/>
        </w:rPr>
      </w:pPr>
      <w:r>
        <w:rPr>
          <w:rFonts w:eastAsia="仿宋_GB2312"/>
          <w:sz w:val="32"/>
          <w:szCs w:val="32"/>
          <w:highlight w:val="none"/>
        </w:rPr>
        <w:t>综上所述，本项目的管理制度是健全的、有效的，既符合项目的实际情况，又满足了项目管理的需要。管理制度的健全性为项目的成功实施提供了有力的保障，也为项目的绩效评价奠定了坚实的基础。</w:t>
      </w:r>
    </w:p>
    <w:p w14:paraId="6E16DE50">
      <w:pPr>
        <w:spacing w:line="600" w:lineRule="exact"/>
        <w:ind w:firstLine="640" w:firstLineChars="200"/>
        <w:outlineLvl w:val="0"/>
        <w:rPr>
          <w:rFonts w:eastAsia="仿宋_GB2312"/>
          <w:sz w:val="32"/>
          <w:szCs w:val="32"/>
        </w:rPr>
      </w:pPr>
      <w:r>
        <w:rPr>
          <w:rFonts w:eastAsia="仿宋_GB2312"/>
          <w:sz w:val="32"/>
          <w:szCs w:val="32"/>
        </w:rPr>
        <w:t>（2）制度执行有效性</w:t>
      </w:r>
    </w:p>
    <w:p w14:paraId="636113B7">
      <w:pPr>
        <w:spacing w:line="560" w:lineRule="exact"/>
        <w:ind w:firstLine="640" w:firstLineChars="200"/>
        <w:rPr>
          <w:rFonts w:eastAsia="仿宋_GB2312"/>
          <w:sz w:val="32"/>
          <w:szCs w:val="32"/>
        </w:rPr>
      </w:pPr>
      <w:r>
        <w:rPr>
          <w:rFonts w:eastAsia="仿宋_GB2312"/>
          <w:sz w:val="32"/>
          <w:szCs w:val="32"/>
        </w:rPr>
        <w:t>本项目在执行过程中，管理制度得到了全面、有效</w:t>
      </w:r>
      <w:r>
        <w:rPr>
          <w:rFonts w:hint="eastAsia" w:eastAsia="仿宋_GB2312"/>
          <w:sz w:val="32"/>
          <w:szCs w:val="32"/>
          <w:lang w:eastAsia="zh-CN"/>
        </w:rPr>
        <w:t>地</w:t>
      </w:r>
      <w:r>
        <w:rPr>
          <w:rFonts w:eastAsia="仿宋_GB2312"/>
          <w:sz w:val="32"/>
          <w:szCs w:val="32"/>
        </w:rPr>
        <w:t>落实，为确保项目的顺利实施与目标实现提供了坚实的保障。项目单位重视制度执行的重要性，通过明确责任分工、制定详细执行计划、加强监督考核等措施，确保了各项管理制度能够得到有效执行。</w:t>
      </w:r>
    </w:p>
    <w:p w14:paraId="1FEE9A37">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74201CF3">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1737A4FB">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项目产出情况</w:t>
      </w:r>
    </w:p>
    <w:p w14:paraId="748AFDA5">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w:t>
      </w:r>
      <w:r>
        <w:rPr>
          <w:rFonts w:eastAsia="仿宋_GB2312"/>
          <w:sz w:val="32"/>
          <w:szCs w:val="32"/>
          <w:highlight w:val="none"/>
        </w:rPr>
        <w:t>容，由</w:t>
      </w:r>
      <w:r>
        <w:rPr>
          <w:rFonts w:hint="eastAsia" w:eastAsia="仿宋_GB2312"/>
          <w:sz w:val="32"/>
          <w:szCs w:val="32"/>
          <w:highlight w:val="none"/>
          <w:lang w:val="en-US" w:eastAsia="zh-CN"/>
        </w:rPr>
        <w:t>5</w:t>
      </w:r>
      <w:r>
        <w:rPr>
          <w:rFonts w:eastAsia="仿宋_GB2312"/>
          <w:sz w:val="32"/>
          <w:szCs w:val="32"/>
          <w:highlight w:val="none"/>
        </w:rPr>
        <w:t>个三级指标构成，权重分为40分，实际得分</w:t>
      </w:r>
      <w:r>
        <w:rPr>
          <w:rFonts w:hint="eastAsia" w:eastAsia="仿宋_GB2312"/>
          <w:sz w:val="32"/>
          <w:szCs w:val="32"/>
          <w:highlight w:val="none"/>
          <w:lang w:val="en-US" w:eastAsia="zh-CN"/>
        </w:rPr>
        <w:t>40</w:t>
      </w:r>
      <w:r>
        <w:rPr>
          <w:rFonts w:eastAsia="仿宋_GB2312"/>
          <w:sz w:val="32"/>
          <w:szCs w:val="32"/>
          <w:highlight w:val="none"/>
        </w:rPr>
        <w:t>分，得分率为</w:t>
      </w:r>
      <w:r>
        <w:rPr>
          <w:rFonts w:hint="eastAsia" w:eastAsia="仿宋_GB2312"/>
          <w:sz w:val="32"/>
          <w:szCs w:val="32"/>
          <w:highlight w:val="none"/>
          <w:lang w:val="en-US" w:eastAsia="zh-CN"/>
        </w:rPr>
        <w:t>100</w:t>
      </w:r>
      <w:r>
        <w:rPr>
          <w:rFonts w:eastAsia="仿宋_GB2312"/>
          <w:sz w:val="32"/>
          <w:szCs w:val="32"/>
          <w:highlight w:val="none"/>
        </w:rPr>
        <w:t>%。具体产出指</w:t>
      </w:r>
      <w:r>
        <w:rPr>
          <w:rFonts w:eastAsia="仿宋_GB2312"/>
          <w:sz w:val="32"/>
          <w:szCs w:val="32"/>
        </w:rPr>
        <w:t>标完成情况如下：</w:t>
      </w:r>
    </w:p>
    <w:p w14:paraId="5AC22185">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347E7F64">
      <w:pPr>
        <w:spacing w:line="600" w:lineRule="exact"/>
        <w:ind w:firstLine="640" w:firstLineChars="200"/>
        <w:outlineLvl w:val="0"/>
        <w:rPr>
          <w:rFonts w:hint="default" w:eastAsia="仿宋_GB2312"/>
          <w:sz w:val="32"/>
          <w:szCs w:val="32"/>
          <w:lang w:val="en-US" w:eastAsia="zh-CN"/>
        </w:rPr>
      </w:pPr>
      <w:r>
        <w:rPr>
          <w:rFonts w:eastAsia="仿宋_GB2312"/>
          <w:sz w:val="32"/>
          <w:szCs w:val="32"/>
        </w:rPr>
        <w:t>指标1：数量指标，指标值：</w:t>
      </w:r>
      <w:r>
        <w:rPr>
          <w:rFonts w:hint="eastAsia" w:eastAsia="仿宋_GB2312"/>
          <w:sz w:val="32"/>
          <w:szCs w:val="32"/>
          <w:lang w:val="en-US" w:eastAsia="zh-CN"/>
        </w:rPr>
        <w:t>&gt;=28套</w:t>
      </w:r>
      <w:r>
        <w:rPr>
          <w:rFonts w:eastAsia="仿宋_GB2312"/>
          <w:sz w:val="32"/>
          <w:szCs w:val="32"/>
        </w:rPr>
        <w:t xml:space="preserve"> ，实际完成值：</w:t>
      </w:r>
      <w:r>
        <w:rPr>
          <w:rFonts w:hint="eastAsia" w:eastAsia="仿宋_GB2312"/>
          <w:sz w:val="32"/>
          <w:szCs w:val="32"/>
          <w:lang w:val="en-US" w:eastAsia="zh-CN"/>
        </w:rPr>
        <w:t>=28套</w:t>
      </w:r>
      <w:r>
        <w:rPr>
          <w:rFonts w:eastAsia="仿宋_GB2312"/>
          <w:sz w:val="32"/>
          <w:szCs w:val="32"/>
        </w:rPr>
        <w:t>，指标完成率</w:t>
      </w:r>
      <w:r>
        <w:rPr>
          <w:rFonts w:hint="eastAsia" w:eastAsia="仿宋_GB2312"/>
          <w:sz w:val="32"/>
          <w:szCs w:val="32"/>
          <w:lang w:val="en-US" w:eastAsia="zh-CN"/>
        </w:rPr>
        <w:t>100</w:t>
      </w:r>
      <w:r>
        <w:rPr>
          <w:rFonts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偏差原因及改进措施：2024年该条指标完成较好暂无偏差。2024年根据我区实际需求对28套人才公寓房间进行装修。</w:t>
      </w:r>
    </w:p>
    <w:p w14:paraId="6DDCB305">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0ACBD0C4">
      <w:pPr>
        <w:spacing w:line="600" w:lineRule="exact"/>
        <w:ind w:firstLine="640" w:firstLineChars="200"/>
        <w:outlineLvl w:val="0"/>
        <w:rPr>
          <w:rFonts w:hint="default" w:eastAsia="仿宋_GB2312"/>
          <w:sz w:val="32"/>
          <w:szCs w:val="32"/>
          <w:lang w:val="en-US" w:eastAsia="zh-CN"/>
        </w:rPr>
      </w:pPr>
      <w:r>
        <w:rPr>
          <w:rFonts w:eastAsia="仿宋_GB2312"/>
          <w:sz w:val="32"/>
          <w:szCs w:val="32"/>
        </w:rPr>
        <w:t>指标1：项目</w:t>
      </w:r>
      <w:r>
        <w:rPr>
          <w:rFonts w:hint="eastAsia" w:eastAsia="仿宋_GB2312"/>
          <w:sz w:val="32"/>
          <w:szCs w:val="32"/>
          <w:lang w:eastAsia="zh-CN"/>
        </w:rPr>
        <w:t>资金</w:t>
      </w:r>
      <w:r>
        <w:rPr>
          <w:rFonts w:eastAsia="仿宋_GB2312"/>
          <w:sz w:val="32"/>
          <w:szCs w:val="32"/>
        </w:rPr>
        <w:t>支付率</w:t>
      </w:r>
      <w:r>
        <w:rPr>
          <w:rFonts w:hint="eastAsia" w:eastAsia="仿宋_GB2312"/>
          <w:sz w:val="32"/>
          <w:szCs w:val="32"/>
          <w:lang w:eastAsia="zh-CN"/>
        </w:rPr>
        <w:t>，</w:t>
      </w:r>
      <w:r>
        <w:rPr>
          <w:rFonts w:eastAsia="仿宋_GB2312"/>
          <w:sz w:val="32"/>
          <w:szCs w:val="32"/>
        </w:rPr>
        <w:t>指标值：=100%</w:t>
      </w:r>
      <w:r>
        <w:rPr>
          <w:rFonts w:hint="eastAsia" w:eastAsia="仿宋_GB2312"/>
          <w:sz w:val="32"/>
          <w:szCs w:val="32"/>
          <w:lang w:eastAsia="zh-CN"/>
        </w:rPr>
        <w:t>，</w:t>
      </w:r>
      <w:r>
        <w:rPr>
          <w:rFonts w:eastAsia="仿宋_GB2312"/>
          <w:sz w:val="32"/>
          <w:szCs w:val="32"/>
        </w:rPr>
        <w:t>实际完成值：</w:t>
      </w:r>
      <w:r>
        <w:rPr>
          <w:rFonts w:hint="eastAsia" w:eastAsia="仿宋_GB2312"/>
          <w:sz w:val="32"/>
          <w:szCs w:val="32"/>
          <w:lang w:val="en-US" w:eastAsia="zh-CN"/>
        </w:rPr>
        <w:t>100%，</w:t>
      </w:r>
      <w:r>
        <w:rPr>
          <w:rFonts w:eastAsia="仿宋_GB2312"/>
          <w:sz w:val="32"/>
          <w:szCs w:val="32"/>
        </w:rPr>
        <w:t>指标完成率</w:t>
      </w:r>
      <w:r>
        <w:rPr>
          <w:rFonts w:hint="eastAsia" w:eastAsia="仿宋_GB2312"/>
          <w:sz w:val="32"/>
          <w:szCs w:val="32"/>
          <w:lang w:val="en-US" w:eastAsia="zh-CN"/>
        </w:rPr>
        <w:t>100</w:t>
      </w:r>
      <w:r>
        <w:rPr>
          <w:rFonts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偏差原因及改进措施：2024年该条指标完成较好暂无偏差。我单位已经项目经费支付给新疆扬建建筑工程有限公司，项目资金支付率达到100%。</w:t>
      </w:r>
    </w:p>
    <w:p w14:paraId="3A92E1F8">
      <w:pPr>
        <w:spacing w:line="600" w:lineRule="exact"/>
        <w:ind w:firstLine="640" w:firstLineChars="200"/>
        <w:outlineLvl w:val="0"/>
        <w:rPr>
          <w:rFonts w:hint="default" w:eastAsia="仿宋_GB2312"/>
          <w:sz w:val="32"/>
          <w:szCs w:val="32"/>
          <w:lang w:val="en-US" w:eastAsia="zh-CN"/>
        </w:rPr>
      </w:pPr>
      <w:r>
        <w:rPr>
          <w:rFonts w:eastAsia="仿宋_GB2312"/>
          <w:sz w:val="32"/>
          <w:szCs w:val="32"/>
        </w:rPr>
        <w:t>指标</w:t>
      </w:r>
      <w:r>
        <w:rPr>
          <w:rFonts w:hint="eastAsia" w:eastAsia="仿宋_GB2312"/>
          <w:sz w:val="32"/>
          <w:szCs w:val="32"/>
          <w:lang w:val="en-US" w:eastAsia="zh-CN"/>
        </w:rPr>
        <w:t>2</w:t>
      </w:r>
      <w:r>
        <w:rPr>
          <w:rFonts w:eastAsia="仿宋_GB2312"/>
          <w:sz w:val="32"/>
          <w:szCs w:val="32"/>
        </w:rPr>
        <w:t>：项目验收合格率</w:t>
      </w:r>
      <w:r>
        <w:rPr>
          <w:rFonts w:hint="eastAsia" w:eastAsia="仿宋_GB2312"/>
          <w:sz w:val="32"/>
          <w:szCs w:val="32"/>
          <w:lang w:eastAsia="zh-CN"/>
        </w:rPr>
        <w:t>，</w:t>
      </w:r>
      <w:r>
        <w:rPr>
          <w:rFonts w:eastAsia="仿宋_GB2312"/>
          <w:sz w:val="32"/>
          <w:szCs w:val="32"/>
        </w:rPr>
        <w:t>指标值：=100%</w:t>
      </w:r>
      <w:r>
        <w:rPr>
          <w:rFonts w:hint="eastAsia" w:eastAsia="仿宋_GB2312"/>
          <w:sz w:val="32"/>
          <w:szCs w:val="32"/>
          <w:lang w:eastAsia="zh-CN"/>
        </w:rPr>
        <w:t>，</w:t>
      </w:r>
      <w:r>
        <w:rPr>
          <w:rFonts w:eastAsia="仿宋_GB2312"/>
          <w:sz w:val="32"/>
          <w:szCs w:val="32"/>
        </w:rPr>
        <w:t>实际完成值：</w:t>
      </w:r>
      <w:r>
        <w:rPr>
          <w:rFonts w:hint="eastAsia" w:eastAsia="仿宋_GB2312"/>
          <w:sz w:val="32"/>
          <w:szCs w:val="32"/>
          <w:lang w:val="en-US" w:eastAsia="zh-CN"/>
        </w:rPr>
        <w:t>100%，</w:t>
      </w:r>
      <w:r>
        <w:rPr>
          <w:rFonts w:eastAsia="仿宋_GB2312"/>
          <w:sz w:val="32"/>
          <w:szCs w:val="32"/>
        </w:rPr>
        <w:t>指标完成率</w:t>
      </w:r>
      <w:r>
        <w:rPr>
          <w:rFonts w:hint="eastAsia" w:eastAsia="仿宋_GB2312"/>
          <w:sz w:val="32"/>
          <w:szCs w:val="32"/>
          <w:lang w:val="en-US" w:eastAsia="zh-CN"/>
        </w:rPr>
        <w:t>100</w:t>
      </w:r>
      <w:r>
        <w:rPr>
          <w:rFonts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偏差原因及改进措施：2024年该条指标完成较好暂无偏差。2024年该项目已全部完工，验收合格率达到100%</w:t>
      </w:r>
    </w:p>
    <w:p w14:paraId="459B3F08">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4B06E67D">
      <w:pPr>
        <w:spacing w:line="600" w:lineRule="exact"/>
        <w:ind w:firstLine="640" w:firstLineChars="200"/>
        <w:outlineLvl w:val="0"/>
        <w:rPr>
          <w:rFonts w:hint="default" w:eastAsia="仿宋_GB2312"/>
          <w:sz w:val="32"/>
          <w:szCs w:val="32"/>
          <w:lang w:val="en-US" w:eastAsia="zh-CN"/>
        </w:rPr>
      </w:pPr>
      <w:r>
        <w:rPr>
          <w:rFonts w:eastAsia="仿宋_GB2312"/>
          <w:sz w:val="32"/>
          <w:szCs w:val="32"/>
        </w:rPr>
        <w:t>指标1：项目按计划完成率</w:t>
      </w:r>
      <w:r>
        <w:rPr>
          <w:rFonts w:hint="eastAsia" w:eastAsia="仿宋_GB2312"/>
          <w:sz w:val="32"/>
          <w:szCs w:val="32"/>
          <w:lang w:eastAsia="zh-CN"/>
        </w:rPr>
        <w:t>，</w:t>
      </w:r>
      <w:r>
        <w:rPr>
          <w:rFonts w:eastAsia="仿宋_GB2312"/>
          <w:sz w:val="32"/>
          <w:szCs w:val="32"/>
        </w:rPr>
        <w:t>指标值：=100%</w:t>
      </w:r>
      <w:r>
        <w:rPr>
          <w:rFonts w:hint="eastAsia" w:eastAsia="仿宋_GB2312"/>
          <w:sz w:val="32"/>
          <w:szCs w:val="32"/>
          <w:lang w:eastAsia="zh-CN"/>
        </w:rPr>
        <w:t>，</w:t>
      </w:r>
      <w:r>
        <w:rPr>
          <w:rFonts w:eastAsia="仿宋_GB2312"/>
          <w:sz w:val="32"/>
          <w:szCs w:val="32"/>
        </w:rPr>
        <w:t>实际完成值：</w:t>
      </w:r>
      <w:r>
        <w:rPr>
          <w:rFonts w:hint="eastAsia" w:eastAsia="仿宋_GB2312"/>
          <w:sz w:val="32"/>
          <w:szCs w:val="32"/>
          <w:lang w:val="en-US" w:eastAsia="zh-CN"/>
        </w:rPr>
        <w:t>100%，</w:t>
      </w:r>
      <w:r>
        <w:rPr>
          <w:rFonts w:eastAsia="仿宋_GB2312"/>
          <w:sz w:val="32"/>
          <w:szCs w:val="32"/>
        </w:rPr>
        <w:t>指标完成率</w:t>
      </w:r>
      <w:r>
        <w:rPr>
          <w:rFonts w:hint="eastAsia" w:eastAsia="仿宋_GB2312"/>
          <w:sz w:val="32"/>
          <w:szCs w:val="32"/>
          <w:lang w:val="en-US" w:eastAsia="zh-CN"/>
        </w:rPr>
        <w:t>100</w:t>
      </w:r>
      <w:r>
        <w:rPr>
          <w:rFonts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偏差原因及改进措施：2024年该条指标完成较好暂无偏差。该项目与2024年已全部完工，项目按计划完成率为100%。</w:t>
      </w:r>
    </w:p>
    <w:p w14:paraId="0499EAD7">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4F6FF08C">
      <w:pPr>
        <w:spacing w:line="600" w:lineRule="exact"/>
        <w:ind w:firstLine="640" w:firstLineChars="200"/>
        <w:outlineLvl w:val="0"/>
        <w:rPr>
          <w:rFonts w:hint="eastAsia" w:eastAsia="仿宋_GB2312"/>
          <w:sz w:val="32"/>
          <w:szCs w:val="32"/>
          <w:lang w:eastAsia="zh-CN"/>
        </w:rPr>
      </w:pPr>
      <w:r>
        <w:rPr>
          <w:rFonts w:eastAsia="仿宋_GB2312"/>
          <w:sz w:val="32"/>
          <w:szCs w:val="32"/>
        </w:rPr>
        <w:t>指标1：预算控制率</w:t>
      </w:r>
      <w:r>
        <w:rPr>
          <w:rFonts w:hint="eastAsia" w:eastAsia="仿宋_GB2312"/>
          <w:sz w:val="32"/>
          <w:szCs w:val="32"/>
          <w:lang w:eastAsia="zh-CN"/>
        </w:rPr>
        <w:t>，</w:t>
      </w:r>
      <w:r>
        <w:rPr>
          <w:rFonts w:eastAsia="仿宋_GB2312"/>
          <w:sz w:val="32"/>
          <w:szCs w:val="32"/>
        </w:rPr>
        <w:t>指标值：</w:t>
      </w:r>
      <w:r>
        <w:rPr>
          <w:rFonts w:hint="eastAsia" w:eastAsia="仿宋_GB2312"/>
          <w:sz w:val="32"/>
          <w:szCs w:val="32"/>
          <w:lang w:val="en-US" w:eastAsia="zh-CN"/>
        </w:rPr>
        <w:t>&lt;</w:t>
      </w:r>
      <w:r>
        <w:rPr>
          <w:rFonts w:eastAsia="仿宋_GB2312"/>
          <w:sz w:val="32"/>
          <w:szCs w:val="32"/>
        </w:rPr>
        <w:t>=100%</w:t>
      </w:r>
      <w:r>
        <w:rPr>
          <w:rFonts w:hint="eastAsia" w:eastAsia="仿宋_GB2312"/>
          <w:sz w:val="32"/>
          <w:szCs w:val="32"/>
          <w:lang w:eastAsia="zh-CN"/>
        </w:rPr>
        <w:t>，</w:t>
      </w:r>
      <w:r>
        <w:rPr>
          <w:rFonts w:eastAsia="仿宋_GB2312"/>
          <w:sz w:val="32"/>
          <w:szCs w:val="32"/>
        </w:rPr>
        <w:t>实际完成值：</w:t>
      </w:r>
      <w:r>
        <w:rPr>
          <w:rFonts w:hint="eastAsia" w:eastAsia="仿宋_GB2312"/>
          <w:sz w:val="32"/>
          <w:szCs w:val="32"/>
          <w:lang w:val="en-US" w:eastAsia="zh-CN"/>
        </w:rPr>
        <w:t>100%，</w:t>
      </w:r>
      <w:r>
        <w:rPr>
          <w:rFonts w:eastAsia="仿宋_GB2312"/>
          <w:sz w:val="32"/>
          <w:szCs w:val="32"/>
        </w:rPr>
        <w:t>指标完成率</w:t>
      </w:r>
      <w:r>
        <w:rPr>
          <w:rFonts w:hint="eastAsia" w:eastAsia="仿宋_GB2312"/>
          <w:sz w:val="32"/>
          <w:szCs w:val="32"/>
          <w:lang w:val="en-US" w:eastAsia="zh-CN"/>
        </w:rPr>
        <w:t>100</w:t>
      </w:r>
      <w:r>
        <w:rPr>
          <w:rFonts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偏差原因及改进措施：2024年该条指标完成较好暂无偏差。</w:t>
      </w:r>
      <w:r>
        <w:rPr>
          <w:rFonts w:hint="eastAsia" w:ascii="Times New Roman" w:hAnsi="Times New Roman" w:eastAsia="仿宋_GB2312" w:cs="Times New Roman"/>
          <w:color w:val="auto"/>
          <w:sz w:val="32"/>
          <w:szCs w:val="32"/>
          <w:highlight w:val="none"/>
          <w:lang w:val="en-US" w:eastAsia="zh-CN"/>
        </w:rPr>
        <w:t>本项目实际支出</w:t>
      </w:r>
      <w:r>
        <w:rPr>
          <w:rFonts w:hint="eastAsia" w:eastAsia="仿宋_GB2312" w:cs="Times New Roman"/>
          <w:color w:val="auto"/>
          <w:sz w:val="32"/>
          <w:szCs w:val="32"/>
          <w:highlight w:val="none"/>
          <w:lang w:val="en-US" w:eastAsia="zh-CN"/>
        </w:rPr>
        <w:t>155.4</w:t>
      </w:r>
      <w:r>
        <w:rPr>
          <w:rFonts w:hint="eastAsia"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无超支情况，项目资金全部完成</w:t>
      </w:r>
      <w:r>
        <w:rPr>
          <w:rFonts w:hint="eastAsia" w:eastAsia="仿宋_GB2312" w:cs="Times New Roman"/>
          <w:color w:val="auto"/>
          <w:sz w:val="32"/>
          <w:szCs w:val="32"/>
          <w:highlight w:val="none"/>
          <w:lang w:val="en-US" w:eastAsia="zh-CN"/>
        </w:rPr>
        <w:t>。</w:t>
      </w:r>
    </w:p>
    <w:p w14:paraId="221B952D">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项目效益情况</w:t>
      </w:r>
    </w:p>
    <w:p w14:paraId="0BA76960">
      <w:pPr>
        <w:spacing w:line="600" w:lineRule="exact"/>
        <w:ind w:firstLine="640" w:firstLineChars="200"/>
        <w:outlineLvl w:val="0"/>
        <w:rPr>
          <w:rFonts w:eastAsia="仿宋_GB2312"/>
          <w:sz w:val="32"/>
          <w:szCs w:val="32"/>
          <w:highlight w:val="none"/>
        </w:rPr>
      </w:pPr>
      <w:r>
        <w:rPr>
          <w:rFonts w:eastAsia="仿宋_GB2312"/>
          <w:sz w:val="32"/>
          <w:szCs w:val="32"/>
        </w:rPr>
        <w:t>项目效益类指标包括项目</w:t>
      </w:r>
      <w:r>
        <w:rPr>
          <w:rFonts w:hint="eastAsia" w:eastAsia="仿宋_GB2312"/>
          <w:sz w:val="32"/>
          <w:szCs w:val="32"/>
          <w:lang w:eastAsia="zh-CN"/>
        </w:rPr>
        <w:t>社会</w:t>
      </w:r>
      <w:r>
        <w:rPr>
          <w:rFonts w:eastAsia="仿宋_GB2312"/>
          <w:sz w:val="32"/>
          <w:szCs w:val="32"/>
          <w:highlight w:val="none"/>
        </w:rPr>
        <w:t>效益和满意度两方面的内容，由</w:t>
      </w:r>
      <w:r>
        <w:rPr>
          <w:rFonts w:hint="eastAsia" w:eastAsia="仿宋_GB2312"/>
          <w:sz w:val="32"/>
          <w:szCs w:val="32"/>
          <w:highlight w:val="none"/>
          <w:lang w:val="en-US" w:eastAsia="zh-CN"/>
        </w:rPr>
        <w:t>2</w:t>
      </w:r>
      <w:r>
        <w:rPr>
          <w:rFonts w:eastAsia="仿宋_GB2312"/>
          <w:sz w:val="32"/>
          <w:szCs w:val="32"/>
          <w:highlight w:val="none"/>
        </w:rPr>
        <w:t>个三级指标构成，权重分为20分，实际得分</w:t>
      </w:r>
      <w:r>
        <w:rPr>
          <w:rFonts w:hint="eastAsia" w:eastAsia="仿宋_GB2312"/>
          <w:sz w:val="32"/>
          <w:szCs w:val="32"/>
          <w:highlight w:val="none"/>
          <w:lang w:val="en-US" w:eastAsia="zh-CN"/>
        </w:rPr>
        <w:t>20</w:t>
      </w:r>
      <w:r>
        <w:rPr>
          <w:rFonts w:eastAsia="仿宋_GB2312"/>
          <w:sz w:val="32"/>
          <w:szCs w:val="32"/>
          <w:highlight w:val="none"/>
        </w:rPr>
        <w:t>分，得分率为</w:t>
      </w:r>
      <w:r>
        <w:rPr>
          <w:rFonts w:hint="eastAsia" w:eastAsia="仿宋_GB2312"/>
          <w:sz w:val="32"/>
          <w:szCs w:val="32"/>
          <w:highlight w:val="none"/>
          <w:lang w:val="en-US" w:eastAsia="zh-CN"/>
        </w:rPr>
        <w:t>100</w:t>
      </w:r>
      <w:r>
        <w:rPr>
          <w:rFonts w:eastAsia="仿宋_GB2312"/>
          <w:sz w:val="32"/>
          <w:szCs w:val="32"/>
          <w:highlight w:val="none"/>
        </w:rPr>
        <w:t>%。具体效益指标及满意度指标完成情况如下：</w:t>
      </w:r>
    </w:p>
    <w:p w14:paraId="4A4879E7">
      <w:pPr>
        <w:numPr>
          <w:ilvl w:val="0"/>
          <w:numId w:val="5"/>
        </w:numPr>
        <w:spacing w:line="600" w:lineRule="exact"/>
        <w:ind w:firstLine="640" w:firstLineChars="200"/>
        <w:outlineLvl w:val="0"/>
        <w:rPr>
          <w:rFonts w:eastAsia="仿宋_GB2312"/>
          <w:sz w:val="32"/>
          <w:szCs w:val="32"/>
          <w:highlight w:val="none"/>
        </w:rPr>
      </w:pPr>
      <w:r>
        <w:rPr>
          <w:rFonts w:hint="eastAsia" w:eastAsia="仿宋_GB2312"/>
          <w:sz w:val="32"/>
          <w:szCs w:val="32"/>
          <w:highlight w:val="none"/>
          <w:lang w:eastAsia="zh-CN"/>
        </w:rPr>
        <w:t>社会</w:t>
      </w:r>
      <w:r>
        <w:rPr>
          <w:rFonts w:eastAsia="仿宋_GB2312"/>
          <w:sz w:val="32"/>
          <w:szCs w:val="32"/>
          <w:highlight w:val="none"/>
        </w:rPr>
        <w:t>效益</w:t>
      </w:r>
    </w:p>
    <w:p w14:paraId="531CFA67">
      <w:pPr>
        <w:numPr>
          <w:ilvl w:val="0"/>
          <w:numId w:val="0"/>
        </w:numPr>
        <w:spacing w:line="600" w:lineRule="exact"/>
        <w:ind w:firstLine="640" w:firstLineChars="200"/>
        <w:outlineLvl w:val="0"/>
        <w:rPr>
          <w:rFonts w:eastAsia="仿宋_GB2312"/>
          <w:sz w:val="32"/>
          <w:szCs w:val="32"/>
        </w:rPr>
      </w:pPr>
      <w:r>
        <w:rPr>
          <w:rFonts w:eastAsia="仿宋_GB2312"/>
          <w:sz w:val="32"/>
          <w:szCs w:val="32"/>
        </w:rPr>
        <w:t>①社会效益指标：</w:t>
      </w:r>
    </w:p>
    <w:p w14:paraId="4794C03A">
      <w:pPr>
        <w:spacing w:line="600" w:lineRule="exact"/>
        <w:ind w:firstLine="640" w:firstLineChars="200"/>
        <w:outlineLvl w:val="0"/>
        <w:rPr>
          <w:rFonts w:hint="eastAsia" w:ascii="Times New Roman" w:hAnsi="Times New Roman" w:eastAsia="仿宋_GB2312" w:cs="Times New Roman"/>
          <w:sz w:val="32"/>
          <w:szCs w:val="32"/>
          <w:lang w:eastAsia="zh-CN"/>
        </w:rPr>
      </w:pPr>
      <w:r>
        <w:rPr>
          <w:rFonts w:eastAsia="仿宋_GB2312"/>
          <w:sz w:val="32"/>
          <w:szCs w:val="32"/>
        </w:rPr>
        <w:t>指标1：保障区内“引进人才”工作人员及时入住</w:t>
      </w:r>
      <w:r>
        <w:rPr>
          <w:rFonts w:hint="eastAsia" w:eastAsia="仿宋_GB2312"/>
          <w:sz w:val="32"/>
          <w:szCs w:val="32"/>
          <w:lang w:eastAsia="zh-CN"/>
        </w:rPr>
        <w:t>，</w:t>
      </w:r>
      <w:r>
        <w:rPr>
          <w:rFonts w:eastAsia="仿宋_GB2312"/>
          <w:sz w:val="32"/>
          <w:szCs w:val="32"/>
        </w:rPr>
        <w:t>指标值：</w:t>
      </w:r>
      <w:r>
        <w:rPr>
          <w:rFonts w:hint="eastAsia" w:eastAsia="仿宋_GB2312"/>
          <w:sz w:val="32"/>
          <w:szCs w:val="32"/>
          <w:lang w:val="en-US" w:eastAsia="zh-CN"/>
        </w:rPr>
        <w:t>有效保障</w:t>
      </w:r>
      <w:r>
        <w:rPr>
          <w:rFonts w:hint="eastAsia" w:eastAsia="仿宋_GB2312"/>
          <w:sz w:val="32"/>
          <w:szCs w:val="32"/>
          <w:lang w:eastAsia="zh-CN"/>
        </w:rPr>
        <w:t>，</w:t>
      </w:r>
      <w:r>
        <w:rPr>
          <w:rFonts w:eastAsia="仿宋_GB2312"/>
          <w:sz w:val="32"/>
          <w:szCs w:val="32"/>
        </w:rPr>
        <w:t>实际完成值：</w:t>
      </w:r>
      <w:r>
        <w:rPr>
          <w:rFonts w:hint="eastAsia" w:eastAsia="仿宋_GB2312"/>
          <w:sz w:val="32"/>
          <w:szCs w:val="32"/>
          <w:lang w:val="en-US" w:eastAsia="zh-CN"/>
        </w:rPr>
        <w:t>100%，</w:t>
      </w:r>
      <w:r>
        <w:rPr>
          <w:rFonts w:eastAsia="仿宋_GB2312"/>
          <w:sz w:val="32"/>
          <w:szCs w:val="32"/>
        </w:rPr>
        <w:t>指标完成率</w:t>
      </w:r>
      <w:r>
        <w:rPr>
          <w:rFonts w:hint="eastAsia" w:eastAsia="仿宋_GB2312"/>
          <w:sz w:val="32"/>
          <w:szCs w:val="32"/>
          <w:lang w:val="en-US" w:eastAsia="zh-CN"/>
        </w:rPr>
        <w:t>100</w:t>
      </w:r>
      <w:r>
        <w:rPr>
          <w:rFonts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偏差原因及改进措施：2024年该条指标完成较好暂无偏差</w:t>
      </w:r>
      <w:r>
        <w:rPr>
          <w:rFonts w:hint="eastAsia" w:ascii="Times New Roman" w:hAnsi="Times New Roman" w:eastAsia="仿宋_GB2312" w:cs="Times New Roman"/>
          <w:sz w:val="32"/>
          <w:szCs w:val="32"/>
          <w:lang w:val="en-US" w:eastAsia="zh-CN"/>
        </w:rPr>
        <w:t>。通过此项目开展保障“引进人才”工作人员正常生活水平</w:t>
      </w:r>
    </w:p>
    <w:p w14:paraId="761D3870">
      <w:pPr>
        <w:spacing w:line="600" w:lineRule="exact"/>
        <w:ind w:firstLine="640" w:firstLineChars="200"/>
        <w:outlineLvl w:val="0"/>
        <w:rPr>
          <w:rFonts w:eastAsia="仿宋_GB2312"/>
          <w:sz w:val="32"/>
          <w:szCs w:val="32"/>
        </w:rPr>
      </w:pPr>
      <w:r>
        <w:rPr>
          <w:rFonts w:eastAsia="仿宋_GB2312"/>
          <w:sz w:val="32"/>
          <w:szCs w:val="32"/>
        </w:rPr>
        <w:t>2.满意度</w:t>
      </w:r>
    </w:p>
    <w:p w14:paraId="19196144">
      <w:pPr>
        <w:spacing w:line="600" w:lineRule="exact"/>
        <w:ind w:firstLine="640" w:firstLineChars="200"/>
        <w:outlineLvl w:val="0"/>
        <w:rPr>
          <w:rFonts w:hint="eastAsia" w:eastAsia="仿宋_GB2312"/>
          <w:sz w:val="32"/>
          <w:szCs w:val="32"/>
          <w:lang w:eastAsia="zh-CN"/>
        </w:rPr>
      </w:pPr>
      <w:r>
        <w:rPr>
          <w:rFonts w:eastAsia="仿宋_GB2312"/>
          <w:sz w:val="32"/>
          <w:szCs w:val="32"/>
        </w:rPr>
        <w:t>指标1：“引进人才”人员入住满意率</w:t>
      </w:r>
      <w:r>
        <w:rPr>
          <w:rFonts w:hint="eastAsia" w:eastAsia="仿宋_GB2312"/>
          <w:sz w:val="32"/>
          <w:szCs w:val="32"/>
          <w:lang w:eastAsia="zh-CN"/>
        </w:rPr>
        <w:t>，</w:t>
      </w:r>
      <w:r>
        <w:rPr>
          <w:rFonts w:eastAsia="仿宋_GB2312"/>
          <w:sz w:val="32"/>
          <w:szCs w:val="32"/>
        </w:rPr>
        <w:t>指标值：&gt;=95%</w:t>
      </w:r>
      <w:r>
        <w:rPr>
          <w:rFonts w:hint="eastAsia" w:eastAsia="仿宋_GB2312"/>
          <w:sz w:val="32"/>
          <w:szCs w:val="32"/>
          <w:lang w:eastAsia="zh-CN"/>
        </w:rPr>
        <w:t>，</w:t>
      </w:r>
      <w:r>
        <w:rPr>
          <w:rFonts w:eastAsia="仿宋_GB2312"/>
          <w:sz w:val="32"/>
          <w:szCs w:val="32"/>
        </w:rPr>
        <w:t>实际完成值：</w:t>
      </w:r>
      <w:r>
        <w:rPr>
          <w:rFonts w:hint="eastAsia" w:eastAsia="仿宋_GB2312"/>
          <w:sz w:val="32"/>
          <w:szCs w:val="32"/>
          <w:lang w:val="en-US" w:eastAsia="zh-CN"/>
        </w:rPr>
        <w:t>95%，</w:t>
      </w:r>
      <w:r>
        <w:rPr>
          <w:rFonts w:eastAsia="仿宋_GB2312"/>
          <w:sz w:val="32"/>
          <w:szCs w:val="32"/>
        </w:rPr>
        <w:t>指标完成率</w:t>
      </w:r>
      <w:r>
        <w:rPr>
          <w:rFonts w:hint="eastAsia" w:eastAsia="仿宋_GB2312"/>
          <w:sz w:val="32"/>
          <w:szCs w:val="32"/>
          <w:lang w:val="en-US" w:eastAsia="zh-CN"/>
        </w:rPr>
        <w:t>100</w:t>
      </w:r>
      <w:r>
        <w:rPr>
          <w:rFonts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偏差原因及改进措施：2024年该条指标完成较好暂无偏差。</w:t>
      </w:r>
    </w:p>
    <w:p w14:paraId="3BC757D6">
      <w:pPr>
        <w:spacing w:line="560" w:lineRule="exact"/>
        <w:ind w:firstLine="643" w:firstLineChars="200"/>
        <w:rPr>
          <w:rFonts w:eastAsia="楷体_GB2312"/>
          <w:b/>
          <w:bCs/>
          <w:sz w:val="32"/>
          <w:szCs w:val="32"/>
        </w:rPr>
      </w:pPr>
      <w:r>
        <w:rPr>
          <w:rFonts w:eastAsia="楷体_GB2312"/>
          <w:b/>
          <w:bCs/>
          <w:sz w:val="32"/>
          <w:szCs w:val="32"/>
        </w:rPr>
        <w:t>（五）预算执行进度与绩效指标总体完成率偏差</w:t>
      </w:r>
    </w:p>
    <w:p w14:paraId="2946471F">
      <w:pPr>
        <w:pStyle w:val="19"/>
        <w:spacing w:line="56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区人才公寓装修经费项目年初预算179万元，全年预算155.4万元，实际支出155.4万元，预算执行率为100%，项目绩效指标总体完成率为100%，总体偏差率为0%。</w:t>
      </w:r>
      <w:r>
        <w:rPr>
          <w:rFonts w:hint="eastAsia" w:eastAsia="仿宋_GB2312"/>
          <w:sz w:val="32"/>
          <w:szCs w:val="32"/>
          <w:lang w:val="en-US" w:eastAsia="zh-CN"/>
        </w:rPr>
        <w:t>2024年该项目完成较好暂无偏差。</w:t>
      </w:r>
    </w:p>
    <w:p w14:paraId="5BC65108">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0DB0DD34">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4057F6B9">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20A4A14A">
      <w:pPr>
        <w:pStyle w:val="10"/>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w:t>
      </w:r>
      <w:r>
        <w:rPr>
          <w:rFonts w:hint="eastAsia" w:ascii="Times New Roman" w:hAnsi="Times New Roman" w:eastAsia="仿宋_GB2312"/>
          <w:b w:val="0"/>
          <w:bCs w:val="0"/>
          <w:kern w:val="2"/>
        </w:rPr>
        <w:t>杜绝</w:t>
      </w:r>
      <w:r>
        <w:rPr>
          <w:rFonts w:ascii="Times New Roman" w:hAnsi="Times New Roman" w:eastAsia="仿宋_GB2312"/>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6D8A40CB">
      <w:pPr>
        <w:keepNext/>
        <w:keepLines/>
        <w:numPr>
          <w:ilvl w:val="0"/>
          <w:numId w:val="6"/>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6909EBB3">
      <w:pPr>
        <w:spacing w:line="600" w:lineRule="exact"/>
        <w:ind w:firstLine="640" w:firstLineChars="200"/>
        <w:outlineLvl w:val="0"/>
        <w:rPr>
          <w:rFonts w:eastAsia="仿宋_GB2312"/>
          <w:sz w:val="32"/>
          <w:szCs w:val="32"/>
        </w:rPr>
      </w:pPr>
      <w:r>
        <w:rPr>
          <w:rFonts w:eastAsia="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2B23ED33">
      <w:pPr>
        <w:spacing w:line="600" w:lineRule="exact"/>
        <w:ind w:firstLine="640" w:firstLineChars="200"/>
        <w:outlineLvl w:val="0"/>
        <w:rPr>
          <w:rFonts w:eastAsia="仿宋_GB2312"/>
          <w:sz w:val="32"/>
          <w:szCs w:val="32"/>
        </w:rPr>
      </w:pPr>
      <w:r>
        <w:rPr>
          <w:rFonts w:eastAsia="仿宋_GB2312"/>
          <w:sz w:val="32"/>
          <w:szCs w:val="32"/>
        </w:rPr>
        <w:t>2.因轮岗、调动</w:t>
      </w:r>
      <w:r>
        <w:rPr>
          <w:rFonts w:hint="eastAsia" w:eastAsia="仿宋_GB2312"/>
          <w:sz w:val="32"/>
          <w:szCs w:val="32"/>
        </w:rPr>
        <w:t>等</w:t>
      </w:r>
      <w:r>
        <w:rPr>
          <w:rFonts w:eastAsia="仿宋_GB2312"/>
          <w:sz w:val="32"/>
          <w:szCs w:val="32"/>
        </w:rPr>
        <w:t>因素使我单位绩效工作人员流动频繁，</w:t>
      </w:r>
      <w:r>
        <w:rPr>
          <w:rFonts w:hint="eastAsia" w:eastAsia="仿宋_GB2312"/>
          <w:sz w:val="32"/>
          <w:szCs w:val="32"/>
        </w:rPr>
        <w:t>造成</w:t>
      </w:r>
      <w:r>
        <w:rPr>
          <w:rFonts w:eastAsia="仿宋_GB2312"/>
          <w:sz w:val="32"/>
          <w:szCs w:val="32"/>
        </w:rPr>
        <w:t>工作衔接不到位的情况。</w:t>
      </w:r>
    </w:p>
    <w:p w14:paraId="5A8A7611">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04B961D9">
      <w:pPr>
        <w:spacing w:line="600" w:lineRule="exact"/>
        <w:ind w:firstLine="640" w:firstLineChars="200"/>
        <w:outlineLvl w:val="0"/>
        <w:rPr>
          <w:rFonts w:eastAsia="仿宋_GB2312"/>
          <w:sz w:val="32"/>
          <w:szCs w:val="32"/>
        </w:rPr>
      </w:pPr>
      <w:r>
        <w:rPr>
          <w:rFonts w:eastAsia="仿宋_GB2312"/>
          <w:sz w:val="32"/>
          <w:szCs w:val="32"/>
        </w:rPr>
        <w:t>1.多进行有关绩效管理工作方面的培训。积极组织第三方开展绩效管理工作培训，进一步夯实业务基础，提高我单位绩效人员水平。</w:t>
      </w:r>
    </w:p>
    <w:p w14:paraId="1471957C">
      <w:pPr>
        <w:spacing w:line="600" w:lineRule="exact"/>
        <w:ind w:firstLine="640" w:firstLineChars="200"/>
        <w:outlineLvl w:val="0"/>
        <w:rPr>
          <w:rFonts w:eastAsia="仿宋_GB2312"/>
          <w:sz w:val="32"/>
          <w:szCs w:val="32"/>
        </w:rPr>
      </w:pPr>
      <w:r>
        <w:rPr>
          <w:rFonts w:eastAsia="仿宋_GB2312"/>
          <w:sz w:val="32"/>
          <w:szCs w:val="32"/>
        </w:rPr>
        <w:t>2.专门设定对绩效工作人员定职、定岗、定责等相关制度措施，进一步提升我单位绩效管理工作业务水平，扎实做好绩效管理工作。</w:t>
      </w:r>
    </w:p>
    <w:p w14:paraId="2DEDDBA2">
      <w:pPr>
        <w:spacing w:line="600" w:lineRule="exact"/>
        <w:ind w:firstLine="640" w:firstLineChars="200"/>
        <w:outlineLvl w:val="0"/>
        <w:rPr>
          <w:rFonts w:eastAsia="仿宋_GB2312"/>
          <w:sz w:val="32"/>
          <w:szCs w:val="32"/>
        </w:rPr>
      </w:pPr>
      <w:r>
        <w:rPr>
          <w:rFonts w:eastAsia="仿宋_GB2312"/>
          <w:sz w:val="32"/>
          <w:szCs w:val="32"/>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53A67B29">
      <w:pPr>
        <w:spacing w:line="600" w:lineRule="exact"/>
        <w:ind w:firstLine="640" w:firstLineChars="200"/>
        <w:outlineLvl w:val="0"/>
        <w:rPr>
          <w:sz w:val="22"/>
          <w:szCs w:val="28"/>
        </w:rPr>
      </w:pPr>
      <w:r>
        <w:rPr>
          <w:rFonts w:eastAsia="仿宋_GB2312"/>
          <w:sz w:val="32"/>
          <w:szCs w:val="32"/>
        </w:rPr>
        <w:t>4.进一步完善项目评价过程中有关数据和资料的收集、整理、审核及分析。项目启动时同步做好档案的归纳与整理，及时整理、收集、汇总，健全档案资料。项目后续管理有待进一步加强和跟踪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7AAFA9A0">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0" w:name="page8"/>
      <w:bookmarkEnd w:id="0"/>
      <w:r>
        <w:rPr>
          <w:rFonts w:eastAsia="黑体"/>
          <w:sz w:val="32"/>
          <w:szCs w:val="32"/>
        </w:rPr>
        <w:t>明的问题</w:t>
      </w:r>
    </w:p>
    <w:p w14:paraId="31428C3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项目支出政策和路径设计科学，符合实际需要；</w:t>
      </w:r>
    </w:p>
    <w:p w14:paraId="1FC768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项目安排准确，未发现背离项目立项初衷的情况；</w:t>
      </w:r>
    </w:p>
    <w:p w14:paraId="3FFEAA8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项目的申报、审核机制完善；</w:t>
      </w:r>
    </w:p>
    <w:p w14:paraId="52B50523">
      <w:pPr>
        <w:shd w:val="clear"/>
        <w:spacing w:line="600" w:lineRule="exact"/>
        <w:ind w:firstLine="640" w:firstLineChars="200"/>
        <w:outlineLvl w:val="0"/>
        <w:rPr>
          <w:rFonts w:ascii="Times New Roman" w:hAnsi="Times New Roman" w:eastAsia="仿宋_GB2312"/>
          <w:sz w:val="32"/>
          <w:szCs w:val="32"/>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未发现虚假行为和骗取财政资金的问题</w:t>
      </w:r>
      <w:r>
        <w:rPr>
          <w:rFonts w:ascii="Times New Roman" w:hAnsi="Times New Roman" w:eastAsia="仿宋_GB2312"/>
          <w:sz w:val="32"/>
          <w:szCs w:val="32"/>
        </w:rPr>
        <w:t>。</w:t>
      </w:r>
    </w:p>
    <w:p w14:paraId="2927B1C4">
      <w:pPr>
        <w:pStyle w:val="13"/>
        <w:spacing w:after="0" w:line="560" w:lineRule="exact"/>
        <w:ind w:left="0" w:leftChars="0" w:firstLine="0" w:firstLineChars="0"/>
        <w:rPr>
          <w:rFonts w:ascii="Times New Roman" w:hAnsi="Times New Roman" w:eastAsia="仿宋_GB2312"/>
          <w:sz w:val="32"/>
          <w:szCs w:val="32"/>
        </w:rPr>
      </w:pPr>
    </w:p>
    <w:p w14:paraId="0467E840">
      <w:pPr>
        <w:pStyle w:val="13"/>
        <w:spacing w:after="0" w:line="560" w:lineRule="exact"/>
        <w:ind w:left="0" w:leftChars="0" w:firstLine="640"/>
        <w:rPr>
          <w:rFonts w:ascii="Times New Roman" w:hAnsi="Times New Roman" w:eastAsia="仿宋_GB2312"/>
          <w:sz w:val="32"/>
          <w:szCs w:val="32"/>
        </w:rPr>
      </w:pPr>
    </w:p>
    <w:p w14:paraId="3EA188A1">
      <w:pPr>
        <w:pStyle w:val="13"/>
        <w:spacing w:after="0" w:line="560" w:lineRule="exact"/>
        <w:ind w:left="0" w:leftChars="0" w:firstLine="640"/>
        <w:rPr>
          <w:rFonts w:ascii="Times New Roman" w:hAnsi="Times New Roman" w:eastAsia="仿宋_GB2312"/>
          <w:sz w:val="32"/>
          <w:szCs w:val="32"/>
        </w:rPr>
      </w:pPr>
    </w:p>
    <w:p w14:paraId="2F12558F">
      <w:pPr>
        <w:pStyle w:val="13"/>
        <w:spacing w:after="0" w:line="560" w:lineRule="exact"/>
        <w:ind w:left="0" w:leftChars="0" w:firstLine="0" w:firstLineChars="0"/>
        <w:rPr>
          <w:rFonts w:ascii="Times New Roman" w:hAnsi="Times New Roman" w:eastAsia="仿宋_GB2312"/>
          <w:sz w:val="32"/>
          <w:szCs w:val="32"/>
        </w:rPr>
      </w:pPr>
    </w:p>
    <w:p w14:paraId="4F4B9D20">
      <w:pPr>
        <w:spacing w:line="600" w:lineRule="exact"/>
        <w:rPr>
          <w:rFonts w:eastAsia="黑体"/>
          <w:sz w:val="32"/>
          <w:szCs w:val="32"/>
        </w:rPr>
        <w:sectPr>
          <w:footerReference r:id="rId3" w:type="default"/>
          <w:pgSz w:w="11906" w:h="16838"/>
          <w:pgMar w:top="1440" w:right="1558" w:bottom="1440" w:left="1800" w:header="851" w:footer="992" w:gutter="0"/>
          <w:pgNumType w:start="1"/>
          <w:cols w:space="425" w:num="1"/>
          <w:docGrid w:type="lines" w:linePitch="312" w:charSpace="0"/>
        </w:sectPr>
      </w:pPr>
    </w:p>
    <w:p w14:paraId="174A9AB8">
      <w:pPr>
        <w:spacing w:line="600" w:lineRule="exact"/>
        <w:rPr>
          <w:rFonts w:eastAsia="黑体"/>
          <w:sz w:val="32"/>
          <w:szCs w:val="32"/>
        </w:rPr>
      </w:pPr>
      <w:r>
        <w:rPr>
          <w:rFonts w:hint="eastAsia" w:eastAsia="黑体"/>
          <w:sz w:val="32"/>
          <w:szCs w:val="32"/>
        </w:rPr>
        <w:t>附件1</w:t>
      </w:r>
    </w:p>
    <w:p w14:paraId="5B4AEAB1">
      <w:pPr>
        <w:pStyle w:val="19"/>
        <w:ind w:firstLine="562"/>
        <w:jc w:val="center"/>
        <w:rPr>
          <w:rFonts w:ascii="仿宋_GB2312" w:hAnsi="仿宋_GB2312" w:eastAsia="仿宋_GB2312" w:cs="仿宋_GB2312"/>
          <w:sz w:val="28"/>
          <w:szCs w:val="40"/>
        </w:rPr>
      </w:pPr>
      <w:bookmarkStart w:id="1" w:name="_Toc30064_WPSOffice_Level1"/>
      <w:bookmarkStart w:id="2" w:name="_Toc26499_WPSOffice_Level2"/>
      <w:r>
        <w:rPr>
          <w:rFonts w:hint="eastAsia" w:ascii="仿宋_GB2312" w:hAnsi="仿宋_GB2312" w:eastAsia="仿宋_GB2312" w:cs="仿宋_GB2312"/>
          <w:b/>
          <w:bCs/>
          <w:sz w:val="28"/>
          <w:szCs w:val="40"/>
        </w:rPr>
        <w:t>区人才公寓装修经费绩效评价指标体系及综合评分表</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3"/>
        <w:gridCol w:w="999"/>
        <w:gridCol w:w="1070"/>
        <w:gridCol w:w="1725"/>
        <w:gridCol w:w="5220"/>
        <w:gridCol w:w="1304"/>
        <w:gridCol w:w="1362"/>
      </w:tblGrid>
      <w:tr w14:paraId="6B85D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3" w:type="dxa"/>
            <w:shd w:val="clear" w:color="auto" w:fill="FFFFFF"/>
            <w:vAlign w:val="center"/>
          </w:tcPr>
          <w:p w14:paraId="7E5D93DE">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999" w:type="dxa"/>
            <w:shd w:val="clear" w:color="auto" w:fill="FFFFFF"/>
            <w:vAlign w:val="center"/>
          </w:tcPr>
          <w:p w14:paraId="094B3CCB">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0" w:type="dxa"/>
            <w:shd w:val="clear" w:color="auto" w:fill="FFFFFF"/>
            <w:vAlign w:val="center"/>
          </w:tcPr>
          <w:p w14:paraId="68F4676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15534D6E">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20" w:type="dxa"/>
            <w:shd w:val="clear" w:color="auto" w:fill="FFFFFF"/>
            <w:vAlign w:val="center"/>
          </w:tcPr>
          <w:p w14:paraId="38A5F40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2411C21A">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2" w:type="dxa"/>
            <w:shd w:val="clear" w:color="auto" w:fill="FFFFFF"/>
            <w:vAlign w:val="center"/>
          </w:tcPr>
          <w:p w14:paraId="5DD0B03A">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14:paraId="3030A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3" w:type="dxa"/>
            <w:vMerge w:val="restart"/>
            <w:shd w:val="clear" w:color="auto" w:fill="FFFFFF"/>
            <w:vAlign w:val="center"/>
          </w:tcPr>
          <w:p w14:paraId="4BB43065">
            <w:pPr>
              <w:widowControl/>
              <w:spacing w:line="0" w:lineRule="atLeast"/>
              <w:jc w:val="center"/>
              <w:rPr>
                <w:rFonts w:eastAsia="仿宋_GB2312"/>
                <w:color w:val="000000"/>
                <w:kern w:val="0"/>
                <w:sz w:val="18"/>
                <w:szCs w:val="18"/>
              </w:rPr>
            </w:pPr>
          </w:p>
          <w:p w14:paraId="5FAE1C60">
            <w:pPr>
              <w:widowControl/>
              <w:spacing w:line="0" w:lineRule="atLeast"/>
              <w:jc w:val="center"/>
              <w:rPr>
                <w:rFonts w:eastAsia="仿宋_GB2312"/>
                <w:color w:val="000000"/>
                <w:kern w:val="0"/>
                <w:sz w:val="18"/>
                <w:szCs w:val="18"/>
              </w:rPr>
            </w:pPr>
          </w:p>
          <w:p w14:paraId="217CE0C7">
            <w:pPr>
              <w:widowControl/>
              <w:spacing w:line="0" w:lineRule="atLeast"/>
              <w:jc w:val="center"/>
              <w:rPr>
                <w:rFonts w:eastAsia="仿宋_GB2312"/>
                <w:color w:val="000000"/>
                <w:kern w:val="0"/>
                <w:sz w:val="18"/>
                <w:szCs w:val="18"/>
              </w:rPr>
            </w:pPr>
          </w:p>
          <w:p w14:paraId="7F13F226">
            <w:pPr>
              <w:widowControl/>
              <w:spacing w:line="0" w:lineRule="atLeast"/>
              <w:jc w:val="center"/>
              <w:rPr>
                <w:rFonts w:eastAsia="仿宋_GB2312"/>
                <w:color w:val="000000"/>
                <w:kern w:val="0"/>
                <w:sz w:val="18"/>
                <w:szCs w:val="18"/>
              </w:rPr>
            </w:pPr>
          </w:p>
          <w:p w14:paraId="10770745">
            <w:pPr>
              <w:widowControl/>
              <w:spacing w:line="0" w:lineRule="atLeast"/>
              <w:jc w:val="center"/>
              <w:rPr>
                <w:rFonts w:eastAsia="仿宋_GB2312"/>
                <w:color w:val="000000"/>
                <w:kern w:val="0"/>
                <w:sz w:val="18"/>
                <w:szCs w:val="18"/>
              </w:rPr>
            </w:pPr>
          </w:p>
          <w:p w14:paraId="06C1A5EA">
            <w:pPr>
              <w:widowControl/>
              <w:spacing w:line="0" w:lineRule="atLeast"/>
              <w:jc w:val="center"/>
              <w:rPr>
                <w:rFonts w:eastAsia="仿宋_GB2312"/>
                <w:color w:val="000000"/>
                <w:kern w:val="0"/>
                <w:sz w:val="18"/>
                <w:szCs w:val="18"/>
              </w:rPr>
            </w:pPr>
          </w:p>
          <w:p w14:paraId="0CB36579">
            <w:pPr>
              <w:widowControl/>
              <w:spacing w:line="0" w:lineRule="atLeast"/>
              <w:jc w:val="center"/>
              <w:rPr>
                <w:rFonts w:eastAsia="仿宋_GB2312"/>
                <w:color w:val="000000"/>
                <w:kern w:val="0"/>
                <w:sz w:val="18"/>
                <w:szCs w:val="18"/>
              </w:rPr>
            </w:pPr>
            <w:r>
              <w:rPr>
                <w:rFonts w:eastAsia="仿宋_GB2312"/>
                <w:color w:val="000000"/>
                <w:kern w:val="0"/>
                <w:sz w:val="18"/>
                <w:szCs w:val="18"/>
              </w:rPr>
              <w:t>决策　</w:t>
            </w:r>
          </w:p>
        </w:tc>
        <w:tc>
          <w:tcPr>
            <w:tcW w:w="999" w:type="dxa"/>
            <w:vMerge w:val="restart"/>
            <w:shd w:val="clear" w:color="auto" w:fill="FFFFFF"/>
            <w:vAlign w:val="center"/>
          </w:tcPr>
          <w:p w14:paraId="5AB6AEF2">
            <w:pPr>
              <w:widowControl/>
              <w:spacing w:line="0" w:lineRule="atLeast"/>
              <w:jc w:val="center"/>
              <w:rPr>
                <w:rFonts w:eastAsia="仿宋_GB2312"/>
                <w:color w:val="000000"/>
                <w:kern w:val="0"/>
                <w:sz w:val="18"/>
                <w:szCs w:val="18"/>
              </w:rPr>
            </w:pPr>
            <w:r>
              <w:rPr>
                <w:rFonts w:eastAsia="仿宋_GB2312"/>
                <w:color w:val="000000"/>
                <w:kern w:val="0"/>
                <w:sz w:val="18"/>
                <w:szCs w:val="18"/>
              </w:rPr>
              <w:t>项目立项　</w:t>
            </w:r>
          </w:p>
        </w:tc>
        <w:tc>
          <w:tcPr>
            <w:tcW w:w="1070" w:type="dxa"/>
            <w:shd w:val="clear" w:color="auto" w:fill="FFFFFF"/>
            <w:vAlign w:val="center"/>
          </w:tcPr>
          <w:p w14:paraId="607F1F2A">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40DFF426">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46DEA3E4">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20" w:type="dxa"/>
            <w:shd w:val="clear" w:color="auto" w:fill="FFFFFF"/>
            <w:vAlign w:val="center"/>
          </w:tcPr>
          <w:p w14:paraId="4A1CE964">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①项目立项是否符合国家法律法规、国民经济发展规划和相关政策；</w:t>
            </w:r>
            <w:r>
              <w:rPr>
                <w:rFonts w:eastAsia="仿宋_GB2312"/>
                <w:color w:val="000000"/>
                <w:kern w:val="0"/>
                <w:sz w:val="18"/>
                <w:szCs w:val="18"/>
              </w:rPr>
              <w:br w:type="textWrapping"/>
            </w:r>
            <w:r>
              <w:rPr>
                <w:rFonts w:eastAsia="仿宋_GB2312"/>
                <w:color w:val="000000"/>
                <w:kern w:val="0"/>
                <w:sz w:val="18"/>
                <w:szCs w:val="18"/>
              </w:rPr>
              <w:t>②项目立项是否符合行业发展规划和政策要求；</w:t>
            </w:r>
            <w:r>
              <w:rPr>
                <w:rFonts w:eastAsia="仿宋_GB2312"/>
                <w:color w:val="000000"/>
                <w:kern w:val="0"/>
                <w:sz w:val="18"/>
                <w:szCs w:val="18"/>
              </w:rPr>
              <w:br w:type="textWrapping"/>
            </w:r>
            <w:r>
              <w:rPr>
                <w:rFonts w:eastAsia="仿宋_GB2312"/>
                <w:color w:val="000000"/>
                <w:kern w:val="0"/>
                <w:sz w:val="18"/>
                <w:szCs w:val="18"/>
              </w:rPr>
              <w:t>③项目立项是否与部门职责范围相符，属于部门履职所需；</w:t>
            </w:r>
            <w:r>
              <w:rPr>
                <w:rFonts w:eastAsia="仿宋_GB2312"/>
                <w:color w:val="000000"/>
                <w:kern w:val="0"/>
                <w:sz w:val="18"/>
                <w:szCs w:val="18"/>
              </w:rPr>
              <w:br w:type="textWrapping"/>
            </w:r>
            <w:r>
              <w:rPr>
                <w:rFonts w:eastAsia="仿宋_GB2312"/>
                <w:color w:val="000000"/>
                <w:kern w:val="0"/>
                <w:sz w:val="18"/>
                <w:szCs w:val="18"/>
              </w:rPr>
              <w:t>④项目是否属于公共财政支持范围，是否符合中央、地方事权支出责任划分原则；</w:t>
            </w:r>
            <w:r>
              <w:rPr>
                <w:rFonts w:eastAsia="仿宋_GB2312"/>
                <w:color w:val="000000"/>
                <w:kern w:val="0"/>
                <w:sz w:val="18"/>
                <w:szCs w:val="18"/>
              </w:rPr>
              <w:br w:type="textWrapping"/>
            </w:r>
            <w:r>
              <w:rPr>
                <w:rFonts w:eastAsia="仿宋_GB2312"/>
                <w:color w:val="000000"/>
                <w:kern w:val="0"/>
                <w:sz w:val="18"/>
                <w:szCs w:val="18"/>
              </w:rPr>
              <w:t>⑤项目是否与相关部门同类项目或部门内部相关项目重复。</w:t>
            </w:r>
          </w:p>
        </w:tc>
        <w:tc>
          <w:tcPr>
            <w:tcW w:w="1304" w:type="dxa"/>
            <w:shd w:val="clear" w:color="auto" w:fill="FFFFFF"/>
            <w:vAlign w:val="center"/>
          </w:tcPr>
          <w:p w14:paraId="3368BD2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2" w:type="dxa"/>
            <w:shd w:val="clear" w:color="auto" w:fill="FFFFFF"/>
            <w:vAlign w:val="center"/>
          </w:tcPr>
          <w:p w14:paraId="0D35F755">
            <w:pPr>
              <w:widowControl/>
              <w:spacing w:line="0" w:lineRule="atLeast"/>
              <w:jc w:val="center"/>
              <w:rPr>
                <w:rFonts w:hint="eastAsia" w:eastAsia="仿宋_GB2312"/>
                <w:b/>
                <w:bCs/>
                <w:color w:val="000000"/>
                <w:kern w:val="0"/>
                <w:sz w:val="18"/>
                <w:szCs w:val="18"/>
                <w:highlight w:val="none"/>
                <w:lang w:eastAsia="zh-CN"/>
              </w:rPr>
            </w:pPr>
            <w:r>
              <w:rPr>
                <w:rFonts w:hint="eastAsia" w:eastAsia="仿宋_GB2312"/>
                <w:b/>
                <w:bCs/>
                <w:color w:val="000000"/>
                <w:kern w:val="0"/>
                <w:sz w:val="18"/>
                <w:szCs w:val="18"/>
                <w:highlight w:val="none"/>
                <w:lang w:val="en-US" w:eastAsia="zh-CN"/>
              </w:rPr>
              <w:t>3</w:t>
            </w:r>
          </w:p>
        </w:tc>
      </w:tr>
      <w:tr w14:paraId="301C2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3" w:type="dxa"/>
            <w:vMerge w:val="continue"/>
            <w:shd w:val="clear" w:color="auto" w:fill="FFFFFF"/>
            <w:vAlign w:val="center"/>
          </w:tcPr>
          <w:p w14:paraId="36276E2F">
            <w:pPr>
              <w:spacing w:line="0" w:lineRule="atLeast"/>
              <w:jc w:val="center"/>
              <w:rPr>
                <w:rFonts w:eastAsia="仿宋_GB2312"/>
                <w:color w:val="000000"/>
                <w:kern w:val="0"/>
                <w:sz w:val="18"/>
                <w:szCs w:val="18"/>
              </w:rPr>
            </w:pPr>
          </w:p>
        </w:tc>
        <w:tc>
          <w:tcPr>
            <w:tcW w:w="999" w:type="dxa"/>
            <w:vMerge w:val="continue"/>
            <w:shd w:val="clear" w:color="auto" w:fill="FFFFFF"/>
            <w:vAlign w:val="center"/>
          </w:tcPr>
          <w:p w14:paraId="4A7C7E89">
            <w:pPr>
              <w:widowControl/>
              <w:spacing w:line="0" w:lineRule="atLeast"/>
              <w:jc w:val="center"/>
              <w:rPr>
                <w:rFonts w:eastAsia="仿宋_GB2312"/>
                <w:color w:val="000000"/>
                <w:kern w:val="0"/>
                <w:sz w:val="18"/>
                <w:szCs w:val="18"/>
              </w:rPr>
            </w:pPr>
          </w:p>
        </w:tc>
        <w:tc>
          <w:tcPr>
            <w:tcW w:w="1070" w:type="dxa"/>
            <w:shd w:val="clear" w:color="auto" w:fill="FFFFFF"/>
            <w:vAlign w:val="center"/>
          </w:tcPr>
          <w:p w14:paraId="4E1BF0CC">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31877871">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553C04D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20" w:type="dxa"/>
            <w:shd w:val="clear" w:color="auto" w:fill="FFFFFF"/>
            <w:vAlign w:val="center"/>
          </w:tcPr>
          <w:p w14:paraId="12F7B3D8">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①项目是否按照规定的程序申请设立；</w:t>
            </w:r>
            <w:r>
              <w:rPr>
                <w:rFonts w:eastAsia="仿宋_GB2312"/>
                <w:color w:val="000000"/>
                <w:kern w:val="0"/>
                <w:sz w:val="18"/>
                <w:szCs w:val="18"/>
              </w:rPr>
              <w:br w:type="textWrapping"/>
            </w:r>
            <w:r>
              <w:rPr>
                <w:rFonts w:eastAsia="仿宋_GB2312"/>
                <w:color w:val="000000"/>
                <w:kern w:val="0"/>
                <w:sz w:val="18"/>
                <w:szCs w:val="18"/>
              </w:rPr>
              <w:t>②审批文件、材料是否符合相关要求；</w:t>
            </w:r>
            <w:r>
              <w:rPr>
                <w:rFonts w:eastAsia="仿宋_GB2312"/>
                <w:color w:val="000000"/>
                <w:kern w:val="0"/>
                <w:sz w:val="18"/>
                <w:szCs w:val="18"/>
              </w:rPr>
              <w:br w:type="textWrapping"/>
            </w:r>
            <w:r>
              <w:rPr>
                <w:rFonts w:eastAsia="仿宋_GB2312"/>
                <w:color w:val="000000"/>
                <w:kern w:val="0"/>
                <w:sz w:val="18"/>
                <w:szCs w:val="18"/>
              </w:rPr>
              <w:t>③事前是否已经过必要的可行性研究、专家论证、风险评估、绩效评估、集体决策。</w:t>
            </w:r>
          </w:p>
        </w:tc>
        <w:tc>
          <w:tcPr>
            <w:tcW w:w="1304" w:type="dxa"/>
            <w:shd w:val="clear" w:color="auto" w:fill="FFFFFF"/>
            <w:vAlign w:val="center"/>
          </w:tcPr>
          <w:p w14:paraId="23AAB1FE">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2" w:type="dxa"/>
            <w:shd w:val="clear" w:color="auto" w:fill="FFFFFF"/>
            <w:vAlign w:val="center"/>
          </w:tcPr>
          <w:p w14:paraId="64AF10BD">
            <w:pPr>
              <w:widowControl/>
              <w:spacing w:line="0" w:lineRule="atLeast"/>
              <w:jc w:val="center"/>
              <w:rPr>
                <w:rFonts w:hint="eastAsia" w:eastAsia="仿宋_GB2312"/>
                <w:b/>
                <w:bCs/>
                <w:color w:val="000000"/>
                <w:kern w:val="0"/>
                <w:sz w:val="18"/>
                <w:szCs w:val="18"/>
                <w:highlight w:val="none"/>
                <w:lang w:eastAsia="zh-CN"/>
              </w:rPr>
            </w:pPr>
            <w:r>
              <w:rPr>
                <w:rFonts w:hint="eastAsia" w:eastAsia="仿宋_GB2312"/>
                <w:b/>
                <w:bCs/>
                <w:color w:val="000000"/>
                <w:kern w:val="0"/>
                <w:sz w:val="18"/>
                <w:szCs w:val="18"/>
                <w:highlight w:val="none"/>
                <w:lang w:val="en-US" w:eastAsia="zh-CN"/>
              </w:rPr>
              <w:t>3</w:t>
            </w:r>
          </w:p>
        </w:tc>
      </w:tr>
      <w:tr w14:paraId="2A337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3" w:type="dxa"/>
            <w:vMerge w:val="continue"/>
            <w:shd w:val="clear" w:color="auto" w:fill="FFFFFF"/>
            <w:vAlign w:val="center"/>
          </w:tcPr>
          <w:p w14:paraId="7DCCEF84">
            <w:pPr>
              <w:spacing w:line="0" w:lineRule="atLeast"/>
              <w:jc w:val="center"/>
              <w:rPr>
                <w:rFonts w:eastAsia="仿宋_GB2312"/>
                <w:color w:val="000000"/>
                <w:kern w:val="0"/>
                <w:sz w:val="18"/>
                <w:szCs w:val="18"/>
              </w:rPr>
            </w:pPr>
          </w:p>
        </w:tc>
        <w:tc>
          <w:tcPr>
            <w:tcW w:w="999" w:type="dxa"/>
            <w:vMerge w:val="restart"/>
            <w:shd w:val="clear" w:color="auto" w:fill="FFFFFF"/>
            <w:vAlign w:val="center"/>
          </w:tcPr>
          <w:p w14:paraId="06591701">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　</w:t>
            </w:r>
          </w:p>
        </w:tc>
        <w:tc>
          <w:tcPr>
            <w:tcW w:w="1070" w:type="dxa"/>
            <w:shd w:val="clear" w:color="auto" w:fill="FFFFFF"/>
            <w:vAlign w:val="center"/>
          </w:tcPr>
          <w:p w14:paraId="04268959">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1FA09FBB">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2DF6E933">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20" w:type="dxa"/>
            <w:shd w:val="clear" w:color="000000" w:fill="FFFFFF"/>
            <w:vAlign w:val="center"/>
          </w:tcPr>
          <w:p w14:paraId="740F9F33">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ype="textWrapping"/>
            </w:r>
            <w:r>
              <w:rPr>
                <w:rFonts w:eastAsia="仿宋_GB2312"/>
                <w:color w:val="000000"/>
                <w:kern w:val="0"/>
                <w:sz w:val="18"/>
                <w:szCs w:val="18"/>
              </w:rPr>
              <w:t>①项目是否有绩效目标；</w:t>
            </w:r>
            <w:r>
              <w:rPr>
                <w:rFonts w:eastAsia="仿宋_GB2312"/>
                <w:color w:val="000000"/>
                <w:kern w:val="0"/>
                <w:sz w:val="18"/>
                <w:szCs w:val="18"/>
              </w:rPr>
              <w:br w:type="textWrapping"/>
            </w:r>
            <w:r>
              <w:rPr>
                <w:rFonts w:eastAsia="仿宋_GB2312"/>
                <w:color w:val="000000"/>
                <w:kern w:val="0"/>
                <w:sz w:val="18"/>
                <w:szCs w:val="18"/>
              </w:rPr>
              <w:t>②项目绩效目标与实际工作内容是否具有相关性；</w:t>
            </w:r>
            <w:r>
              <w:rPr>
                <w:rFonts w:eastAsia="仿宋_GB2312"/>
                <w:color w:val="000000"/>
                <w:kern w:val="0"/>
                <w:sz w:val="18"/>
                <w:szCs w:val="18"/>
              </w:rPr>
              <w:br w:type="textWrapping"/>
            </w:r>
            <w:r>
              <w:rPr>
                <w:rFonts w:eastAsia="仿宋_GB2312"/>
                <w:color w:val="000000"/>
                <w:kern w:val="0"/>
                <w:sz w:val="18"/>
                <w:szCs w:val="18"/>
              </w:rPr>
              <w:t>③项目预期产出效益和效果是否符合正常的业绩水平；</w:t>
            </w:r>
          </w:p>
          <w:p w14:paraId="4A477D10">
            <w:pPr>
              <w:widowControl/>
              <w:spacing w:line="0" w:lineRule="atLeast"/>
              <w:jc w:val="left"/>
              <w:rPr>
                <w:rFonts w:eastAsia="仿宋_GB2312"/>
                <w:color w:val="000000"/>
                <w:kern w:val="0"/>
                <w:sz w:val="18"/>
                <w:szCs w:val="18"/>
              </w:rPr>
            </w:pPr>
            <w:r>
              <w:rPr>
                <w:rFonts w:eastAsia="仿宋_GB2312"/>
                <w:color w:val="000000"/>
                <w:kern w:val="0"/>
                <w:sz w:val="18"/>
                <w:szCs w:val="18"/>
              </w:rPr>
              <w:t>④是否与预算确定的项目投资额或资金量相匹配。</w:t>
            </w:r>
          </w:p>
        </w:tc>
        <w:tc>
          <w:tcPr>
            <w:tcW w:w="1304" w:type="dxa"/>
            <w:shd w:val="clear" w:color="000000" w:fill="FFFFFF"/>
            <w:vAlign w:val="center"/>
          </w:tcPr>
          <w:p w14:paraId="2737B013">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2" w:type="dxa"/>
            <w:shd w:val="clear" w:color="000000" w:fill="FFFFFF"/>
            <w:vAlign w:val="center"/>
          </w:tcPr>
          <w:p w14:paraId="6BFAF786">
            <w:pPr>
              <w:widowControl/>
              <w:spacing w:line="0" w:lineRule="atLeast"/>
              <w:jc w:val="center"/>
              <w:rPr>
                <w:rFonts w:hint="eastAsia" w:eastAsia="仿宋_GB2312"/>
                <w:b/>
                <w:bCs/>
                <w:color w:val="000000"/>
                <w:kern w:val="0"/>
                <w:sz w:val="18"/>
                <w:szCs w:val="18"/>
                <w:highlight w:val="none"/>
                <w:lang w:eastAsia="zh-CN"/>
              </w:rPr>
            </w:pPr>
            <w:r>
              <w:rPr>
                <w:rFonts w:hint="eastAsia" w:eastAsia="仿宋_GB2312"/>
                <w:b/>
                <w:bCs/>
                <w:color w:val="000000"/>
                <w:kern w:val="0"/>
                <w:sz w:val="18"/>
                <w:szCs w:val="18"/>
                <w:highlight w:val="none"/>
                <w:lang w:val="en-US" w:eastAsia="zh-CN"/>
              </w:rPr>
              <w:t>3</w:t>
            </w:r>
          </w:p>
        </w:tc>
      </w:tr>
      <w:tr w14:paraId="6C733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3" w:type="dxa"/>
            <w:vMerge w:val="continue"/>
            <w:shd w:val="clear" w:color="auto" w:fill="FFFFFF"/>
            <w:vAlign w:val="center"/>
          </w:tcPr>
          <w:p w14:paraId="2F80F943">
            <w:pPr>
              <w:widowControl/>
              <w:spacing w:line="0" w:lineRule="atLeast"/>
              <w:jc w:val="center"/>
              <w:rPr>
                <w:rFonts w:eastAsia="仿宋_GB2312"/>
                <w:color w:val="000000"/>
                <w:kern w:val="0"/>
                <w:sz w:val="18"/>
                <w:szCs w:val="18"/>
              </w:rPr>
            </w:pPr>
          </w:p>
        </w:tc>
        <w:tc>
          <w:tcPr>
            <w:tcW w:w="999" w:type="dxa"/>
            <w:vMerge w:val="continue"/>
            <w:shd w:val="clear" w:color="auto" w:fill="FFFFFF"/>
            <w:vAlign w:val="center"/>
          </w:tcPr>
          <w:p w14:paraId="4B8EB358">
            <w:pPr>
              <w:widowControl/>
              <w:spacing w:line="0" w:lineRule="atLeast"/>
              <w:jc w:val="center"/>
              <w:rPr>
                <w:rFonts w:eastAsia="仿宋_GB2312"/>
                <w:color w:val="000000"/>
                <w:kern w:val="0"/>
                <w:sz w:val="18"/>
                <w:szCs w:val="18"/>
              </w:rPr>
            </w:pPr>
          </w:p>
        </w:tc>
        <w:tc>
          <w:tcPr>
            <w:tcW w:w="1070" w:type="dxa"/>
            <w:shd w:val="clear" w:color="auto" w:fill="FFFFFF"/>
            <w:vAlign w:val="center"/>
          </w:tcPr>
          <w:p w14:paraId="226D3D51">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7411C986">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667F7805">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5220" w:type="dxa"/>
            <w:shd w:val="clear" w:color="000000" w:fill="FFFFFF"/>
            <w:vAlign w:val="center"/>
          </w:tcPr>
          <w:p w14:paraId="4D51E7D9">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①是否将项目绩效目标细化分解为具体的绩效指标；</w:t>
            </w:r>
            <w:r>
              <w:rPr>
                <w:rFonts w:eastAsia="仿宋_GB2312"/>
                <w:color w:val="000000"/>
                <w:kern w:val="0"/>
                <w:sz w:val="18"/>
                <w:szCs w:val="18"/>
              </w:rPr>
              <w:br w:type="textWrapping"/>
            </w:r>
            <w:r>
              <w:rPr>
                <w:rFonts w:eastAsia="仿宋_GB2312"/>
                <w:color w:val="000000"/>
                <w:kern w:val="0"/>
                <w:sz w:val="18"/>
                <w:szCs w:val="18"/>
              </w:rPr>
              <w:t>②是否通过清晰、可衡量的指标值予以体现；</w:t>
            </w:r>
            <w:r>
              <w:rPr>
                <w:rFonts w:eastAsia="仿宋_GB2312"/>
                <w:color w:val="000000"/>
                <w:kern w:val="0"/>
                <w:sz w:val="18"/>
                <w:szCs w:val="18"/>
              </w:rPr>
              <w:br w:type="textWrapping"/>
            </w:r>
            <w:r>
              <w:rPr>
                <w:rFonts w:eastAsia="仿宋_GB2312"/>
                <w:color w:val="000000"/>
                <w:kern w:val="0"/>
                <w:sz w:val="18"/>
                <w:szCs w:val="18"/>
              </w:rPr>
              <w:t>③是否与项目目标任务数或计划数相对应。</w:t>
            </w:r>
            <w:r>
              <w:rPr>
                <w:rFonts w:eastAsia="仿宋_GB2312"/>
                <w:color w:val="000000"/>
                <w:kern w:val="0"/>
                <w:sz w:val="18"/>
                <w:szCs w:val="18"/>
              </w:rPr>
              <w:br w:type="textWrapping"/>
            </w:r>
          </w:p>
        </w:tc>
        <w:tc>
          <w:tcPr>
            <w:tcW w:w="1304" w:type="dxa"/>
            <w:shd w:val="clear" w:color="000000" w:fill="FFFFFF"/>
            <w:vAlign w:val="center"/>
          </w:tcPr>
          <w:p w14:paraId="6239DBE9">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2" w:type="dxa"/>
            <w:shd w:val="clear" w:color="000000" w:fill="FFFFFF"/>
            <w:vAlign w:val="center"/>
          </w:tcPr>
          <w:p w14:paraId="110FD5C0">
            <w:pPr>
              <w:widowControl/>
              <w:spacing w:line="0" w:lineRule="atLeast"/>
              <w:jc w:val="center"/>
              <w:rPr>
                <w:rFonts w:hint="eastAsia" w:eastAsia="仿宋_GB2312"/>
                <w:b/>
                <w:bCs/>
                <w:color w:val="000000"/>
                <w:kern w:val="0"/>
                <w:sz w:val="18"/>
                <w:szCs w:val="18"/>
                <w:highlight w:val="none"/>
                <w:lang w:eastAsia="zh-CN"/>
              </w:rPr>
            </w:pPr>
            <w:r>
              <w:rPr>
                <w:rFonts w:hint="eastAsia" w:eastAsia="仿宋_GB2312"/>
                <w:b/>
                <w:bCs/>
                <w:color w:val="000000"/>
                <w:kern w:val="0"/>
                <w:sz w:val="18"/>
                <w:szCs w:val="18"/>
                <w:highlight w:val="none"/>
                <w:lang w:val="en-US" w:eastAsia="zh-CN"/>
              </w:rPr>
              <w:t>3</w:t>
            </w:r>
          </w:p>
        </w:tc>
      </w:tr>
      <w:tr w14:paraId="0BC12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3" w:type="dxa"/>
            <w:vMerge w:val="continue"/>
            <w:shd w:val="clear" w:color="auto" w:fill="FFFFFF"/>
            <w:vAlign w:val="center"/>
          </w:tcPr>
          <w:p w14:paraId="21892A29">
            <w:pPr>
              <w:spacing w:line="0" w:lineRule="atLeast"/>
              <w:jc w:val="center"/>
              <w:rPr>
                <w:rFonts w:eastAsia="仿宋_GB2312"/>
                <w:color w:val="000000"/>
                <w:kern w:val="0"/>
                <w:sz w:val="18"/>
                <w:szCs w:val="18"/>
              </w:rPr>
            </w:pPr>
          </w:p>
        </w:tc>
        <w:tc>
          <w:tcPr>
            <w:tcW w:w="999" w:type="dxa"/>
            <w:vMerge w:val="restart"/>
            <w:shd w:val="clear" w:color="auto" w:fill="FFFFFF"/>
            <w:vAlign w:val="center"/>
          </w:tcPr>
          <w:p w14:paraId="06DC8DA2">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064D195E">
            <w:pPr>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1070" w:type="dxa"/>
            <w:shd w:val="clear" w:color="auto" w:fill="FFFFFF"/>
            <w:vAlign w:val="center"/>
          </w:tcPr>
          <w:p w14:paraId="00575A1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7639DD9A">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1967B51F">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20" w:type="dxa"/>
            <w:shd w:val="clear" w:color="auto" w:fill="FFFFFF"/>
            <w:vAlign w:val="center"/>
          </w:tcPr>
          <w:p w14:paraId="76ECDABA">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①预算编制是否经过科学论证；</w:t>
            </w:r>
            <w:r>
              <w:rPr>
                <w:rFonts w:eastAsia="仿宋_GB2312"/>
                <w:color w:val="000000"/>
                <w:kern w:val="0"/>
                <w:sz w:val="18"/>
                <w:szCs w:val="18"/>
              </w:rPr>
              <w:br w:type="textWrapping"/>
            </w:r>
            <w:r>
              <w:rPr>
                <w:rFonts w:eastAsia="仿宋_GB2312"/>
                <w:color w:val="000000"/>
                <w:kern w:val="0"/>
                <w:sz w:val="18"/>
                <w:szCs w:val="18"/>
              </w:rPr>
              <w:t>②预算内容与项目内容是否匹配；</w:t>
            </w:r>
            <w:r>
              <w:rPr>
                <w:rFonts w:eastAsia="仿宋_GB2312"/>
                <w:color w:val="000000"/>
                <w:kern w:val="0"/>
                <w:sz w:val="18"/>
                <w:szCs w:val="18"/>
              </w:rPr>
              <w:br w:type="textWrapping"/>
            </w:r>
            <w:r>
              <w:rPr>
                <w:rFonts w:eastAsia="仿宋_GB2312"/>
                <w:color w:val="000000"/>
                <w:kern w:val="0"/>
                <w:sz w:val="18"/>
                <w:szCs w:val="18"/>
              </w:rPr>
              <w:t>③预算额度测算依据是否充分，是否按照标准编制；</w:t>
            </w:r>
            <w:r>
              <w:rPr>
                <w:rFonts w:eastAsia="仿宋_GB2312"/>
                <w:color w:val="000000"/>
                <w:kern w:val="0"/>
                <w:sz w:val="18"/>
                <w:szCs w:val="18"/>
              </w:rPr>
              <w:br w:type="textWrapping"/>
            </w:r>
            <w:r>
              <w:rPr>
                <w:rFonts w:eastAsia="仿宋_GB2312"/>
                <w:color w:val="000000"/>
                <w:kern w:val="0"/>
                <w:sz w:val="18"/>
                <w:szCs w:val="18"/>
              </w:rPr>
              <w:t>④预算确定的项目投资额或资金量是否与工作任务相匹配。</w:t>
            </w:r>
          </w:p>
        </w:tc>
        <w:tc>
          <w:tcPr>
            <w:tcW w:w="1304" w:type="dxa"/>
            <w:shd w:val="clear" w:color="auto" w:fill="FFFFFF"/>
            <w:vAlign w:val="center"/>
          </w:tcPr>
          <w:p w14:paraId="7C2958D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auto" w:fill="FFFFFF"/>
            <w:vAlign w:val="center"/>
          </w:tcPr>
          <w:p w14:paraId="4D7876DA">
            <w:pPr>
              <w:widowControl/>
              <w:spacing w:line="0" w:lineRule="atLeast"/>
              <w:jc w:val="center"/>
              <w:rPr>
                <w:rFonts w:hint="default" w:eastAsia="仿宋_GB2312"/>
                <w:b/>
                <w:bCs/>
                <w:color w:val="000000"/>
                <w:kern w:val="0"/>
                <w:sz w:val="18"/>
                <w:szCs w:val="18"/>
                <w:lang w:val="en-US" w:eastAsia="zh-CN"/>
              </w:rPr>
            </w:pPr>
            <w:r>
              <w:rPr>
                <w:rFonts w:hint="eastAsia" w:eastAsia="仿宋_GB2312"/>
                <w:b/>
                <w:bCs/>
                <w:color w:val="000000"/>
                <w:kern w:val="0"/>
                <w:sz w:val="18"/>
                <w:szCs w:val="18"/>
                <w:lang w:val="en-US" w:eastAsia="zh-CN"/>
              </w:rPr>
              <w:t>4</w:t>
            </w:r>
          </w:p>
        </w:tc>
      </w:tr>
      <w:tr w14:paraId="6B8CF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3" w:type="dxa"/>
            <w:vMerge w:val="continue"/>
            <w:shd w:val="clear" w:color="auto" w:fill="FFFFFF"/>
            <w:vAlign w:val="center"/>
          </w:tcPr>
          <w:p w14:paraId="185F3B42">
            <w:pPr>
              <w:widowControl/>
              <w:spacing w:line="0" w:lineRule="atLeast"/>
              <w:jc w:val="center"/>
              <w:rPr>
                <w:rFonts w:eastAsia="仿宋_GB2312"/>
                <w:color w:val="000000"/>
                <w:kern w:val="0"/>
                <w:sz w:val="18"/>
                <w:szCs w:val="18"/>
              </w:rPr>
            </w:pPr>
          </w:p>
        </w:tc>
        <w:tc>
          <w:tcPr>
            <w:tcW w:w="999" w:type="dxa"/>
            <w:vMerge w:val="continue"/>
            <w:shd w:val="clear" w:color="auto" w:fill="FFFFFF"/>
            <w:vAlign w:val="center"/>
          </w:tcPr>
          <w:p w14:paraId="46CA0CE8">
            <w:pPr>
              <w:widowControl/>
              <w:spacing w:line="0" w:lineRule="atLeast"/>
              <w:jc w:val="center"/>
              <w:rPr>
                <w:rFonts w:eastAsia="仿宋_GB2312"/>
                <w:color w:val="000000"/>
                <w:kern w:val="0"/>
                <w:sz w:val="18"/>
                <w:szCs w:val="18"/>
              </w:rPr>
            </w:pPr>
          </w:p>
        </w:tc>
        <w:tc>
          <w:tcPr>
            <w:tcW w:w="1070" w:type="dxa"/>
            <w:shd w:val="clear" w:color="auto" w:fill="FFFFFF"/>
            <w:vAlign w:val="center"/>
          </w:tcPr>
          <w:p w14:paraId="6AD1417F">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F0D2F2F">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4767B723">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20" w:type="dxa"/>
            <w:shd w:val="clear" w:color="auto" w:fill="FFFFFF"/>
            <w:vAlign w:val="center"/>
          </w:tcPr>
          <w:p w14:paraId="047F6ACB">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①预算资金分配依据是否充分；</w:t>
            </w:r>
            <w:r>
              <w:rPr>
                <w:rFonts w:eastAsia="仿宋_GB2312"/>
                <w:color w:val="000000"/>
                <w:kern w:val="0"/>
                <w:sz w:val="18"/>
                <w:szCs w:val="18"/>
              </w:rPr>
              <w:br w:type="textWrapping"/>
            </w:r>
            <w:r>
              <w:rPr>
                <w:rFonts w:eastAsia="仿宋_GB2312"/>
                <w:color w:val="000000"/>
                <w:kern w:val="0"/>
                <w:sz w:val="18"/>
                <w:szCs w:val="18"/>
              </w:rPr>
              <w:t>②资金分配额度是否合理，与项目单位或地方实际是否相适应。</w:t>
            </w:r>
          </w:p>
        </w:tc>
        <w:tc>
          <w:tcPr>
            <w:tcW w:w="1304" w:type="dxa"/>
            <w:shd w:val="clear" w:color="auto" w:fill="FFFFFF"/>
            <w:vAlign w:val="center"/>
          </w:tcPr>
          <w:p w14:paraId="425DC64A">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auto" w:fill="FFFFFF"/>
            <w:vAlign w:val="center"/>
          </w:tcPr>
          <w:p w14:paraId="5BC89D09">
            <w:pPr>
              <w:widowControl/>
              <w:spacing w:line="0" w:lineRule="atLeast"/>
              <w:jc w:val="center"/>
              <w:rPr>
                <w:rFonts w:hint="eastAsia" w:eastAsia="仿宋_GB2312"/>
                <w:b/>
                <w:bCs/>
                <w:color w:val="000000"/>
                <w:kern w:val="0"/>
                <w:sz w:val="18"/>
                <w:szCs w:val="18"/>
                <w:highlight w:val="none"/>
                <w:lang w:eastAsia="zh-CN"/>
              </w:rPr>
            </w:pPr>
            <w:r>
              <w:rPr>
                <w:rFonts w:hint="eastAsia" w:eastAsia="仿宋_GB2312"/>
                <w:b/>
                <w:bCs/>
                <w:color w:val="000000"/>
                <w:kern w:val="0"/>
                <w:sz w:val="18"/>
                <w:szCs w:val="18"/>
                <w:highlight w:val="none"/>
                <w:lang w:val="en-US" w:eastAsia="zh-CN"/>
              </w:rPr>
              <w:t>4</w:t>
            </w:r>
          </w:p>
        </w:tc>
      </w:tr>
      <w:tr w14:paraId="5AFC2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3" w:type="dxa"/>
            <w:vMerge w:val="restart"/>
            <w:shd w:val="clear" w:color="auto" w:fill="FFFFFF"/>
            <w:vAlign w:val="center"/>
          </w:tcPr>
          <w:p w14:paraId="72CA9EBD">
            <w:pPr>
              <w:spacing w:line="0" w:lineRule="atLeast"/>
              <w:jc w:val="center"/>
              <w:rPr>
                <w:rFonts w:eastAsia="仿宋_GB2312"/>
                <w:color w:val="000000"/>
                <w:kern w:val="0"/>
                <w:sz w:val="18"/>
                <w:szCs w:val="18"/>
              </w:rPr>
            </w:pPr>
          </w:p>
          <w:p w14:paraId="581297A8">
            <w:pPr>
              <w:spacing w:line="0" w:lineRule="atLeast"/>
              <w:jc w:val="center"/>
              <w:rPr>
                <w:rFonts w:eastAsia="仿宋_GB2312"/>
                <w:color w:val="000000"/>
                <w:kern w:val="0"/>
                <w:sz w:val="18"/>
                <w:szCs w:val="18"/>
              </w:rPr>
            </w:pPr>
          </w:p>
          <w:p w14:paraId="4AC19DE7">
            <w:pPr>
              <w:spacing w:line="0" w:lineRule="atLeast"/>
              <w:jc w:val="center"/>
              <w:rPr>
                <w:rFonts w:eastAsia="仿宋_GB2312"/>
                <w:color w:val="000000"/>
                <w:kern w:val="0"/>
                <w:sz w:val="18"/>
                <w:szCs w:val="18"/>
              </w:rPr>
            </w:pPr>
          </w:p>
          <w:p w14:paraId="27F758AD">
            <w:pPr>
              <w:spacing w:line="0" w:lineRule="atLeast"/>
              <w:jc w:val="center"/>
              <w:rPr>
                <w:rFonts w:eastAsia="仿宋_GB2312"/>
                <w:color w:val="000000"/>
                <w:kern w:val="0"/>
                <w:sz w:val="18"/>
                <w:szCs w:val="18"/>
              </w:rPr>
            </w:pPr>
          </w:p>
          <w:p w14:paraId="2ECF5A61">
            <w:pPr>
              <w:spacing w:line="0" w:lineRule="atLeast"/>
              <w:jc w:val="center"/>
              <w:rPr>
                <w:rFonts w:eastAsia="仿宋_GB2312"/>
                <w:color w:val="000000"/>
                <w:kern w:val="0"/>
                <w:sz w:val="18"/>
                <w:szCs w:val="18"/>
              </w:rPr>
            </w:pPr>
          </w:p>
          <w:p w14:paraId="7A0E3F39">
            <w:pPr>
              <w:spacing w:line="0" w:lineRule="atLeast"/>
              <w:jc w:val="center"/>
              <w:rPr>
                <w:rFonts w:eastAsia="仿宋_GB2312"/>
                <w:color w:val="000000"/>
                <w:kern w:val="0"/>
                <w:sz w:val="18"/>
                <w:szCs w:val="18"/>
              </w:rPr>
            </w:pPr>
          </w:p>
          <w:p w14:paraId="150BC701">
            <w:pPr>
              <w:spacing w:line="0" w:lineRule="atLeast"/>
              <w:jc w:val="center"/>
              <w:rPr>
                <w:rFonts w:eastAsia="仿宋_GB2312"/>
                <w:color w:val="000000"/>
                <w:kern w:val="0"/>
                <w:sz w:val="18"/>
                <w:szCs w:val="18"/>
              </w:rPr>
            </w:pPr>
          </w:p>
          <w:p w14:paraId="689ED989">
            <w:pPr>
              <w:spacing w:line="0" w:lineRule="atLeast"/>
              <w:jc w:val="center"/>
              <w:rPr>
                <w:rFonts w:eastAsia="仿宋_GB2312"/>
                <w:color w:val="000000"/>
                <w:kern w:val="0"/>
                <w:sz w:val="18"/>
                <w:szCs w:val="18"/>
              </w:rPr>
            </w:pPr>
          </w:p>
          <w:p w14:paraId="0700DE8D">
            <w:pPr>
              <w:spacing w:line="0" w:lineRule="atLeast"/>
              <w:jc w:val="center"/>
              <w:rPr>
                <w:rFonts w:eastAsia="仿宋_GB2312"/>
                <w:color w:val="000000"/>
                <w:kern w:val="0"/>
                <w:sz w:val="18"/>
                <w:szCs w:val="18"/>
              </w:rPr>
            </w:pPr>
          </w:p>
          <w:p w14:paraId="1D9EA8A4">
            <w:pPr>
              <w:spacing w:line="0" w:lineRule="atLeast"/>
              <w:jc w:val="center"/>
              <w:rPr>
                <w:rFonts w:eastAsia="仿宋_GB2312"/>
                <w:color w:val="000000"/>
                <w:kern w:val="0"/>
                <w:sz w:val="18"/>
                <w:szCs w:val="18"/>
              </w:rPr>
            </w:pPr>
          </w:p>
          <w:p w14:paraId="0FA96508">
            <w:pPr>
              <w:spacing w:line="0" w:lineRule="atLeast"/>
              <w:jc w:val="center"/>
              <w:rPr>
                <w:rFonts w:eastAsia="仿宋_GB2312"/>
                <w:color w:val="000000"/>
                <w:kern w:val="0"/>
                <w:sz w:val="18"/>
                <w:szCs w:val="18"/>
              </w:rPr>
            </w:pPr>
          </w:p>
          <w:p w14:paraId="23C2CE31">
            <w:pPr>
              <w:spacing w:line="0" w:lineRule="atLeast"/>
              <w:jc w:val="center"/>
              <w:rPr>
                <w:rFonts w:eastAsia="仿宋_GB2312"/>
                <w:color w:val="000000"/>
                <w:kern w:val="0"/>
                <w:sz w:val="18"/>
                <w:szCs w:val="18"/>
              </w:rPr>
            </w:pPr>
          </w:p>
          <w:p w14:paraId="54BC9E14">
            <w:pPr>
              <w:spacing w:line="0" w:lineRule="atLeast"/>
              <w:jc w:val="center"/>
              <w:rPr>
                <w:rFonts w:eastAsia="仿宋_GB2312"/>
                <w:color w:val="000000"/>
                <w:kern w:val="0"/>
                <w:sz w:val="18"/>
                <w:szCs w:val="18"/>
              </w:rPr>
            </w:pPr>
          </w:p>
          <w:p w14:paraId="2C29ED27">
            <w:pPr>
              <w:spacing w:line="0" w:lineRule="atLeast"/>
              <w:jc w:val="center"/>
              <w:rPr>
                <w:rFonts w:eastAsia="仿宋_GB2312"/>
                <w:color w:val="000000"/>
                <w:kern w:val="0"/>
                <w:sz w:val="18"/>
                <w:szCs w:val="18"/>
              </w:rPr>
            </w:pPr>
          </w:p>
          <w:p w14:paraId="036FB08E">
            <w:pPr>
              <w:spacing w:line="0" w:lineRule="atLeast"/>
              <w:jc w:val="center"/>
              <w:rPr>
                <w:rFonts w:eastAsia="仿宋_GB2312"/>
                <w:color w:val="000000"/>
                <w:kern w:val="0"/>
                <w:sz w:val="18"/>
                <w:szCs w:val="18"/>
              </w:rPr>
            </w:pPr>
          </w:p>
          <w:p w14:paraId="0C229FA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71345F9D">
            <w:pPr>
              <w:widowControl/>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999" w:type="dxa"/>
            <w:vMerge w:val="restart"/>
            <w:shd w:val="clear" w:color="auto" w:fill="FFFFFF"/>
            <w:vAlign w:val="center"/>
          </w:tcPr>
          <w:p w14:paraId="3B48C6A4">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0" w:type="dxa"/>
            <w:shd w:val="clear" w:color="auto" w:fill="FFFFFF"/>
            <w:vAlign w:val="center"/>
          </w:tcPr>
          <w:p w14:paraId="74DEF3C9">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76C48D7F">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20" w:type="dxa"/>
            <w:shd w:val="clear" w:color="000000" w:fill="FFFFFF"/>
            <w:vAlign w:val="center"/>
          </w:tcPr>
          <w:p w14:paraId="1C263C9F">
            <w:pPr>
              <w:widowControl/>
              <w:spacing w:line="0" w:lineRule="atLeast"/>
              <w:rPr>
                <w:rFonts w:eastAsia="仿宋_GB2312"/>
                <w:color w:val="000000"/>
                <w:kern w:val="0"/>
                <w:sz w:val="18"/>
                <w:szCs w:val="18"/>
              </w:rPr>
            </w:pPr>
            <w:r>
              <w:rPr>
                <w:rFonts w:eastAsia="仿宋_GB2312"/>
                <w:color w:val="000000"/>
                <w:kern w:val="0"/>
                <w:sz w:val="18"/>
                <w:szCs w:val="18"/>
              </w:rPr>
              <w:t>资金到位率=（实际到位资金/预算资金）×100%。</w:t>
            </w:r>
          </w:p>
          <w:p w14:paraId="16CF1D07">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2FF3AF21">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1304" w:type="dxa"/>
            <w:shd w:val="clear" w:color="000000" w:fill="FFFFFF"/>
            <w:vAlign w:val="center"/>
          </w:tcPr>
          <w:p w14:paraId="7A55A884">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000000" w:fill="FFFFFF"/>
            <w:vAlign w:val="center"/>
          </w:tcPr>
          <w:p w14:paraId="5A51F887">
            <w:pPr>
              <w:widowControl/>
              <w:spacing w:line="0" w:lineRule="atLeast"/>
              <w:jc w:val="center"/>
              <w:rPr>
                <w:rFonts w:hint="eastAsia" w:eastAsia="仿宋_GB2312"/>
                <w:b/>
                <w:bCs/>
                <w:color w:val="000000"/>
                <w:kern w:val="0"/>
                <w:sz w:val="18"/>
                <w:szCs w:val="18"/>
                <w:highlight w:val="none"/>
                <w:lang w:eastAsia="zh-CN"/>
              </w:rPr>
            </w:pPr>
            <w:r>
              <w:rPr>
                <w:rFonts w:hint="eastAsia" w:eastAsia="仿宋_GB2312"/>
                <w:b/>
                <w:bCs/>
                <w:color w:val="000000"/>
                <w:kern w:val="0"/>
                <w:sz w:val="18"/>
                <w:szCs w:val="18"/>
                <w:highlight w:val="none"/>
                <w:lang w:val="en-US" w:eastAsia="zh-CN"/>
              </w:rPr>
              <w:t>4</w:t>
            </w:r>
          </w:p>
        </w:tc>
      </w:tr>
      <w:tr w14:paraId="650B5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3" w:type="dxa"/>
            <w:vMerge w:val="continue"/>
            <w:shd w:val="clear" w:color="auto" w:fill="FFFFFF"/>
            <w:vAlign w:val="center"/>
          </w:tcPr>
          <w:p w14:paraId="421F4F70">
            <w:pPr>
              <w:spacing w:line="0" w:lineRule="atLeast"/>
              <w:jc w:val="center"/>
              <w:rPr>
                <w:rFonts w:eastAsia="仿宋_GB2312"/>
                <w:color w:val="000000"/>
                <w:kern w:val="0"/>
                <w:sz w:val="18"/>
                <w:szCs w:val="18"/>
              </w:rPr>
            </w:pPr>
          </w:p>
        </w:tc>
        <w:tc>
          <w:tcPr>
            <w:tcW w:w="999" w:type="dxa"/>
            <w:vMerge w:val="continue"/>
            <w:shd w:val="clear" w:color="auto" w:fill="FFFFFF"/>
            <w:vAlign w:val="center"/>
          </w:tcPr>
          <w:p w14:paraId="772C92CA">
            <w:pPr>
              <w:spacing w:line="0" w:lineRule="atLeast"/>
              <w:jc w:val="center"/>
              <w:rPr>
                <w:rFonts w:eastAsia="仿宋_GB2312"/>
                <w:color w:val="000000"/>
                <w:kern w:val="0"/>
                <w:sz w:val="18"/>
                <w:szCs w:val="18"/>
              </w:rPr>
            </w:pPr>
          </w:p>
        </w:tc>
        <w:tc>
          <w:tcPr>
            <w:tcW w:w="1070" w:type="dxa"/>
            <w:shd w:val="clear" w:color="auto" w:fill="FFFFFF"/>
            <w:vAlign w:val="center"/>
          </w:tcPr>
          <w:p w14:paraId="355DDD53">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7BACD789">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20" w:type="dxa"/>
            <w:shd w:val="clear" w:color="auto" w:fill="FFFFFF"/>
            <w:vAlign w:val="center"/>
          </w:tcPr>
          <w:p w14:paraId="0AE0AE4F">
            <w:pPr>
              <w:widowControl/>
              <w:spacing w:line="0" w:lineRule="atLeast"/>
              <w:rPr>
                <w:rFonts w:eastAsia="仿宋_GB2312"/>
                <w:color w:val="000000"/>
                <w:kern w:val="0"/>
                <w:sz w:val="18"/>
                <w:szCs w:val="18"/>
              </w:rPr>
            </w:pPr>
            <w:r>
              <w:rPr>
                <w:rFonts w:eastAsia="仿宋_GB2312"/>
                <w:color w:val="000000"/>
                <w:kern w:val="0"/>
                <w:sz w:val="18"/>
                <w:szCs w:val="18"/>
              </w:rPr>
              <w:t>预算执行率=（实际支出资金/实际到位资金）×100%。</w:t>
            </w:r>
            <w:r>
              <w:rPr>
                <w:rFonts w:eastAsia="仿宋_GB2312"/>
                <w:color w:val="000000"/>
                <w:kern w:val="0"/>
                <w:sz w:val="18"/>
                <w:szCs w:val="18"/>
              </w:rPr>
              <w:br w:type="textWrapping"/>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394CCFA5">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auto" w:fill="FFFFFF"/>
            <w:vAlign w:val="center"/>
          </w:tcPr>
          <w:p w14:paraId="19174F45">
            <w:pPr>
              <w:widowControl/>
              <w:spacing w:line="0" w:lineRule="atLeast"/>
              <w:jc w:val="center"/>
              <w:rPr>
                <w:rFonts w:hint="eastAsia" w:eastAsia="仿宋_GB2312"/>
                <w:b/>
                <w:bCs/>
                <w:color w:val="000000"/>
                <w:kern w:val="0"/>
                <w:sz w:val="18"/>
                <w:szCs w:val="18"/>
                <w:highlight w:val="none"/>
                <w:lang w:eastAsia="zh-CN"/>
              </w:rPr>
            </w:pPr>
            <w:r>
              <w:rPr>
                <w:rFonts w:hint="eastAsia" w:eastAsia="仿宋_GB2312"/>
                <w:b/>
                <w:bCs/>
                <w:color w:val="000000"/>
                <w:kern w:val="0"/>
                <w:sz w:val="18"/>
                <w:szCs w:val="18"/>
                <w:highlight w:val="none"/>
                <w:lang w:val="en-US" w:eastAsia="zh-CN"/>
              </w:rPr>
              <w:t>4</w:t>
            </w:r>
          </w:p>
        </w:tc>
      </w:tr>
      <w:tr w14:paraId="540C8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3" w:type="dxa"/>
            <w:vMerge w:val="continue"/>
            <w:shd w:val="clear" w:color="auto" w:fill="FFFFFF"/>
            <w:vAlign w:val="center"/>
          </w:tcPr>
          <w:p w14:paraId="3439B45C">
            <w:pPr>
              <w:spacing w:line="0" w:lineRule="atLeast"/>
              <w:jc w:val="center"/>
              <w:rPr>
                <w:rFonts w:eastAsia="仿宋_GB2312"/>
                <w:color w:val="000000"/>
                <w:kern w:val="0"/>
                <w:sz w:val="18"/>
                <w:szCs w:val="18"/>
              </w:rPr>
            </w:pPr>
          </w:p>
        </w:tc>
        <w:tc>
          <w:tcPr>
            <w:tcW w:w="999" w:type="dxa"/>
            <w:shd w:val="clear" w:color="auto" w:fill="FFFFFF"/>
            <w:vAlign w:val="center"/>
          </w:tcPr>
          <w:p w14:paraId="3C015C11">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0" w:type="dxa"/>
            <w:shd w:val="clear" w:color="auto" w:fill="FFFFFF"/>
            <w:vAlign w:val="center"/>
          </w:tcPr>
          <w:p w14:paraId="50C335F7">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0BF8329E">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1725" w:type="dxa"/>
            <w:shd w:val="clear" w:color="000000" w:fill="FFFFFF"/>
            <w:vAlign w:val="center"/>
          </w:tcPr>
          <w:p w14:paraId="44E787B1">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20" w:type="dxa"/>
            <w:shd w:val="clear" w:color="000000" w:fill="FFFFFF"/>
            <w:vAlign w:val="center"/>
          </w:tcPr>
          <w:p w14:paraId="7CBDF13A">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①是否符合国家财经法规和财务管理制度以及有关专项资金管理办法的规定；</w:t>
            </w:r>
            <w:r>
              <w:rPr>
                <w:rFonts w:eastAsia="仿宋_GB2312"/>
                <w:color w:val="000000"/>
                <w:kern w:val="0"/>
                <w:sz w:val="18"/>
                <w:szCs w:val="18"/>
              </w:rPr>
              <w:br w:type="textWrapping"/>
            </w:r>
            <w:r>
              <w:rPr>
                <w:rFonts w:eastAsia="仿宋_GB2312"/>
                <w:color w:val="000000"/>
                <w:kern w:val="0"/>
                <w:sz w:val="18"/>
                <w:szCs w:val="18"/>
              </w:rPr>
              <w:t>②资金的拨付是否有完整的审批程序和手续；</w:t>
            </w:r>
            <w:r>
              <w:rPr>
                <w:rFonts w:eastAsia="仿宋_GB2312"/>
                <w:color w:val="000000"/>
                <w:kern w:val="0"/>
                <w:sz w:val="18"/>
                <w:szCs w:val="18"/>
              </w:rPr>
              <w:br w:type="textWrapping"/>
            </w:r>
            <w:r>
              <w:rPr>
                <w:rFonts w:eastAsia="仿宋_GB2312"/>
                <w:color w:val="000000"/>
                <w:kern w:val="0"/>
                <w:sz w:val="18"/>
                <w:szCs w:val="18"/>
              </w:rPr>
              <w:t>③是否符合项目预算批复或合同规定的用途；</w:t>
            </w:r>
            <w:r>
              <w:rPr>
                <w:rFonts w:eastAsia="仿宋_GB2312"/>
                <w:color w:val="000000"/>
                <w:kern w:val="0"/>
                <w:sz w:val="18"/>
                <w:szCs w:val="18"/>
              </w:rPr>
              <w:br w:type="textWrapping"/>
            </w:r>
            <w:r>
              <w:rPr>
                <w:rFonts w:eastAsia="仿宋_GB2312"/>
                <w:color w:val="000000"/>
                <w:kern w:val="0"/>
                <w:sz w:val="18"/>
                <w:szCs w:val="18"/>
              </w:rPr>
              <w:t>④是否存在截留、挤占、挪用、虚列支出等情况。</w:t>
            </w:r>
          </w:p>
        </w:tc>
        <w:tc>
          <w:tcPr>
            <w:tcW w:w="1304" w:type="dxa"/>
            <w:shd w:val="clear" w:color="000000" w:fill="FFFFFF"/>
            <w:vAlign w:val="center"/>
          </w:tcPr>
          <w:p w14:paraId="33F63F13">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000000" w:fill="FFFFFF"/>
            <w:vAlign w:val="center"/>
          </w:tcPr>
          <w:p w14:paraId="10583F6C">
            <w:pPr>
              <w:widowControl/>
              <w:spacing w:line="0" w:lineRule="atLeast"/>
              <w:jc w:val="center"/>
              <w:rPr>
                <w:rFonts w:hint="eastAsia" w:eastAsia="仿宋_GB2312"/>
                <w:b/>
                <w:bCs/>
                <w:color w:val="000000"/>
                <w:kern w:val="0"/>
                <w:sz w:val="18"/>
                <w:szCs w:val="18"/>
                <w:highlight w:val="none"/>
                <w:lang w:eastAsia="zh-CN"/>
              </w:rPr>
            </w:pPr>
            <w:r>
              <w:rPr>
                <w:rFonts w:hint="eastAsia" w:eastAsia="仿宋_GB2312"/>
                <w:b/>
                <w:bCs/>
                <w:color w:val="000000"/>
                <w:kern w:val="0"/>
                <w:sz w:val="18"/>
                <w:szCs w:val="18"/>
                <w:highlight w:val="none"/>
                <w:lang w:val="en-US" w:eastAsia="zh-CN"/>
              </w:rPr>
              <w:t>4</w:t>
            </w:r>
          </w:p>
        </w:tc>
      </w:tr>
      <w:tr w14:paraId="0981A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3" w:type="dxa"/>
            <w:vMerge w:val="continue"/>
            <w:shd w:val="clear" w:color="auto" w:fill="FFFFFF"/>
            <w:vAlign w:val="center"/>
          </w:tcPr>
          <w:p w14:paraId="742E0DF4">
            <w:pPr>
              <w:spacing w:line="0" w:lineRule="atLeast"/>
              <w:jc w:val="center"/>
              <w:rPr>
                <w:rFonts w:eastAsia="仿宋_GB2312"/>
                <w:color w:val="000000"/>
                <w:kern w:val="0"/>
                <w:sz w:val="18"/>
                <w:szCs w:val="18"/>
              </w:rPr>
            </w:pPr>
          </w:p>
        </w:tc>
        <w:tc>
          <w:tcPr>
            <w:tcW w:w="999" w:type="dxa"/>
            <w:vMerge w:val="restart"/>
            <w:shd w:val="clear" w:color="auto" w:fill="FFFFFF"/>
            <w:vAlign w:val="center"/>
          </w:tcPr>
          <w:p w14:paraId="2ABF8B0C">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6AB2A57A">
            <w:pPr>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1070" w:type="dxa"/>
            <w:shd w:val="clear" w:color="auto" w:fill="FFFFFF"/>
            <w:vAlign w:val="center"/>
          </w:tcPr>
          <w:p w14:paraId="0FF25985">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435481C4">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2F0D61B5">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20" w:type="dxa"/>
            <w:shd w:val="clear" w:color="000000" w:fill="FFFFFF"/>
            <w:vAlign w:val="center"/>
          </w:tcPr>
          <w:p w14:paraId="0755F259">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①是否已制定或具有相应的财务和业务管理制度；</w:t>
            </w:r>
            <w:r>
              <w:rPr>
                <w:rFonts w:eastAsia="仿宋_GB2312"/>
                <w:color w:val="000000"/>
                <w:kern w:val="0"/>
                <w:sz w:val="18"/>
                <w:szCs w:val="18"/>
              </w:rPr>
              <w:br w:type="textWrapping"/>
            </w:r>
            <w:r>
              <w:rPr>
                <w:rFonts w:eastAsia="仿宋_GB2312"/>
                <w:color w:val="000000"/>
                <w:kern w:val="0"/>
                <w:sz w:val="18"/>
                <w:szCs w:val="18"/>
              </w:rPr>
              <w:t>②财务和业务管理制度是否合法、合规、完整。</w:t>
            </w:r>
          </w:p>
        </w:tc>
        <w:tc>
          <w:tcPr>
            <w:tcW w:w="1304" w:type="dxa"/>
            <w:shd w:val="clear" w:color="000000" w:fill="FFFFFF"/>
            <w:vAlign w:val="center"/>
          </w:tcPr>
          <w:p w14:paraId="3A4FE475">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000000" w:fill="FFFFFF"/>
            <w:vAlign w:val="center"/>
          </w:tcPr>
          <w:p w14:paraId="19117076">
            <w:pPr>
              <w:widowControl/>
              <w:spacing w:line="0" w:lineRule="atLeast"/>
              <w:jc w:val="center"/>
              <w:rPr>
                <w:rFonts w:hint="eastAsia" w:eastAsia="仿宋_GB2312"/>
                <w:b/>
                <w:bCs/>
                <w:color w:val="000000"/>
                <w:kern w:val="0"/>
                <w:sz w:val="18"/>
                <w:szCs w:val="18"/>
                <w:highlight w:val="none"/>
                <w:lang w:eastAsia="zh-CN"/>
              </w:rPr>
            </w:pPr>
            <w:r>
              <w:rPr>
                <w:rFonts w:hint="eastAsia" w:eastAsia="仿宋_GB2312"/>
                <w:b/>
                <w:bCs/>
                <w:color w:val="000000"/>
                <w:kern w:val="0"/>
                <w:sz w:val="18"/>
                <w:szCs w:val="18"/>
                <w:highlight w:val="none"/>
                <w:lang w:val="en-US" w:eastAsia="zh-CN"/>
              </w:rPr>
              <w:t>4</w:t>
            </w:r>
          </w:p>
        </w:tc>
      </w:tr>
      <w:tr w14:paraId="0F2D9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3" w:type="dxa"/>
            <w:vMerge w:val="continue"/>
            <w:shd w:val="clear" w:color="auto" w:fill="FFFFFF"/>
            <w:vAlign w:val="center"/>
          </w:tcPr>
          <w:p w14:paraId="4ADCA1E4">
            <w:pPr>
              <w:widowControl/>
              <w:spacing w:line="0" w:lineRule="atLeast"/>
              <w:jc w:val="center"/>
              <w:rPr>
                <w:rFonts w:eastAsia="仿宋_GB2312"/>
                <w:color w:val="000000"/>
                <w:kern w:val="0"/>
                <w:sz w:val="18"/>
                <w:szCs w:val="18"/>
              </w:rPr>
            </w:pPr>
          </w:p>
        </w:tc>
        <w:tc>
          <w:tcPr>
            <w:tcW w:w="999" w:type="dxa"/>
            <w:vMerge w:val="continue"/>
            <w:shd w:val="clear" w:color="auto" w:fill="FFFFFF"/>
            <w:vAlign w:val="center"/>
          </w:tcPr>
          <w:p w14:paraId="34B0BCEB">
            <w:pPr>
              <w:widowControl/>
              <w:spacing w:line="0" w:lineRule="atLeast"/>
              <w:jc w:val="center"/>
              <w:rPr>
                <w:rFonts w:eastAsia="仿宋_GB2312"/>
                <w:color w:val="000000"/>
                <w:kern w:val="0"/>
                <w:sz w:val="18"/>
                <w:szCs w:val="18"/>
              </w:rPr>
            </w:pPr>
          </w:p>
        </w:tc>
        <w:tc>
          <w:tcPr>
            <w:tcW w:w="1070" w:type="dxa"/>
            <w:shd w:val="clear" w:color="auto" w:fill="FFFFFF"/>
            <w:vAlign w:val="center"/>
          </w:tcPr>
          <w:p w14:paraId="0A1EE417">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40333C2E">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3D9D7058">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20" w:type="dxa"/>
            <w:shd w:val="clear" w:color="000000" w:fill="FFFFFF"/>
            <w:vAlign w:val="center"/>
          </w:tcPr>
          <w:p w14:paraId="3C585975">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ype="textWrapping"/>
            </w:r>
            <w:r>
              <w:rPr>
                <w:rFonts w:eastAsia="仿宋_GB2312"/>
                <w:color w:val="000000"/>
                <w:kern w:val="0"/>
                <w:sz w:val="18"/>
                <w:szCs w:val="18"/>
              </w:rPr>
              <w:t>①是否遵守相关法律法规和相关管理规定；</w:t>
            </w:r>
            <w:r>
              <w:rPr>
                <w:rFonts w:eastAsia="仿宋_GB2312"/>
                <w:color w:val="000000"/>
                <w:kern w:val="0"/>
                <w:sz w:val="18"/>
                <w:szCs w:val="18"/>
              </w:rPr>
              <w:br w:type="textWrapping"/>
            </w:r>
            <w:r>
              <w:rPr>
                <w:rFonts w:eastAsia="仿宋_GB2312"/>
                <w:color w:val="000000"/>
                <w:kern w:val="0"/>
                <w:sz w:val="18"/>
                <w:szCs w:val="18"/>
              </w:rPr>
              <w:t>②项目调整及支出调整手续是否完备；</w:t>
            </w:r>
            <w:r>
              <w:rPr>
                <w:rFonts w:eastAsia="仿宋_GB2312"/>
                <w:color w:val="000000"/>
                <w:kern w:val="0"/>
                <w:sz w:val="18"/>
                <w:szCs w:val="18"/>
              </w:rPr>
              <w:br w:type="textWrapping"/>
            </w:r>
            <w:r>
              <w:rPr>
                <w:rFonts w:eastAsia="仿宋_GB2312"/>
                <w:color w:val="000000"/>
                <w:kern w:val="0"/>
                <w:sz w:val="18"/>
                <w:szCs w:val="18"/>
              </w:rPr>
              <w:t>③项目合同书、验收报告、技术鉴定等资料是否齐全并及时归档；</w:t>
            </w:r>
            <w:r>
              <w:rPr>
                <w:rFonts w:eastAsia="仿宋_GB2312"/>
                <w:color w:val="000000"/>
                <w:kern w:val="0"/>
                <w:sz w:val="18"/>
                <w:szCs w:val="18"/>
              </w:rPr>
              <w:br w:type="textWrapping"/>
            </w:r>
            <w:r>
              <w:rPr>
                <w:rFonts w:eastAsia="仿宋_GB2312"/>
                <w:color w:val="000000"/>
                <w:kern w:val="0"/>
                <w:sz w:val="18"/>
                <w:szCs w:val="18"/>
              </w:rPr>
              <w:t>④项目实施的人员条件、场地设备、信息支撑等是否落实到位。</w:t>
            </w:r>
          </w:p>
        </w:tc>
        <w:tc>
          <w:tcPr>
            <w:tcW w:w="1304" w:type="dxa"/>
            <w:shd w:val="clear" w:color="000000" w:fill="FFFFFF"/>
            <w:vAlign w:val="center"/>
          </w:tcPr>
          <w:p w14:paraId="0D72BABD">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2" w:type="dxa"/>
            <w:shd w:val="clear" w:color="000000" w:fill="FFFFFF"/>
            <w:vAlign w:val="center"/>
          </w:tcPr>
          <w:p w14:paraId="4FBE99A0">
            <w:pPr>
              <w:widowControl/>
              <w:spacing w:line="0" w:lineRule="atLeast"/>
              <w:jc w:val="center"/>
              <w:rPr>
                <w:rFonts w:hint="eastAsia" w:eastAsia="仿宋_GB2312"/>
                <w:b/>
                <w:bCs/>
                <w:color w:val="000000"/>
                <w:kern w:val="0"/>
                <w:sz w:val="18"/>
                <w:szCs w:val="18"/>
                <w:highlight w:val="none"/>
                <w:lang w:eastAsia="zh-CN"/>
              </w:rPr>
            </w:pPr>
            <w:r>
              <w:rPr>
                <w:rFonts w:hint="eastAsia" w:eastAsia="仿宋_GB2312"/>
                <w:b/>
                <w:bCs/>
                <w:color w:val="000000"/>
                <w:kern w:val="0"/>
                <w:sz w:val="18"/>
                <w:szCs w:val="18"/>
                <w:highlight w:val="none"/>
                <w:lang w:val="en-US" w:eastAsia="zh-CN"/>
              </w:rPr>
              <w:t>4</w:t>
            </w:r>
          </w:p>
        </w:tc>
      </w:tr>
      <w:tr w14:paraId="2E1E5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3" w:type="dxa"/>
            <w:vMerge w:val="restart"/>
            <w:shd w:val="clear" w:color="auto" w:fill="FFFFFF"/>
            <w:vAlign w:val="center"/>
          </w:tcPr>
          <w:p w14:paraId="604436F7">
            <w:pPr>
              <w:widowControl/>
              <w:spacing w:line="0" w:lineRule="atLeast"/>
              <w:jc w:val="center"/>
              <w:rPr>
                <w:rFonts w:eastAsia="仿宋_GB2312"/>
                <w:color w:val="000000"/>
                <w:kern w:val="0"/>
                <w:sz w:val="18"/>
                <w:szCs w:val="18"/>
              </w:rPr>
            </w:pPr>
            <w:r>
              <w:rPr>
                <w:rFonts w:eastAsia="仿宋_GB2312"/>
                <w:color w:val="000000"/>
                <w:kern w:val="0"/>
                <w:sz w:val="18"/>
                <w:szCs w:val="18"/>
              </w:rPr>
              <w:t>产出</w:t>
            </w:r>
          </w:p>
        </w:tc>
        <w:tc>
          <w:tcPr>
            <w:tcW w:w="999" w:type="dxa"/>
            <w:shd w:val="clear" w:color="auto" w:fill="FFFFFF"/>
            <w:vAlign w:val="center"/>
          </w:tcPr>
          <w:p w14:paraId="48FDEF6B">
            <w:pPr>
              <w:widowControl/>
              <w:spacing w:line="0" w:lineRule="atLeast"/>
              <w:jc w:val="center"/>
              <w:rPr>
                <w:rFonts w:eastAsia="仿宋_GB2312"/>
                <w:color w:val="000000"/>
                <w:kern w:val="0"/>
                <w:sz w:val="18"/>
                <w:szCs w:val="18"/>
                <w:highlight w:val="none"/>
              </w:rPr>
            </w:pPr>
            <w:r>
              <w:rPr>
                <w:rFonts w:eastAsia="仿宋_GB2312"/>
                <w:color w:val="000000"/>
                <w:kern w:val="0"/>
                <w:sz w:val="18"/>
                <w:szCs w:val="18"/>
                <w:highlight w:val="none"/>
              </w:rPr>
              <w:t>产出数量</w:t>
            </w:r>
          </w:p>
        </w:tc>
        <w:tc>
          <w:tcPr>
            <w:tcW w:w="1070" w:type="dxa"/>
            <w:shd w:val="clear" w:color="auto" w:fill="FFFFFF"/>
            <w:vAlign w:val="center"/>
          </w:tcPr>
          <w:p w14:paraId="072587E7">
            <w:pPr>
              <w:widowControl/>
              <w:spacing w:line="0" w:lineRule="atLeast"/>
              <w:jc w:val="center"/>
              <w:rPr>
                <w:rFonts w:eastAsia="仿宋_GB2312"/>
                <w:color w:val="000000"/>
                <w:kern w:val="0"/>
                <w:sz w:val="18"/>
                <w:szCs w:val="18"/>
                <w:highlight w:val="none"/>
              </w:rPr>
            </w:pPr>
            <w:r>
              <w:rPr>
                <w:rFonts w:eastAsia="仿宋_GB2312"/>
                <w:color w:val="000000"/>
                <w:kern w:val="0"/>
                <w:sz w:val="18"/>
                <w:szCs w:val="18"/>
                <w:highlight w:val="none"/>
              </w:rPr>
              <w:t>实际完成率</w:t>
            </w:r>
          </w:p>
        </w:tc>
        <w:tc>
          <w:tcPr>
            <w:tcW w:w="1725" w:type="dxa"/>
            <w:shd w:val="clear" w:color="000000" w:fill="FFFFFF"/>
            <w:vAlign w:val="center"/>
          </w:tcPr>
          <w:p w14:paraId="2B8AA01B">
            <w:pPr>
              <w:widowControl/>
              <w:spacing w:line="0" w:lineRule="atLeast"/>
              <w:rPr>
                <w:rFonts w:eastAsia="仿宋_GB2312"/>
                <w:color w:val="000000"/>
                <w:kern w:val="0"/>
                <w:sz w:val="18"/>
                <w:szCs w:val="18"/>
                <w:highlight w:val="none"/>
              </w:rPr>
            </w:pPr>
            <w:r>
              <w:rPr>
                <w:rFonts w:eastAsia="仿宋_GB2312"/>
                <w:color w:val="000000"/>
                <w:kern w:val="0"/>
                <w:sz w:val="18"/>
                <w:szCs w:val="18"/>
                <w:highlight w:val="none"/>
              </w:rPr>
              <w:t>项目实施的实际产出数与计划产出数的比率，用以反映和考核项目产出数量目标的实现程度。</w:t>
            </w:r>
          </w:p>
        </w:tc>
        <w:tc>
          <w:tcPr>
            <w:tcW w:w="5220" w:type="dxa"/>
            <w:shd w:val="clear" w:color="000000" w:fill="FFFFFF"/>
            <w:vAlign w:val="center"/>
          </w:tcPr>
          <w:p w14:paraId="475FCA56">
            <w:pPr>
              <w:widowControl/>
              <w:spacing w:line="0" w:lineRule="atLeast"/>
              <w:rPr>
                <w:rFonts w:eastAsia="仿宋_GB2312"/>
                <w:color w:val="000000"/>
                <w:kern w:val="0"/>
                <w:sz w:val="18"/>
                <w:szCs w:val="18"/>
                <w:highlight w:val="none"/>
              </w:rPr>
            </w:pPr>
            <w:r>
              <w:rPr>
                <w:rFonts w:eastAsia="仿宋_GB2312"/>
                <w:color w:val="000000"/>
                <w:kern w:val="0"/>
                <w:sz w:val="18"/>
                <w:szCs w:val="18"/>
                <w:highlight w:val="none"/>
              </w:rPr>
              <w:t>实际完成率=（实际产出数/计划产出数）×100%。</w:t>
            </w:r>
            <w:r>
              <w:rPr>
                <w:rFonts w:eastAsia="仿宋_GB2312"/>
                <w:color w:val="000000"/>
                <w:kern w:val="0"/>
                <w:sz w:val="18"/>
                <w:szCs w:val="18"/>
                <w:highlight w:val="none"/>
              </w:rPr>
              <w:br w:type="textWrapping"/>
            </w:r>
            <w:r>
              <w:rPr>
                <w:rFonts w:eastAsia="仿宋_GB2312"/>
                <w:color w:val="000000"/>
                <w:kern w:val="0"/>
                <w:sz w:val="18"/>
                <w:szCs w:val="18"/>
                <w:highlight w:val="none"/>
              </w:rPr>
              <w:t>实际产出数：一定时期（本年度或项目期）内项目实际产出的产品或提供的服务数量。</w:t>
            </w:r>
            <w:r>
              <w:rPr>
                <w:rFonts w:eastAsia="仿宋_GB2312"/>
                <w:color w:val="000000"/>
                <w:kern w:val="0"/>
                <w:sz w:val="18"/>
                <w:szCs w:val="18"/>
                <w:highlight w:val="none"/>
              </w:rPr>
              <w:br w:type="textWrapping"/>
            </w:r>
            <w:r>
              <w:rPr>
                <w:rFonts w:eastAsia="仿宋_GB2312"/>
                <w:color w:val="000000"/>
                <w:kern w:val="0"/>
                <w:sz w:val="18"/>
                <w:szCs w:val="18"/>
                <w:highlight w:val="none"/>
              </w:rPr>
              <w:t>计划产出数：项目绩效目标确定的在一定时期（本年度或项目期）内计划产出的产品或提供的服务数量。</w:t>
            </w:r>
          </w:p>
        </w:tc>
        <w:tc>
          <w:tcPr>
            <w:tcW w:w="1304" w:type="dxa"/>
            <w:shd w:val="clear" w:color="000000" w:fill="FFFFFF"/>
            <w:vAlign w:val="center"/>
          </w:tcPr>
          <w:p w14:paraId="195C1E2A">
            <w:pPr>
              <w:widowControl/>
              <w:spacing w:line="0" w:lineRule="atLeast"/>
              <w:jc w:val="center"/>
              <w:rPr>
                <w:rFonts w:eastAsia="仿宋_GB2312"/>
                <w:b/>
                <w:bCs/>
                <w:color w:val="000000"/>
                <w:kern w:val="0"/>
                <w:sz w:val="18"/>
                <w:szCs w:val="18"/>
                <w:highlight w:val="none"/>
              </w:rPr>
            </w:pPr>
            <w:r>
              <w:rPr>
                <w:rFonts w:eastAsia="仿宋_GB2312"/>
                <w:b/>
                <w:bCs/>
                <w:color w:val="000000"/>
                <w:kern w:val="0"/>
                <w:sz w:val="18"/>
                <w:szCs w:val="18"/>
                <w:highlight w:val="none"/>
              </w:rPr>
              <w:t>10</w:t>
            </w:r>
          </w:p>
        </w:tc>
        <w:tc>
          <w:tcPr>
            <w:tcW w:w="1362" w:type="dxa"/>
            <w:shd w:val="clear" w:color="000000" w:fill="FFFFFF"/>
            <w:vAlign w:val="center"/>
          </w:tcPr>
          <w:p w14:paraId="5AB124FA">
            <w:pPr>
              <w:widowControl/>
              <w:spacing w:line="0" w:lineRule="atLeast"/>
              <w:jc w:val="center"/>
              <w:rPr>
                <w:rFonts w:hint="default" w:eastAsia="仿宋_GB2312"/>
                <w:b/>
                <w:bCs/>
                <w:color w:val="000000"/>
                <w:kern w:val="0"/>
                <w:sz w:val="18"/>
                <w:szCs w:val="18"/>
                <w:highlight w:val="none"/>
                <w:lang w:val="en-US" w:eastAsia="zh-CN"/>
              </w:rPr>
            </w:pPr>
            <w:r>
              <w:rPr>
                <w:rFonts w:hint="eastAsia" w:eastAsia="仿宋_GB2312"/>
                <w:b/>
                <w:bCs/>
                <w:color w:val="000000"/>
                <w:kern w:val="0"/>
                <w:sz w:val="18"/>
                <w:szCs w:val="18"/>
                <w:highlight w:val="none"/>
                <w:lang w:val="en-US" w:eastAsia="zh-CN"/>
              </w:rPr>
              <w:t>10</w:t>
            </w:r>
          </w:p>
        </w:tc>
      </w:tr>
      <w:tr w14:paraId="02496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3" w:type="dxa"/>
            <w:vMerge w:val="continue"/>
            <w:shd w:val="clear" w:color="auto" w:fill="FFFFFF"/>
            <w:vAlign w:val="center"/>
          </w:tcPr>
          <w:p w14:paraId="584F44A6">
            <w:pPr>
              <w:widowControl/>
              <w:spacing w:line="0" w:lineRule="atLeast"/>
              <w:jc w:val="center"/>
              <w:rPr>
                <w:rFonts w:eastAsia="仿宋_GB2312"/>
                <w:color w:val="000000"/>
                <w:kern w:val="0"/>
                <w:sz w:val="18"/>
                <w:szCs w:val="18"/>
              </w:rPr>
            </w:pPr>
          </w:p>
        </w:tc>
        <w:tc>
          <w:tcPr>
            <w:tcW w:w="999" w:type="dxa"/>
            <w:shd w:val="clear" w:color="auto" w:fill="FFFFFF"/>
            <w:vAlign w:val="center"/>
          </w:tcPr>
          <w:p w14:paraId="66EB7713">
            <w:pPr>
              <w:widowControl/>
              <w:spacing w:line="0" w:lineRule="atLeast"/>
              <w:jc w:val="center"/>
              <w:rPr>
                <w:rFonts w:eastAsia="仿宋_GB2312"/>
                <w:color w:val="000000"/>
                <w:kern w:val="0"/>
                <w:sz w:val="18"/>
                <w:szCs w:val="18"/>
                <w:highlight w:val="none"/>
              </w:rPr>
            </w:pPr>
            <w:r>
              <w:rPr>
                <w:rFonts w:eastAsia="仿宋_GB2312"/>
                <w:color w:val="000000"/>
                <w:kern w:val="0"/>
                <w:sz w:val="18"/>
                <w:szCs w:val="18"/>
                <w:highlight w:val="none"/>
              </w:rPr>
              <w:t>产出质量</w:t>
            </w:r>
          </w:p>
        </w:tc>
        <w:tc>
          <w:tcPr>
            <w:tcW w:w="1070" w:type="dxa"/>
            <w:shd w:val="clear" w:color="auto" w:fill="FFFFFF"/>
            <w:vAlign w:val="center"/>
          </w:tcPr>
          <w:p w14:paraId="0DCAB953">
            <w:pPr>
              <w:widowControl/>
              <w:spacing w:line="0" w:lineRule="atLeast"/>
              <w:jc w:val="center"/>
              <w:rPr>
                <w:rFonts w:eastAsia="仿宋_GB2312"/>
                <w:color w:val="000000"/>
                <w:kern w:val="0"/>
                <w:sz w:val="18"/>
                <w:szCs w:val="18"/>
                <w:highlight w:val="none"/>
              </w:rPr>
            </w:pPr>
            <w:r>
              <w:rPr>
                <w:rFonts w:eastAsia="仿宋_GB2312"/>
                <w:color w:val="000000"/>
                <w:kern w:val="0"/>
                <w:sz w:val="18"/>
                <w:szCs w:val="18"/>
                <w:highlight w:val="none"/>
              </w:rPr>
              <w:t>质量达标率</w:t>
            </w:r>
          </w:p>
        </w:tc>
        <w:tc>
          <w:tcPr>
            <w:tcW w:w="1725" w:type="dxa"/>
            <w:shd w:val="clear" w:color="000000" w:fill="FFFFFF"/>
            <w:vAlign w:val="center"/>
          </w:tcPr>
          <w:p w14:paraId="1EA0F5CB">
            <w:pPr>
              <w:widowControl/>
              <w:spacing w:line="0" w:lineRule="atLeast"/>
              <w:rPr>
                <w:rFonts w:eastAsia="仿宋_GB2312"/>
                <w:color w:val="000000"/>
                <w:kern w:val="0"/>
                <w:sz w:val="18"/>
                <w:szCs w:val="18"/>
                <w:highlight w:val="none"/>
              </w:rPr>
            </w:pPr>
            <w:r>
              <w:rPr>
                <w:rFonts w:eastAsia="仿宋_GB2312"/>
                <w:color w:val="000000"/>
                <w:kern w:val="0"/>
                <w:sz w:val="18"/>
                <w:szCs w:val="18"/>
                <w:highlight w:val="none"/>
              </w:rPr>
              <w:t>项目完成的质量达标产出数与实际产出数的比率，用以反映和考核项目产出质量目标的实现程度。</w:t>
            </w:r>
          </w:p>
        </w:tc>
        <w:tc>
          <w:tcPr>
            <w:tcW w:w="5220" w:type="dxa"/>
            <w:shd w:val="clear" w:color="000000" w:fill="FFFFFF"/>
            <w:vAlign w:val="center"/>
          </w:tcPr>
          <w:p w14:paraId="4C7ED7B1">
            <w:pPr>
              <w:widowControl/>
              <w:spacing w:line="0" w:lineRule="atLeast"/>
              <w:rPr>
                <w:rFonts w:eastAsia="仿宋_GB2312"/>
                <w:color w:val="000000"/>
                <w:kern w:val="0"/>
                <w:sz w:val="18"/>
                <w:szCs w:val="18"/>
                <w:highlight w:val="none"/>
              </w:rPr>
            </w:pPr>
            <w:r>
              <w:rPr>
                <w:rFonts w:eastAsia="仿宋_GB2312"/>
                <w:color w:val="000000"/>
                <w:kern w:val="0"/>
                <w:sz w:val="18"/>
                <w:szCs w:val="18"/>
                <w:highlight w:val="none"/>
              </w:rPr>
              <w:t>质量达标率=（质量达标产出数/实际产出数）×100%。</w:t>
            </w:r>
          </w:p>
          <w:p w14:paraId="6A21F6B7">
            <w:pPr>
              <w:widowControl/>
              <w:spacing w:line="0" w:lineRule="atLeast"/>
              <w:rPr>
                <w:rFonts w:eastAsia="仿宋_GB2312"/>
                <w:color w:val="000000"/>
                <w:kern w:val="0"/>
                <w:sz w:val="18"/>
                <w:szCs w:val="18"/>
                <w:highlight w:val="none"/>
              </w:rPr>
            </w:pPr>
            <w:r>
              <w:rPr>
                <w:rFonts w:eastAsia="仿宋_GB2312"/>
                <w:color w:val="000000"/>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0E263D0F">
            <w:pPr>
              <w:widowControl/>
              <w:spacing w:line="0" w:lineRule="atLeast"/>
              <w:jc w:val="center"/>
              <w:rPr>
                <w:rFonts w:eastAsia="仿宋_GB2312"/>
                <w:b/>
                <w:bCs/>
                <w:color w:val="000000"/>
                <w:kern w:val="0"/>
                <w:sz w:val="18"/>
                <w:szCs w:val="18"/>
                <w:highlight w:val="none"/>
              </w:rPr>
            </w:pPr>
            <w:r>
              <w:rPr>
                <w:rFonts w:eastAsia="仿宋_GB2312"/>
                <w:b/>
                <w:bCs/>
                <w:color w:val="000000"/>
                <w:kern w:val="0"/>
                <w:sz w:val="18"/>
                <w:szCs w:val="18"/>
                <w:highlight w:val="none"/>
              </w:rPr>
              <w:t>10</w:t>
            </w:r>
          </w:p>
        </w:tc>
        <w:tc>
          <w:tcPr>
            <w:tcW w:w="1362" w:type="dxa"/>
            <w:shd w:val="clear" w:color="000000" w:fill="FFFFFF"/>
            <w:vAlign w:val="center"/>
          </w:tcPr>
          <w:p w14:paraId="00580849">
            <w:pPr>
              <w:widowControl/>
              <w:spacing w:line="0" w:lineRule="atLeast"/>
              <w:jc w:val="center"/>
              <w:rPr>
                <w:rFonts w:hint="default" w:eastAsia="仿宋_GB2312"/>
                <w:b/>
                <w:bCs/>
                <w:color w:val="000000"/>
                <w:kern w:val="0"/>
                <w:sz w:val="18"/>
                <w:szCs w:val="18"/>
                <w:highlight w:val="none"/>
                <w:lang w:val="en-US" w:eastAsia="zh-CN"/>
              </w:rPr>
            </w:pPr>
            <w:r>
              <w:rPr>
                <w:rFonts w:hint="eastAsia" w:eastAsia="仿宋_GB2312"/>
                <w:b/>
                <w:bCs/>
                <w:color w:val="000000"/>
                <w:kern w:val="0"/>
                <w:sz w:val="18"/>
                <w:szCs w:val="18"/>
                <w:highlight w:val="none"/>
                <w:lang w:val="en-US" w:eastAsia="zh-CN"/>
              </w:rPr>
              <w:t>10</w:t>
            </w:r>
          </w:p>
        </w:tc>
      </w:tr>
      <w:tr w14:paraId="2F0E4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3" w:type="dxa"/>
            <w:vMerge w:val="continue"/>
            <w:shd w:val="clear" w:color="auto" w:fill="FFFFFF"/>
            <w:vAlign w:val="center"/>
          </w:tcPr>
          <w:p w14:paraId="0B8684F2">
            <w:pPr>
              <w:spacing w:line="0" w:lineRule="atLeast"/>
              <w:jc w:val="center"/>
              <w:rPr>
                <w:rFonts w:eastAsia="仿宋_GB2312"/>
                <w:color w:val="000000"/>
                <w:kern w:val="0"/>
                <w:sz w:val="18"/>
                <w:szCs w:val="18"/>
              </w:rPr>
            </w:pPr>
          </w:p>
        </w:tc>
        <w:tc>
          <w:tcPr>
            <w:tcW w:w="999" w:type="dxa"/>
            <w:shd w:val="clear" w:color="auto" w:fill="FFFFFF"/>
            <w:vAlign w:val="center"/>
          </w:tcPr>
          <w:p w14:paraId="1D609C76">
            <w:pPr>
              <w:spacing w:line="0" w:lineRule="atLeast"/>
              <w:jc w:val="center"/>
              <w:rPr>
                <w:rFonts w:eastAsia="仿宋_GB2312"/>
                <w:color w:val="000000"/>
                <w:kern w:val="0"/>
                <w:sz w:val="18"/>
                <w:szCs w:val="18"/>
                <w:highlight w:val="none"/>
              </w:rPr>
            </w:pPr>
            <w:r>
              <w:rPr>
                <w:rFonts w:eastAsia="仿宋_GB2312"/>
                <w:color w:val="000000"/>
                <w:kern w:val="0"/>
                <w:sz w:val="18"/>
                <w:szCs w:val="18"/>
                <w:highlight w:val="none"/>
              </w:rPr>
              <w:t>产出时效</w:t>
            </w:r>
          </w:p>
        </w:tc>
        <w:tc>
          <w:tcPr>
            <w:tcW w:w="1070" w:type="dxa"/>
            <w:shd w:val="clear" w:color="auto" w:fill="FFFFFF"/>
            <w:vAlign w:val="center"/>
          </w:tcPr>
          <w:p w14:paraId="7C2F2E40">
            <w:pPr>
              <w:widowControl/>
              <w:spacing w:line="0" w:lineRule="atLeast"/>
              <w:jc w:val="center"/>
              <w:rPr>
                <w:rFonts w:eastAsia="仿宋_GB2312"/>
                <w:color w:val="000000"/>
                <w:kern w:val="0"/>
                <w:sz w:val="18"/>
                <w:szCs w:val="18"/>
                <w:highlight w:val="none"/>
              </w:rPr>
            </w:pPr>
            <w:r>
              <w:rPr>
                <w:rFonts w:eastAsia="仿宋_GB2312"/>
                <w:color w:val="000000"/>
                <w:kern w:val="0"/>
                <w:sz w:val="18"/>
                <w:szCs w:val="18"/>
                <w:highlight w:val="none"/>
              </w:rPr>
              <w:t>完成及时性</w:t>
            </w:r>
          </w:p>
        </w:tc>
        <w:tc>
          <w:tcPr>
            <w:tcW w:w="1725" w:type="dxa"/>
            <w:shd w:val="clear" w:color="000000" w:fill="FFFFFF"/>
            <w:vAlign w:val="center"/>
          </w:tcPr>
          <w:p w14:paraId="570553CF">
            <w:pPr>
              <w:widowControl/>
              <w:spacing w:line="0" w:lineRule="atLeast"/>
              <w:rPr>
                <w:rFonts w:eastAsia="仿宋_GB2312"/>
                <w:color w:val="000000"/>
                <w:kern w:val="0"/>
                <w:sz w:val="18"/>
                <w:szCs w:val="18"/>
                <w:highlight w:val="none"/>
              </w:rPr>
            </w:pPr>
            <w:r>
              <w:rPr>
                <w:rFonts w:eastAsia="仿宋_GB2312"/>
                <w:color w:val="000000"/>
                <w:kern w:val="0"/>
                <w:sz w:val="18"/>
                <w:szCs w:val="18"/>
                <w:highlight w:val="none"/>
              </w:rPr>
              <w:t>项目实际完成时间与计划完成时间的比较，用以反映和考核项目产出时效目标的实现程度。</w:t>
            </w:r>
          </w:p>
        </w:tc>
        <w:tc>
          <w:tcPr>
            <w:tcW w:w="5220" w:type="dxa"/>
            <w:shd w:val="clear" w:color="000000" w:fill="FFFFFF"/>
            <w:vAlign w:val="center"/>
          </w:tcPr>
          <w:p w14:paraId="44772ED7">
            <w:pPr>
              <w:widowControl/>
              <w:spacing w:line="0" w:lineRule="atLeast"/>
              <w:rPr>
                <w:rFonts w:eastAsia="仿宋_GB2312"/>
                <w:color w:val="000000"/>
                <w:kern w:val="0"/>
                <w:sz w:val="18"/>
                <w:szCs w:val="18"/>
                <w:highlight w:val="none"/>
              </w:rPr>
            </w:pPr>
            <w:r>
              <w:rPr>
                <w:rFonts w:eastAsia="仿宋_GB2312"/>
                <w:color w:val="000000"/>
                <w:kern w:val="0"/>
                <w:sz w:val="18"/>
                <w:szCs w:val="18"/>
                <w:highlight w:val="none"/>
              </w:rPr>
              <w:t>实际完成时间：项目实施单位完成该项目实际所耗用的时间。</w:t>
            </w:r>
            <w:r>
              <w:rPr>
                <w:rFonts w:eastAsia="仿宋_GB2312"/>
                <w:color w:val="000000"/>
                <w:kern w:val="0"/>
                <w:sz w:val="18"/>
                <w:szCs w:val="18"/>
                <w:highlight w:val="none"/>
              </w:rPr>
              <w:br w:type="textWrapping"/>
            </w:r>
            <w:r>
              <w:rPr>
                <w:rFonts w:eastAsia="仿宋_GB2312"/>
                <w:color w:val="000000"/>
                <w:kern w:val="0"/>
                <w:sz w:val="18"/>
                <w:szCs w:val="18"/>
                <w:highlight w:val="none"/>
              </w:rPr>
              <w:t>计划完成时间：按照项目实施计划或相关规定完成该项目所需的时间。</w:t>
            </w:r>
          </w:p>
        </w:tc>
        <w:tc>
          <w:tcPr>
            <w:tcW w:w="1304" w:type="dxa"/>
            <w:shd w:val="clear" w:color="000000" w:fill="FFFFFF"/>
            <w:vAlign w:val="center"/>
          </w:tcPr>
          <w:p w14:paraId="40DF2C56">
            <w:pPr>
              <w:widowControl/>
              <w:spacing w:line="0" w:lineRule="atLeast"/>
              <w:jc w:val="center"/>
              <w:rPr>
                <w:rFonts w:eastAsia="仿宋_GB2312"/>
                <w:b/>
                <w:bCs/>
                <w:color w:val="000000"/>
                <w:kern w:val="0"/>
                <w:sz w:val="18"/>
                <w:szCs w:val="18"/>
                <w:highlight w:val="none"/>
              </w:rPr>
            </w:pPr>
            <w:r>
              <w:rPr>
                <w:rFonts w:eastAsia="仿宋_GB2312"/>
                <w:b/>
                <w:bCs/>
                <w:color w:val="000000"/>
                <w:kern w:val="0"/>
                <w:sz w:val="18"/>
                <w:szCs w:val="18"/>
                <w:highlight w:val="none"/>
              </w:rPr>
              <w:t>10</w:t>
            </w:r>
          </w:p>
        </w:tc>
        <w:tc>
          <w:tcPr>
            <w:tcW w:w="1362" w:type="dxa"/>
            <w:shd w:val="clear" w:color="000000" w:fill="FFFFFF"/>
            <w:vAlign w:val="center"/>
          </w:tcPr>
          <w:p w14:paraId="1075DD0C">
            <w:pPr>
              <w:widowControl/>
              <w:spacing w:line="0" w:lineRule="atLeast"/>
              <w:jc w:val="center"/>
              <w:rPr>
                <w:rFonts w:hint="default" w:eastAsia="仿宋_GB2312"/>
                <w:b/>
                <w:bCs/>
                <w:color w:val="000000"/>
                <w:kern w:val="0"/>
                <w:sz w:val="18"/>
                <w:szCs w:val="18"/>
                <w:highlight w:val="none"/>
                <w:lang w:val="en-US" w:eastAsia="zh-CN"/>
              </w:rPr>
            </w:pPr>
            <w:r>
              <w:rPr>
                <w:rFonts w:hint="eastAsia" w:eastAsia="仿宋_GB2312"/>
                <w:b/>
                <w:bCs/>
                <w:color w:val="000000"/>
                <w:kern w:val="0"/>
                <w:sz w:val="18"/>
                <w:szCs w:val="18"/>
                <w:highlight w:val="none"/>
                <w:lang w:val="en-US" w:eastAsia="zh-CN"/>
              </w:rPr>
              <w:t>10</w:t>
            </w:r>
          </w:p>
        </w:tc>
      </w:tr>
      <w:tr w14:paraId="21336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3" w:type="dxa"/>
            <w:vMerge w:val="continue"/>
            <w:shd w:val="clear" w:color="auto" w:fill="FFFFFF"/>
            <w:vAlign w:val="center"/>
          </w:tcPr>
          <w:p w14:paraId="76826FDD">
            <w:pPr>
              <w:widowControl/>
              <w:spacing w:line="0" w:lineRule="atLeast"/>
              <w:jc w:val="center"/>
              <w:rPr>
                <w:rFonts w:eastAsia="仿宋_GB2312"/>
                <w:color w:val="000000"/>
                <w:kern w:val="0"/>
                <w:sz w:val="18"/>
                <w:szCs w:val="18"/>
              </w:rPr>
            </w:pPr>
          </w:p>
        </w:tc>
        <w:tc>
          <w:tcPr>
            <w:tcW w:w="999" w:type="dxa"/>
            <w:shd w:val="clear" w:color="auto" w:fill="FFFFFF"/>
            <w:vAlign w:val="center"/>
          </w:tcPr>
          <w:p w14:paraId="12CCEBCB">
            <w:pPr>
              <w:widowControl/>
              <w:spacing w:line="0" w:lineRule="atLeast"/>
              <w:jc w:val="center"/>
              <w:rPr>
                <w:rFonts w:eastAsia="仿宋_GB2312"/>
                <w:color w:val="000000"/>
                <w:kern w:val="0"/>
                <w:sz w:val="18"/>
                <w:szCs w:val="18"/>
                <w:highlight w:val="none"/>
              </w:rPr>
            </w:pPr>
            <w:r>
              <w:rPr>
                <w:rFonts w:eastAsia="仿宋_GB2312"/>
                <w:color w:val="000000"/>
                <w:kern w:val="0"/>
                <w:sz w:val="18"/>
                <w:szCs w:val="18"/>
                <w:highlight w:val="none"/>
              </w:rPr>
              <w:t>产出成本</w:t>
            </w:r>
          </w:p>
        </w:tc>
        <w:tc>
          <w:tcPr>
            <w:tcW w:w="1070" w:type="dxa"/>
            <w:shd w:val="clear" w:color="auto" w:fill="FFFFFF"/>
            <w:vAlign w:val="center"/>
          </w:tcPr>
          <w:p w14:paraId="53BAFB1F">
            <w:pPr>
              <w:widowControl/>
              <w:spacing w:line="0" w:lineRule="atLeast"/>
              <w:jc w:val="center"/>
              <w:rPr>
                <w:rFonts w:eastAsia="仿宋_GB2312"/>
                <w:color w:val="000000"/>
                <w:kern w:val="0"/>
                <w:sz w:val="18"/>
                <w:szCs w:val="18"/>
                <w:highlight w:val="none"/>
              </w:rPr>
            </w:pPr>
            <w:r>
              <w:rPr>
                <w:rFonts w:eastAsia="仿宋_GB2312"/>
                <w:color w:val="000000"/>
                <w:kern w:val="0"/>
                <w:sz w:val="18"/>
                <w:szCs w:val="18"/>
                <w:highlight w:val="none"/>
              </w:rPr>
              <w:t>成本节约率</w:t>
            </w:r>
          </w:p>
        </w:tc>
        <w:tc>
          <w:tcPr>
            <w:tcW w:w="1725" w:type="dxa"/>
            <w:shd w:val="clear" w:color="000000" w:fill="FFFFFF"/>
            <w:vAlign w:val="center"/>
          </w:tcPr>
          <w:p w14:paraId="0C1D1CE1">
            <w:pPr>
              <w:widowControl/>
              <w:spacing w:line="0" w:lineRule="atLeast"/>
              <w:rPr>
                <w:rFonts w:eastAsia="仿宋_GB2312"/>
                <w:color w:val="000000"/>
                <w:kern w:val="0"/>
                <w:sz w:val="18"/>
                <w:szCs w:val="18"/>
                <w:highlight w:val="none"/>
              </w:rPr>
            </w:pPr>
            <w:r>
              <w:rPr>
                <w:rFonts w:eastAsia="仿宋_GB2312"/>
                <w:color w:val="000000"/>
                <w:kern w:val="0"/>
                <w:sz w:val="18"/>
                <w:szCs w:val="18"/>
                <w:highlight w:val="none"/>
              </w:rPr>
              <w:t>完成项目计划工作目标的实际节约成本与计划成本的比率，用以反映和考核项目的成本节约程度。</w:t>
            </w:r>
          </w:p>
        </w:tc>
        <w:tc>
          <w:tcPr>
            <w:tcW w:w="5220" w:type="dxa"/>
            <w:shd w:val="clear" w:color="000000" w:fill="FFFFFF"/>
            <w:vAlign w:val="center"/>
          </w:tcPr>
          <w:p w14:paraId="5F2C1278">
            <w:pPr>
              <w:widowControl/>
              <w:spacing w:line="0" w:lineRule="atLeast"/>
              <w:rPr>
                <w:rFonts w:eastAsia="仿宋_GB2312"/>
                <w:color w:val="000000"/>
                <w:kern w:val="0"/>
                <w:sz w:val="18"/>
                <w:szCs w:val="18"/>
                <w:highlight w:val="none"/>
              </w:rPr>
            </w:pPr>
            <w:r>
              <w:rPr>
                <w:rFonts w:eastAsia="仿宋_GB2312"/>
                <w:color w:val="000000"/>
                <w:kern w:val="0"/>
                <w:sz w:val="18"/>
                <w:szCs w:val="18"/>
                <w:highlight w:val="none"/>
              </w:rPr>
              <w:br w:type="textWrapping"/>
            </w:r>
            <w:r>
              <w:rPr>
                <w:rFonts w:eastAsia="仿宋_GB2312"/>
                <w:color w:val="000000"/>
                <w:kern w:val="0"/>
                <w:sz w:val="18"/>
                <w:szCs w:val="18"/>
                <w:highlight w:val="none"/>
              </w:rPr>
              <w:t>成本节约率=[（计划成本-实际成本）/计划成本]×100%。</w:t>
            </w:r>
            <w:r>
              <w:rPr>
                <w:rFonts w:eastAsia="仿宋_GB2312"/>
                <w:color w:val="000000"/>
                <w:kern w:val="0"/>
                <w:sz w:val="18"/>
                <w:szCs w:val="18"/>
                <w:highlight w:val="none"/>
              </w:rPr>
              <w:br w:type="textWrapping"/>
            </w:r>
            <w:r>
              <w:rPr>
                <w:rFonts w:eastAsia="仿宋_GB2312"/>
                <w:color w:val="000000"/>
                <w:kern w:val="0"/>
                <w:sz w:val="18"/>
                <w:szCs w:val="18"/>
                <w:highlight w:val="none"/>
              </w:rPr>
              <w:t>实际成本：项目实施单位如期、保质、保量完成既定工作目标实际所耗费的支出。</w:t>
            </w:r>
            <w:r>
              <w:rPr>
                <w:rFonts w:eastAsia="仿宋_GB2312"/>
                <w:color w:val="000000"/>
                <w:kern w:val="0"/>
                <w:sz w:val="18"/>
                <w:szCs w:val="18"/>
                <w:highlight w:val="none"/>
              </w:rPr>
              <w:br w:type="textWrapping"/>
            </w:r>
            <w:r>
              <w:rPr>
                <w:rFonts w:eastAsia="仿宋_GB2312"/>
                <w:color w:val="000000"/>
                <w:kern w:val="0"/>
                <w:sz w:val="18"/>
                <w:szCs w:val="18"/>
                <w:highlight w:val="none"/>
              </w:rPr>
              <w:t>计划成本：项目实施单位为完成工作目标计划安排的支出，一般以项目预算为参考。</w:t>
            </w:r>
          </w:p>
        </w:tc>
        <w:tc>
          <w:tcPr>
            <w:tcW w:w="1304" w:type="dxa"/>
            <w:shd w:val="clear" w:color="000000" w:fill="FFFFFF"/>
            <w:vAlign w:val="center"/>
          </w:tcPr>
          <w:p w14:paraId="07A9EB3F">
            <w:pPr>
              <w:widowControl/>
              <w:spacing w:line="0" w:lineRule="atLeast"/>
              <w:jc w:val="center"/>
              <w:rPr>
                <w:rFonts w:eastAsia="仿宋_GB2312"/>
                <w:b/>
                <w:bCs/>
                <w:color w:val="000000"/>
                <w:kern w:val="0"/>
                <w:sz w:val="18"/>
                <w:szCs w:val="18"/>
                <w:highlight w:val="none"/>
              </w:rPr>
            </w:pPr>
            <w:r>
              <w:rPr>
                <w:rFonts w:eastAsia="仿宋_GB2312"/>
                <w:b/>
                <w:bCs/>
                <w:color w:val="000000"/>
                <w:kern w:val="0"/>
                <w:sz w:val="18"/>
                <w:szCs w:val="18"/>
                <w:highlight w:val="none"/>
              </w:rPr>
              <w:t>10</w:t>
            </w:r>
          </w:p>
        </w:tc>
        <w:tc>
          <w:tcPr>
            <w:tcW w:w="1362" w:type="dxa"/>
            <w:shd w:val="clear" w:color="000000" w:fill="FFFFFF"/>
            <w:vAlign w:val="center"/>
          </w:tcPr>
          <w:p w14:paraId="4EA18B44">
            <w:pPr>
              <w:widowControl/>
              <w:spacing w:line="0" w:lineRule="atLeast"/>
              <w:jc w:val="center"/>
              <w:rPr>
                <w:rFonts w:hint="default" w:eastAsia="仿宋_GB2312"/>
                <w:b/>
                <w:bCs/>
                <w:color w:val="000000"/>
                <w:kern w:val="0"/>
                <w:sz w:val="18"/>
                <w:szCs w:val="18"/>
                <w:highlight w:val="none"/>
                <w:lang w:val="en-US" w:eastAsia="zh-CN"/>
              </w:rPr>
            </w:pPr>
            <w:r>
              <w:rPr>
                <w:rFonts w:hint="eastAsia" w:eastAsia="仿宋_GB2312"/>
                <w:b/>
                <w:bCs/>
                <w:color w:val="000000"/>
                <w:kern w:val="0"/>
                <w:sz w:val="18"/>
                <w:szCs w:val="18"/>
                <w:highlight w:val="none"/>
                <w:lang w:val="en-US" w:eastAsia="zh-CN"/>
              </w:rPr>
              <w:t>10</w:t>
            </w:r>
          </w:p>
        </w:tc>
      </w:tr>
      <w:tr w14:paraId="63250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3" w:type="dxa"/>
            <w:vMerge w:val="restart"/>
            <w:shd w:val="clear" w:color="auto" w:fill="FFFFFF"/>
            <w:vAlign w:val="center"/>
          </w:tcPr>
          <w:p w14:paraId="4ED96E6E">
            <w:pPr>
              <w:widowControl/>
              <w:spacing w:line="0" w:lineRule="atLeast"/>
              <w:jc w:val="center"/>
              <w:rPr>
                <w:rFonts w:eastAsia="仿宋_GB2312"/>
                <w:color w:val="000000"/>
                <w:kern w:val="0"/>
                <w:sz w:val="18"/>
                <w:szCs w:val="18"/>
              </w:rPr>
            </w:pPr>
            <w:r>
              <w:rPr>
                <w:rFonts w:eastAsia="仿宋_GB2312"/>
                <w:color w:val="000000"/>
                <w:kern w:val="0"/>
                <w:sz w:val="18"/>
                <w:szCs w:val="18"/>
              </w:rPr>
              <w:t>效益　</w:t>
            </w:r>
          </w:p>
        </w:tc>
        <w:tc>
          <w:tcPr>
            <w:tcW w:w="999" w:type="dxa"/>
            <w:vMerge w:val="restart"/>
            <w:shd w:val="clear" w:color="auto" w:fill="FFFFFF"/>
            <w:vAlign w:val="center"/>
          </w:tcPr>
          <w:p w14:paraId="77FD445D">
            <w:pPr>
              <w:widowControl/>
              <w:spacing w:line="0" w:lineRule="atLeast"/>
              <w:jc w:val="center"/>
              <w:rPr>
                <w:rFonts w:eastAsia="仿宋_GB2312"/>
                <w:color w:val="000000"/>
                <w:kern w:val="0"/>
                <w:sz w:val="18"/>
                <w:szCs w:val="18"/>
              </w:rPr>
            </w:pPr>
            <w:r>
              <w:rPr>
                <w:rFonts w:eastAsia="仿宋_GB2312"/>
                <w:color w:val="000000"/>
                <w:kern w:val="0"/>
                <w:sz w:val="18"/>
                <w:szCs w:val="18"/>
              </w:rPr>
              <w:t>项目效益　</w:t>
            </w:r>
          </w:p>
        </w:tc>
        <w:tc>
          <w:tcPr>
            <w:tcW w:w="1070" w:type="dxa"/>
            <w:shd w:val="clear" w:color="auto" w:fill="FFFFFF"/>
            <w:vAlign w:val="center"/>
          </w:tcPr>
          <w:p w14:paraId="6FBAC254">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568A91DA">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20" w:type="dxa"/>
            <w:shd w:val="clear" w:color="auto" w:fill="FFFFFF"/>
            <w:vAlign w:val="center"/>
          </w:tcPr>
          <w:p w14:paraId="2A1BD0FD">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28056D45">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2" w:type="dxa"/>
            <w:shd w:val="clear" w:color="auto" w:fill="FFFFFF"/>
            <w:vAlign w:val="center"/>
          </w:tcPr>
          <w:p w14:paraId="684CFC91">
            <w:pPr>
              <w:widowControl/>
              <w:spacing w:line="0" w:lineRule="atLeast"/>
              <w:jc w:val="center"/>
              <w:rPr>
                <w:rFonts w:hint="default" w:eastAsia="仿宋_GB2312"/>
                <w:b/>
                <w:bCs/>
                <w:color w:val="000000"/>
                <w:kern w:val="0"/>
                <w:sz w:val="18"/>
                <w:szCs w:val="18"/>
                <w:lang w:val="en-US" w:eastAsia="zh-CN"/>
              </w:rPr>
            </w:pPr>
            <w:r>
              <w:rPr>
                <w:rFonts w:hint="eastAsia" w:eastAsia="仿宋_GB2312"/>
                <w:b/>
                <w:bCs/>
                <w:color w:val="000000"/>
                <w:kern w:val="0"/>
                <w:sz w:val="18"/>
                <w:szCs w:val="18"/>
                <w:highlight w:val="none"/>
                <w:lang w:val="en-US" w:eastAsia="zh-CN"/>
              </w:rPr>
              <w:t>10</w:t>
            </w:r>
          </w:p>
        </w:tc>
      </w:tr>
      <w:tr w14:paraId="7A416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3" w:type="dxa"/>
            <w:vMerge w:val="continue"/>
            <w:shd w:val="clear" w:color="auto" w:fill="FFFFFF"/>
            <w:vAlign w:val="center"/>
          </w:tcPr>
          <w:p w14:paraId="40F2439D">
            <w:pPr>
              <w:widowControl/>
              <w:spacing w:line="0" w:lineRule="atLeast"/>
              <w:jc w:val="center"/>
              <w:rPr>
                <w:rFonts w:eastAsia="仿宋_GB2312"/>
                <w:color w:val="000000"/>
                <w:kern w:val="0"/>
                <w:sz w:val="18"/>
                <w:szCs w:val="18"/>
              </w:rPr>
            </w:pPr>
          </w:p>
        </w:tc>
        <w:tc>
          <w:tcPr>
            <w:tcW w:w="999" w:type="dxa"/>
            <w:vMerge w:val="continue"/>
            <w:shd w:val="clear" w:color="auto" w:fill="FFFFFF"/>
            <w:vAlign w:val="center"/>
          </w:tcPr>
          <w:p w14:paraId="61C43D6D">
            <w:pPr>
              <w:widowControl/>
              <w:spacing w:line="0" w:lineRule="atLeast"/>
              <w:jc w:val="center"/>
              <w:rPr>
                <w:rFonts w:eastAsia="仿宋_GB2312"/>
                <w:color w:val="000000"/>
                <w:kern w:val="0"/>
                <w:sz w:val="18"/>
                <w:szCs w:val="18"/>
              </w:rPr>
            </w:pPr>
          </w:p>
        </w:tc>
        <w:tc>
          <w:tcPr>
            <w:tcW w:w="1070" w:type="dxa"/>
            <w:shd w:val="clear" w:color="auto" w:fill="FFFFFF"/>
            <w:vAlign w:val="center"/>
          </w:tcPr>
          <w:p w14:paraId="1B1BF44E">
            <w:pPr>
              <w:widowControl/>
              <w:spacing w:line="0" w:lineRule="atLeast"/>
              <w:jc w:val="center"/>
              <w:rPr>
                <w:rFonts w:eastAsia="仿宋_GB2312"/>
                <w:color w:val="000000"/>
                <w:kern w:val="0"/>
                <w:sz w:val="18"/>
                <w:szCs w:val="18"/>
                <w:highlight w:val="none"/>
              </w:rPr>
            </w:pPr>
            <w:r>
              <w:rPr>
                <w:rFonts w:eastAsia="仿宋_GB2312"/>
                <w:color w:val="000000"/>
                <w:kern w:val="0"/>
                <w:sz w:val="18"/>
                <w:szCs w:val="18"/>
                <w:highlight w:val="none"/>
              </w:rPr>
              <w:t>满意度</w:t>
            </w:r>
          </w:p>
        </w:tc>
        <w:tc>
          <w:tcPr>
            <w:tcW w:w="1725" w:type="dxa"/>
            <w:shd w:val="clear" w:color="000000" w:fill="FFFFFF"/>
            <w:vAlign w:val="center"/>
          </w:tcPr>
          <w:p w14:paraId="3C1A25FB">
            <w:pPr>
              <w:widowControl/>
              <w:spacing w:line="0" w:lineRule="atLeast"/>
              <w:rPr>
                <w:rFonts w:eastAsia="仿宋_GB2312"/>
                <w:color w:val="000000"/>
                <w:kern w:val="0"/>
                <w:sz w:val="18"/>
                <w:szCs w:val="18"/>
                <w:highlight w:val="none"/>
              </w:rPr>
            </w:pPr>
            <w:r>
              <w:rPr>
                <w:rFonts w:eastAsia="仿宋_GB2312"/>
                <w:color w:val="000000"/>
                <w:kern w:val="0"/>
                <w:sz w:val="18"/>
                <w:szCs w:val="18"/>
                <w:highlight w:val="none"/>
              </w:rPr>
              <w:t>社会公众或服务对象对项目实施效果的满意程度。</w:t>
            </w:r>
          </w:p>
        </w:tc>
        <w:tc>
          <w:tcPr>
            <w:tcW w:w="5220" w:type="dxa"/>
            <w:shd w:val="clear" w:color="000000" w:fill="FFFFFF"/>
            <w:vAlign w:val="center"/>
          </w:tcPr>
          <w:p w14:paraId="153FE0FE">
            <w:pPr>
              <w:widowControl/>
              <w:spacing w:line="0" w:lineRule="atLeast"/>
              <w:rPr>
                <w:rFonts w:eastAsia="仿宋_GB2312"/>
                <w:color w:val="000000"/>
                <w:kern w:val="0"/>
                <w:sz w:val="18"/>
                <w:szCs w:val="18"/>
                <w:highlight w:val="none"/>
              </w:rPr>
            </w:pPr>
            <w:r>
              <w:rPr>
                <w:rFonts w:eastAsia="仿宋_GB2312"/>
                <w:color w:val="000000"/>
                <w:kern w:val="0"/>
                <w:sz w:val="18"/>
                <w:szCs w:val="18"/>
                <w:highlight w:val="none"/>
              </w:rPr>
              <w:t>社会公众或服务对象是指因该项目实施而受到影响的部门（单位）、群体或个人。一般采取社会调查的方式。</w:t>
            </w:r>
          </w:p>
        </w:tc>
        <w:tc>
          <w:tcPr>
            <w:tcW w:w="1304" w:type="dxa"/>
            <w:shd w:val="clear" w:color="000000" w:fill="FFFFFF"/>
            <w:vAlign w:val="center"/>
          </w:tcPr>
          <w:p w14:paraId="1A506823">
            <w:pPr>
              <w:widowControl/>
              <w:spacing w:line="0" w:lineRule="atLeast"/>
              <w:jc w:val="center"/>
              <w:rPr>
                <w:rFonts w:eastAsia="仿宋_GB2312"/>
                <w:b/>
                <w:bCs/>
                <w:color w:val="000000"/>
                <w:kern w:val="0"/>
                <w:sz w:val="18"/>
                <w:szCs w:val="18"/>
                <w:highlight w:val="none"/>
              </w:rPr>
            </w:pPr>
            <w:r>
              <w:rPr>
                <w:rFonts w:eastAsia="仿宋_GB2312"/>
                <w:b/>
                <w:bCs/>
                <w:color w:val="000000"/>
                <w:kern w:val="0"/>
                <w:sz w:val="18"/>
                <w:szCs w:val="18"/>
                <w:highlight w:val="none"/>
              </w:rPr>
              <w:t>10</w:t>
            </w:r>
          </w:p>
        </w:tc>
        <w:tc>
          <w:tcPr>
            <w:tcW w:w="1362" w:type="dxa"/>
            <w:shd w:val="clear" w:color="000000" w:fill="FFFFFF"/>
            <w:vAlign w:val="center"/>
          </w:tcPr>
          <w:p w14:paraId="3E0F394D">
            <w:pPr>
              <w:widowControl/>
              <w:spacing w:line="0" w:lineRule="atLeast"/>
              <w:jc w:val="center"/>
              <w:rPr>
                <w:rFonts w:hint="default" w:eastAsia="仿宋_GB2312"/>
                <w:b/>
                <w:bCs/>
                <w:color w:val="000000"/>
                <w:kern w:val="0"/>
                <w:sz w:val="18"/>
                <w:szCs w:val="18"/>
                <w:highlight w:val="none"/>
                <w:lang w:val="en-US" w:eastAsia="zh-CN"/>
              </w:rPr>
            </w:pPr>
            <w:r>
              <w:rPr>
                <w:rFonts w:hint="eastAsia" w:eastAsia="仿宋_GB2312"/>
                <w:b/>
                <w:bCs/>
                <w:color w:val="000000"/>
                <w:kern w:val="0"/>
                <w:sz w:val="18"/>
                <w:szCs w:val="18"/>
                <w:highlight w:val="none"/>
                <w:lang w:val="en-US" w:eastAsia="zh-CN"/>
              </w:rPr>
              <w:t>10</w:t>
            </w:r>
          </w:p>
        </w:tc>
      </w:tr>
      <w:tr w14:paraId="6BC74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7" w:type="dxa"/>
            <w:gridSpan w:val="5"/>
            <w:shd w:val="clear" w:color="auto" w:fill="FFFFFF"/>
            <w:vAlign w:val="center"/>
          </w:tcPr>
          <w:p w14:paraId="60862D68">
            <w:pPr>
              <w:widowControl/>
              <w:spacing w:line="0" w:lineRule="atLeast"/>
              <w:jc w:val="center"/>
              <w:rPr>
                <w:rFonts w:eastAsia="仿宋_GB2312"/>
                <w:b/>
                <w:bCs/>
                <w:color w:val="000000"/>
                <w:kern w:val="0"/>
                <w:sz w:val="18"/>
                <w:szCs w:val="18"/>
                <w:highlight w:val="none"/>
              </w:rPr>
            </w:pPr>
            <w:r>
              <w:rPr>
                <w:rFonts w:hint="eastAsia" w:eastAsia="仿宋_GB2312"/>
                <w:b/>
                <w:bCs/>
                <w:color w:val="000000"/>
                <w:kern w:val="0"/>
                <w:sz w:val="18"/>
                <w:szCs w:val="18"/>
                <w:highlight w:val="none"/>
              </w:rPr>
              <w:t>合计</w:t>
            </w:r>
          </w:p>
        </w:tc>
        <w:tc>
          <w:tcPr>
            <w:tcW w:w="1304" w:type="dxa"/>
            <w:shd w:val="clear" w:color="000000" w:fill="FFFFFF"/>
            <w:vAlign w:val="center"/>
          </w:tcPr>
          <w:p w14:paraId="76DA146A">
            <w:pPr>
              <w:widowControl/>
              <w:spacing w:line="0" w:lineRule="atLeast"/>
              <w:jc w:val="center"/>
              <w:rPr>
                <w:rFonts w:eastAsia="仿宋_GB2312"/>
                <w:b/>
                <w:bCs/>
                <w:color w:val="000000"/>
                <w:kern w:val="0"/>
                <w:sz w:val="18"/>
                <w:szCs w:val="18"/>
                <w:highlight w:val="none"/>
              </w:rPr>
            </w:pPr>
            <w:r>
              <w:rPr>
                <w:rFonts w:eastAsia="仿宋_GB2312"/>
                <w:b/>
                <w:bCs/>
                <w:color w:val="000000"/>
                <w:kern w:val="0"/>
                <w:sz w:val="18"/>
                <w:szCs w:val="18"/>
                <w:highlight w:val="none"/>
              </w:rPr>
              <w:fldChar w:fldCharType="begin"/>
            </w:r>
            <w:r>
              <w:rPr>
                <w:rFonts w:eastAsia="仿宋_GB2312"/>
                <w:b/>
                <w:bCs/>
                <w:color w:val="000000"/>
                <w:kern w:val="0"/>
                <w:sz w:val="18"/>
                <w:szCs w:val="18"/>
                <w:highlight w:val="none"/>
              </w:rPr>
              <w:instrText xml:space="preserve"> = sum(F2:F18) \* MERGEFORMAT </w:instrText>
            </w:r>
            <w:r>
              <w:rPr>
                <w:rFonts w:eastAsia="仿宋_GB2312"/>
                <w:b/>
                <w:bCs/>
                <w:color w:val="000000"/>
                <w:kern w:val="0"/>
                <w:sz w:val="18"/>
                <w:szCs w:val="18"/>
                <w:highlight w:val="none"/>
              </w:rPr>
              <w:fldChar w:fldCharType="separate"/>
            </w:r>
            <w:r>
              <w:rPr>
                <w:rFonts w:eastAsia="仿宋_GB2312"/>
                <w:b/>
                <w:bCs/>
                <w:color w:val="000000"/>
                <w:kern w:val="0"/>
                <w:sz w:val="18"/>
                <w:szCs w:val="18"/>
                <w:highlight w:val="none"/>
              </w:rPr>
              <w:t>100</w:t>
            </w:r>
            <w:r>
              <w:rPr>
                <w:rFonts w:eastAsia="仿宋_GB2312"/>
                <w:b/>
                <w:bCs/>
                <w:color w:val="000000"/>
                <w:kern w:val="0"/>
                <w:sz w:val="18"/>
                <w:szCs w:val="18"/>
                <w:highlight w:val="none"/>
              </w:rPr>
              <w:fldChar w:fldCharType="end"/>
            </w:r>
          </w:p>
        </w:tc>
        <w:tc>
          <w:tcPr>
            <w:tcW w:w="1362" w:type="dxa"/>
            <w:shd w:val="clear" w:color="000000" w:fill="FFFFFF"/>
            <w:vAlign w:val="center"/>
          </w:tcPr>
          <w:p w14:paraId="0693566D">
            <w:pPr>
              <w:widowControl/>
              <w:spacing w:line="0" w:lineRule="atLeast"/>
              <w:jc w:val="center"/>
              <w:rPr>
                <w:rFonts w:hint="default" w:eastAsia="仿宋_GB2312"/>
                <w:b/>
                <w:bCs/>
                <w:color w:val="000000"/>
                <w:kern w:val="0"/>
                <w:sz w:val="18"/>
                <w:szCs w:val="18"/>
                <w:highlight w:val="none"/>
                <w:lang w:val="en-US" w:eastAsia="zh-CN"/>
              </w:rPr>
            </w:pPr>
            <w:r>
              <w:rPr>
                <w:rFonts w:hint="eastAsia" w:eastAsia="仿宋_GB2312"/>
                <w:b/>
                <w:bCs/>
                <w:color w:val="000000"/>
                <w:kern w:val="0"/>
                <w:sz w:val="18"/>
                <w:szCs w:val="18"/>
                <w:highlight w:val="none"/>
                <w:lang w:val="en-US" w:eastAsia="zh-CN"/>
              </w:rPr>
              <w:t>100</w:t>
            </w:r>
          </w:p>
        </w:tc>
      </w:tr>
    </w:tbl>
    <w:p w14:paraId="474C91ED">
      <w:pPr>
        <w:sectPr>
          <w:pgSz w:w="16838" w:h="11906" w:orient="landscape"/>
          <w:pgMar w:top="1800" w:right="1440" w:bottom="1558" w:left="1440" w:header="851" w:footer="992" w:gutter="0"/>
          <w:cols w:space="425" w:num="1"/>
          <w:docGrid w:type="lines" w:linePitch="312" w:charSpace="0"/>
        </w:sectPr>
      </w:pPr>
    </w:p>
    <w:p w14:paraId="44A4A2B2">
      <w:pPr>
        <w:spacing w:line="600" w:lineRule="exact"/>
        <w:rPr>
          <w:rFonts w:eastAsia="黑体"/>
          <w:sz w:val="32"/>
          <w:szCs w:val="32"/>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32"/>
        <w:gridCol w:w="933"/>
        <w:gridCol w:w="1308"/>
        <w:gridCol w:w="1328"/>
        <w:gridCol w:w="2488"/>
        <w:gridCol w:w="1800"/>
        <w:gridCol w:w="1798"/>
        <w:gridCol w:w="341"/>
        <w:gridCol w:w="396"/>
        <w:gridCol w:w="375"/>
        <w:gridCol w:w="480"/>
        <w:gridCol w:w="667"/>
        <w:gridCol w:w="999"/>
      </w:tblGrid>
      <w:tr w14:paraId="1B7C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0839097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2D0B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78EFC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7CA9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B4EF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53CAD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区人才公寓装修经费</w:t>
            </w:r>
          </w:p>
        </w:tc>
      </w:tr>
      <w:tr w14:paraId="5367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64CC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4B35B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乌鲁木齐市沙依巴克区人民政府办公室</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E2E7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63A81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乌鲁木齐市沙依巴克区机关事务管理中心</w:t>
            </w:r>
          </w:p>
        </w:tc>
      </w:tr>
      <w:tr w14:paraId="7F2D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89B5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138FBBC">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2734B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5BC1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6DF57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EDF7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7FB44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2F8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746B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01272F6">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7F6B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7556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179.00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8F6F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155.40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AAA8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155.40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371EA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EA96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60AA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78ED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8C975F9">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031E4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5B564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179.00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DC59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155.40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C509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155.40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3548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1F4E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9DA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39A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B72A020">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25D2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59393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2FE7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7C507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1C54D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225AF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8E39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C2D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750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670DF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1976B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7607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720F12">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0BE0599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该项目总预算155.4万元，用于区人才公寓装修共计28套房间，项目资金及时支付，按时完成，区内“引进人才”工作人员及时入住，验收合格率100%。</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0249BC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截止2024年底该项目已全部完成，资金执行率达到100%。用于区人才公寓装修共计28套房间，项目资金及时支付，按时完成。通过此项目开展保障“引进人才”工作人员正常生活水平</w:t>
            </w:r>
          </w:p>
        </w:tc>
      </w:tr>
      <w:tr w14:paraId="3C9B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183B3A">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456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6E0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E939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E19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7E4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16FD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07F3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15B4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63E0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94CCA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6AFE63">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CB8491">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49519DE">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B1915B">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74B0E4">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9B79466">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838D77F">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FD64B52">
            <w:pPr>
              <w:jc w:val="center"/>
              <w:rPr>
                <w:rFonts w:hint="eastAsia" w:ascii="宋体" w:hAnsi="宋体" w:eastAsia="宋体" w:cs="宋体"/>
                <w:i w:val="0"/>
                <w:iCs w:val="0"/>
                <w:color w:val="000000"/>
                <w:sz w:val="20"/>
                <w:szCs w:val="20"/>
                <w:u w:val="none"/>
              </w:rPr>
            </w:pPr>
          </w:p>
        </w:tc>
      </w:tr>
      <w:tr w14:paraId="55EA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E09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99C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1D42A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1CF17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装修房间数量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D191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&gt;=28套</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3A18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=28套</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CD9C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D673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30FB2C3">
            <w:pPr>
              <w:jc w:val="center"/>
              <w:rPr>
                <w:rFonts w:hint="eastAsia" w:ascii="宋体" w:hAnsi="宋体" w:eastAsia="宋体" w:cs="宋体"/>
                <w:i w:val="0"/>
                <w:iCs w:val="0"/>
                <w:color w:val="000000"/>
                <w:sz w:val="20"/>
                <w:szCs w:val="20"/>
                <w:u w:val="none"/>
              </w:rPr>
            </w:pPr>
          </w:p>
        </w:tc>
      </w:tr>
      <w:tr w14:paraId="4ADB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FFAA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2422B1">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CD4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CD56E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项目资金执支付率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8FCF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4D18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79AD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BF4B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37741A4">
            <w:pPr>
              <w:jc w:val="center"/>
              <w:rPr>
                <w:rFonts w:hint="eastAsia" w:ascii="宋体" w:hAnsi="宋体" w:eastAsia="宋体" w:cs="宋体"/>
                <w:i w:val="0"/>
                <w:iCs w:val="0"/>
                <w:color w:val="000000"/>
                <w:sz w:val="20"/>
                <w:szCs w:val="20"/>
                <w:u w:val="none"/>
              </w:rPr>
            </w:pPr>
          </w:p>
        </w:tc>
      </w:tr>
      <w:tr w14:paraId="4861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C9C0E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06739C">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2434D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AB607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项目验收合格率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A3E5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2758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730E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5A57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BABD79F">
            <w:pPr>
              <w:jc w:val="center"/>
              <w:rPr>
                <w:rFonts w:hint="eastAsia" w:ascii="宋体" w:hAnsi="宋体" w:eastAsia="宋体" w:cs="宋体"/>
                <w:i w:val="0"/>
                <w:iCs w:val="0"/>
                <w:color w:val="000000"/>
                <w:sz w:val="20"/>
                <w:szCs w:val="20"/>
                <w:u w:val="none"/>
              </w:rPr>
            </w:pPr>
          </w:p>
        </w:tc>
      </w:tr>
      <w:tr w14:paraId="2B28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EA4D5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9E237F">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EE77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1F4F7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项目按计划完成率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547A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9FD5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01BA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6E4D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4A63F7A">
            <w:pPr>
              <w:jc w:val="center"/>
              <w:rPr>
                <w:rFonts w:hint="eastAsia" w:ascii="宋体" w:hAnsi="宋体" w:eastAsia="宋体" w:cs="宋体"/>
                <w:i w:val="0"/>
                <w:iCs w:val="0"/>
                <w:color w:val="000000"/>
                <w:sz w:val="20"/>
                <w:szCs w:val="20"/>
                <w:u w:val="none"/>
              </w:rPr>
            </w:pPr>
          </w:p>
        </w:tc>
      </w:tr>
      <w:tr w14:paraId="1163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9B8B8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0E79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47568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DFC06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预算控制率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0BFF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F8E5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DB26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6931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2AC6E30">
            <w:pPr>
              <w:jc w:val="center"/>
              <w:rPr>
                <w:rFonts w:hint="eastAsia" w:ascii="宋体" w:hAnsi="宋体" w:eastAsia="宋体" w:cs="宋体"/>
                <w:i w:val="0"/>
                <w:iCs w:val="0"/>
                <w:color w:val="000000"/>
                <w:sz w:val="20"/>
                <w:szCs w:val="20"/>
                <w:u w:val="none"/>
              </w:rPr>
            </w:pPr>
          </w:p>
        </w:tc>
      </w:tr>
      <w:tr w14:paraId="7AD0F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50EAE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E0C0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50F8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981F9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保障区内“引进人才”工作人员及时入住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A1ED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有效保障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6A3E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C15F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59EF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ED963F8">
            <w:pPr>
              <w:jc w:val="center"/>
              <w:rPr>
                <w:rFonts w:hint="eastAsia" w:ascii="宋体" w:hAnsi="宋体" w:eastAsia="宋体" w:cs="宋体"/>
                <w:i w:val="0"/>
                <w:iCs w:val="0"/>
                <w:color w:val="000000"/>
                <w:sz w:val="20"/>
                <w:szCs w:val="20"/>
                <w:u w:val="none"/>
              </w:rPr>
            </w:pPr>
          </w:p>
        </w:tc>
      </w:tr>
      <w:tr w14:paraId="7A61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8EE7E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A12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49650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D6A20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“引进人才”人员入住满意率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6941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D1A8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FA48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C185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DBDC28A">
            <w:pPr>
              <w:jc w:val="center"/>
              <w:rPr>
                <w:rFonts w:hint="eastAsia" w:ascii="宋体" w:hAnsi="宋体" w:eastAsia="宋体" w:cs="宋体"/>
                <w:i w:val="0"/>
                <w:iCs w:val="0"/>
                <w:color w:val="000000"/>
                <w:sz w:val="20"/>
                <w:szCs w:val="20"/>
                <w:u w:val="none"/>
              </w:rPr>
            </w:pPr>
          </w:p>
        </w:tc>
      </w:tr>
      <w:tr w14:paraId="4732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2267A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3D5E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ABED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7B93190">
            <w:pPr>
              <w:jc w:val="center"/>
              <w:rPr>
                <w:rFonts w:hint="eastAsia" w:ascii="宋体" w:hAnsi="宋体" w:eastAsia="宋体" w:cs="宋体"/>
                <w:i w:val="0"/>
                <w:iCs w:val="0"/>
                <w:color w:val="000000"/>
                <w:sz w:val="20"/>
                <w:szCs w:val="20"/>
                <w:u w:val="none"/>
              </w:rPr>
            </w:pPr>
          </w:p>
        </w:tc>
      </w:tr>
    </w:tbl>
    <w:p w14:paraId="4B7A0CD0">
      <w:bookmarkStart w:id="3" w:name="_GoBack"/>
      <w:bookmarkEnd w:id="3"/>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255ED044">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14:paraId="3103163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457C189B"/>
    <w:multiLevelType w:val="singleLevel"/>
    <w:tmpl w:val="457C189B"/>
    <w:lvl w:ilvl="0" w:tentative="0">
      <w:start w:val="1"/>
      <w:numFmt w:val="decimal"/>
      <w:lvlText w:val="%1."/>
      <w:lvlJc w:val="left"/>
      <w:pPr>
        <w:tabs>
          <w:tab w:val="left" w:pos="312"/>
        </w:tabs>
      </w:pPr>
    </w:lvl>
  </w:abstractNum>
  <w:abstractNum w:abstractNumId="5">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diOGM5NzlhN2JhOTc3OTljZTBmY2FhN2MzNTk3ODEifQ=="/>
  </w:docVars>
  <w:rsids>
    <w:rsidRoot w:val="FF6C4049"/>
    <w:rsid w:val="006F7242"/>
    <w:rsid w:val="007A1A8D"/>
    <w:rsid w:val="007B168A"/>
    <w:rsid w:val="008B2CFE"/>
    <w:rsid w:val="008F1A9F"/>
    <w:rsid w:val="009A021D"/>
    <w:rsid w:val="00C76D64"/>
    <w:rsid w:val="00D7752C"/>
    <w:rsid w:val="00DE0888"/>
    <w:rsid w:val="00E92F84"/>
    <w:rsid w:val="00F26FF6"/>
    <w:rsid w:val="00F54B1C"/>
    <w:rsid w:val="01610122"/>
    <w:rsid w:val="01950C6B"/>
    <w:rsid w:val="02340C53"/>
    <w:rsid w:val="02350F13"/>
    <w:rsid w:val="02510197"/>
    <w:rsid w:val="03EC461B"/>
    <w:rsid w:val="07397B77"/>
    <w:rsid w:val="07B96311"/>
    <w:rsid w:val="09435E05"/>
    <w:rsid w:val="0AD007F3"/>
    <w:rsid w:val="0C0B6336"/>
    <w:rsid w:val="0E3C619F"/>
    <w:rsid w:val="0F6273CA"/>
    <w:rsid w:val="0F6F53B5"/>
    <w:rsid w:val="100F38EC"/>
    <w:rsid w:val="11170296"/>
    <w:rsid w:val="12C66037"/>
    <w:rsid w:val="12CD1ABC"/>
    <w:rsid w:val="13471461"/>
    <w:rsid w:val="13B90F01"/>
    <w:rsid w:val="155E4C4D"/>
    <w:rsid w:val="15E2455F"/>
    <w:rsid w:val="16411AC7"/>
    <w:rsid w:val="181066D2"/>
    <w:rsid w:val="190745C4"/>
    <w:rsid w:val="19860268"/>
    <w:rsid w:val="1B3F2F68"/>
    <w:rsid w:val="1C671E73"/>
    <w:rsid w:val="1D322C47"/>
    <w:rsid w:val="1DE05F20"/>
    <w:rsid w:val="23616034"/>
    <w:rsid w:val="23696C97"/>
    <w:rsid w:val="24480FA2"/>
    <w:rsid w:val="25227A45"/>
    <w:rsid w:val="262555E0"/>
    <w:rsid w:val="26AC3A6A"/>
    <w:rsid w:val="2B9D7E25"/>
    <w:rsid w:val="2BFD6A4C"/>
    <w:rsid w:val="2C7C7A3B"/>
    <w:rsid w:val="2F364819"/>
    <w:rsid w:val="2FD63906"/>
    <w:rsid w:val="331C7F74"/>
    <w:rsid w:val="349B708F"/>
    <w:rsid w:val="355C04B5"/>
    <w:rsid w:val="37215DAE"/>
    <w:rsid w:val="38CA40DD"/>
    <w:rsid w:val="395F2B56"/>
    <w:rsid w:val="39B9331A"/>
    <w:rsid w:val="39CD3A4A"/>
    <w:rsid w:val="3B482032"/>
    <w:rsid w:val="3B4F1BD9"/>
    <w:rsid w:val="3BBA0580"/>
    <w:rsid w:val="3BECE841"/>
    <w:rsid w:val="3C550FEC"/>
    <w:rsid w:val="3CDE204C"/>
    <w:rsid w:val="3CFF46E8"/>
    <w:rsid w:val="3D363C36"/>
    <w:rsid w:val="3E9C3F6D"/>
    <w:rsid w:val="3FF7797D"/>
    <w:rsid w:val="458462D4"/>
    <w:rsid w:val="46690BD8"/>
    <w:rsid w:val="47A771C1"/>
    <w:rsid w:val="49792371"/>
    <w:rsid w:val="49F70BF1"/>
    <w:rsid w:val="4B4340EE"/>
    <w:rsid w:val="4F7B0D88"/>
    <w:rsid w:val="503D507A"/>
    <w:rsid w:val="51FA74D0"/>
    <w:rsid w:val="523755F3"/>
    <w:rsid w:val="52AA4A52"/>
    <w:rsid w:val="533269B7"/>
    <w:rsid w:val="539D3AD1"/>
    <w:rsid w:val="57DD48CE"/>
    <w:rsid w:val="59943D66"/>
    <w:rsid w:val="59E051FD"/>
    <w:rsid w:val="59E6355E"/>
    <w:rsid w:val="5A465A45"/>
    <w:rsid w:val="5B821531"/>
    <w:rsid w:val="5BFF6039"/>
    <w:rsid w:val="5C3D0756"/>
    <w:rsid w:val="5D76A616"/>
    <w:rsid w:val="5D7F20B9"/>
    <w:rsid w:val="5DA350BC"/>
    <w:rsid w:val="5DAC7D0E"/>
    <w:rsid w:val="5F98B5AF"/>
    <w:rsid w:val="5FFE8511"/>
    <w:rsid w:val="5FFEACE2"/>
    <w:rsid w:val="609D5BF6"/>
    <w:rsid w:val="61073070"/>
    <w:rsid w:val="61B9080E"/>
    <w:rsid w:val="61DF3FED"/>
    <w:rsid w:val="62606CE8"/>
    <w:rsid w:val="626F2B8E"/>
    <w:rsid w:val="642B176B"/>
    <w:rsid w:val="643EE26D"/>
    <w:rsid w:val="656019A0"/>
    <w:rsid w:val="65F242EE"/>
    <w:rsid w:val="666D7E19"/>
    <w:rsid w:val="666E5CE6"/>
    <w:rsid w:val="68376930"/>
    <w:rsid w:val="68F91E38"/>
    <w:rsid w:val="6A04214B"/>
    <w:rsid w:val="6B3158B9"/>
    <w:rsid w:val="6B87711B"/>
    <w:rsid w:val="6B8A2620"/>
    <w:rsid w:val="6BA02A3F"/>
    <w:rsid w:val="6BF30DC0"/>
    <w:rsid w:val="6C105349"/>
    <w:rsid w:val="6C1E5A53"/>
    <w:rsid w:val="6E136900"/>
    <w:rsid w:val="6F5C41AC"/>
    <w:rsid w:val="6FAF6C78"/>
    <w:rsid w:val="716167CC"/>
    <w:rsid w:val="718A7AD1"/>
    <w:rsid w:val="72A44BC2"/>
    <w:rsid w:val="7317C656"/>
    <w:rsid w:val="734ED73F"/>
    <w:rsid w:val="73A12CF4"/>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Char"/>
    <w:basedOn w:val="15"/>
    <w:link w:val="6"/>
    <w:qFormat/>
    <w:uiPriority w:val="0"/>
    <w:rPr>
      <w:rFonts w:ascii="Times New Roman" w:hAnsi="Times New Roman" w:eastAsia="宋体" w:cs="Times New Roman"/>
      <w:kern w:val="2"/>
      <w:sz w:val="18"/>
      <w:szCs w:val="18"/>
    </w:rPr>
  </w:style>
  <w:style w:type="character" w:customStyle="1" w:styleId="21">
    <w:name w:val="页眉 Char"/>
    <w:basedOn w:val="15"/>
    <w:link w:val="8"/>
    <w:qFormat/>
    <w:uiPriority w:val="0"/>
    <w:rPr>
      <w:rFonts w:ascii="Times New Roman" w:hAnsi="Times New Roman" w:eastAsia="宋体" w:cs="Times New Roman"/>
      <w:kern w:val="2"/>
      <w:sz w:val="18"/>
      <w:szCs w:val="18"/>
    </w:rPr>
  </w:style>
  <w:style w:type="character" w:customStyle="1" w:styleId="22">
    <w:name w:val="批注文字 Char"/>
    <w:basedOn w:val="15"/>
    <w:link w:val="3"/>
    <w:qFormat/>
    <w:uiPriority w:val="0"/>
    <w:rPr>
      <w:rFonts w:ascii="Times New Roman" w:hAnsi="Times New Roman" w:eastAsia="宋体" w:cs="Times New Roman"/>
      <w:kern w:val="2"/>
      <w:sz w:val="21"/>
      <w:szCs w:val="24"/>
    </w:rPr>
  </w:style>
  <w:style w:type="character" w:customStyle="1" w:styleId="23">
    <w:name w:val="批注主题 Char"/>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10808</Words>
  <Characters>11177</Characters>
  <Lines>89</Lines>
  <Paragraphs>25</Paragraphs>
  <TotalTime>0</TotalTime>
  <ScaleCrop>false</ScaleCrop>
  <LinksUpToDate>false</LinksUpToDate>
  <CharactersWithSpaces>11187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2025-04-07T07:50:00Z</dcterms:created>
  <dc:creator>审核人</dc:creator>
  <cp:lastModifiedBy>小糖豆</cp:lastModifiedBy>
  <dcterms:modified xsi:type="dcterms:W3CDTF">2025-11-27T03:32:40Z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7D1BCFDDD0284C61B1B92C0716F4F1E7_13</vt:lpwstr>
  </property>
  <property fmtid="{D5CDD505-2E9C-101B-9397-08002B2CF9AE}" pid="4" name="KSOTemplateDocerSaveRecord">
    <vt:lpwstr>eyJoZGlkIjoiOGFkNmZiY2VjMDdjZjNhYjcxMzg2NTlkY2FmMDAzYzIiLCJ1c2VySWQiOiIzMTEwOTcwNTkifQ==</vt:lpwstr>
  </property>
</Properties>
</file>