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674E" w14:textId="77777777" w:rsidR="00B76E9A" w:rsidRDefault="00B76E9A">
      <w:pPr>
        <w:spacing w:line="540" w:lineRule="exact"/>
        <w:jc w:val="center"/>
        <w:rPr>
          <w:rFonts w:eastAsia="华文中宋"/>
          <w:b/>
          <w:kern w:val="0"/>
          <w:sz w:val="52"/>
          <w:szCs w:val="52"/>
        </w:rPr>
      </w:pPr>
    </w:p>
    <w:p w14:paraId="13B3DB2E" w14:textId="77777777" w:rsidR="00B76E9A" w:rsidRDefault="00B76E9A">
      <w:pPr>
        <w:spacing w:line="540" w:lineRule="exact"/>
        <w:rPr>
          <w:rFonts w:eastAsia="华文中宋"/>
          <w:b/>
          <w:kern w:val="0"/>
          <w:sz w:val="52"/>
          <w:szCs w:val="52"/>
        </w:rPr>
      </w:pPr>
    </w:p>
    <w:p w14:paraId="75EC1DE5" w14:textId="77777777" w:rsidR="00B76E9A" w:rsidRDefault="00B76E9A">
      <w:pPr>
        <w:spacing w:line="540" w:lineRule="exact"/>
        <w:jc w:val="center"/>
        <w:rPr>
          <w:rFonts w:eastAsia="华文中宋"/>
          <w:b/>
          <w:kern w:val="0"/>
          <w:sz w:val="52"/>
          <w:szCs w:val="52"/>
        </w:rPr>
      </w:pPr>
    </w:p>
    <w:p w14:paraId="7E43BE24" w14:textId="77777777" w:rsidR="00B76E9A" w:rsidRDefault="00B76E9A">
      <w:pPr>
        <w:spacing w:line="540" w:lineRule="exact"/>
        <w:jc w:val="center"/>
        <w:rPr>
          <w:rFonts w:eastAsia="华文中宋"/>
          <w:b/>
          <w:kern w:val="0"/>
          <w:sz w:val="52"/>
          <w:szCs w:val="52"/>
        </w:rPr>
      </w:pPr>
    </w:p>
    <w:p w14:paraId="07E27746" w14:textId="77777777" w:rsidR="00B76E9A" w:rsidRDefault="00000000">
      <w:pPr>
        <w:spacing w:line="540" w:lineRule="exact"/>
        <w:jc w:val="center"/>
        <w:rPr>
          <w:rFonts w:eastAsia="方正小标宋_GBK"/>
          <w:kern w:val="0"/>
          <w:sz w:val="48"/>
          <w:szCs w:val="48"/>
        </w:rPr>
      </w:pPr>
      <w:r>
        <w:rPr>
          <w:rFonts w:eastAsia="方正小标宋_GBK" w:hint="eastAsia"/>
          <w:kern w:val="0"/>
          <w:sz w:val="48"/>
          <w:szCs w:val="48"/>
        </w:rPr>
        <w:t>新疆胜天房地产开发有限公司荒山绿化用地补偿款</w:t>
      </w:r>
      <w:r>
        <w:rPr>
          <w:rFonts w:eastAsia="方正小标宋_GBK"/>
          <w:kern w:val="0"/>
          <w:sz w:val="48"/>
          <w:szCs w:val="48"/>
        </w:rPr>
        <w:t>项目支出绩效评价</w:t>
      </w:r>
    </w:p>
    <w:p w14:paraId="16066637" w14:textId="77777777" w:rsidR="00B76E9A" w:rsidRDefault="00000000">
      <w:pPr>
        <w:spacing w:line="540" w:lineRule="exact"/>
        <w:jc w:val="center"/>
        <w:rPr>
          <w:rFonts w:eastAsia="方正小标宋_GBK"/>
          <w:kern w:val="0"/>
          <w:sz w:val="48"/>
          <w:szCs w:val="48"/>
        </w:rPr>
      </w:pPr>
      <w:r>
        <w:rPr>
          <w:rFonts w:eastAsia="方正小标宋_GBK"/>
          <w:kern w:val="0"/>
          <w:sz w:val="48"/>
          <w:szCs w:val="48"/>
        </w:rPr>
        <w:t>报告</w:t>
      </w:r>
    </w:p>
    <w:p w14:paraId="0E8BFEC9" w14:textId="77777777" w:rsidR="00B76E9A" w:rsidRDefault="00B76E9A">
      <w:pPr>
        <w:spacing w:line="540" w:lineRule="exact"/>
        <w:jc w:val="center"/>
        <w:rPr>
          <w:rFonts w:eastAsia="华文中宋"/>
          <w:b/>
          <w:kern w:val="0"/>
          <w:sz w:val="52"/>
          <w:szCs w:val="52"/>
        </w:rPr>
      </w:pPr>
    </w:p>
    <w:p w14:paraId="2BBA1E57" w14:textId="77777777" w:rsidR="00B76E9A"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 xml:space="preserve"> 202</w:t>
      </w:r>
      <w:r>
        <w:rPr>
          <w:rFonts w:eastAsia="仿宋_GB2312" w:hint="eastAsia"/>
          <w:kern w:val="0"/>
          <w:sz w:val="36"/>
          <w:szCs w:val="36"/>
        </w:rPr>
        <w:t>4</w:t>
      </w:r>
      <w:r>
        <w:rPr>
          <w:rFonts w:eastAsia="仿宋_GB2312"/>
          <w:kern w:val="0"/>
          <w:sz w:val="36"/>
          <w:szCs w:val="36"/>
        </w:rPr>
        <w:t>年度）</w:t>
      </w:r>
    </w:p>
    <w:p w14:paraId="1E2AC7B9" w14:textId="77777777" w:rsidR="00B76E9A" w:rsidRDefault="00B76E9A">
      <w:pPr>
        <w:spacing w:line="540" w:lineRule="exact"/>
        <w:rPr>
          <w:rFonts w:eastAsia="仿宋_GB2312"/>
          <w:kern w:val="0"/>
          <w:sz w:val="30"/>
          <w:szCs w:val="30"/>
        </w:rPr>
      </w:pPr>
    </w:p>
    <w:p w14:paraId="6A3CCF0F" w14:textId="77777777" w:rsidR="00B76E9A"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新疆胜天房地产开发有限公司荒山绿化项目用地偿款</w:t>
      </w:r>
      <w:r>
        <w:rPr>
          <w:rFonts w:eastAsia="仿宋_GB2312"/>
          <w:kern w:val="0"/>
          <w:sz w:val="36"/>
          <w:szCs w:val="36"/>
        </w:rPr>
        <w:t>项目</w:t>
      </w:r>
    </w:p>
    <w:p w14:paraId="6E5F8937" w14:textId="77777777" w:rsidR="00CA56A3"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sidR="00CA56A3">
        <w:rPr>
          <w:rFonts w:eastAsia="仿宋_GB2312" w:hint="eastAsia"/>
          <w:kern w:val="0"/>
          <w:sz w:val="36"/>
          <w:szCs w:val="36"/>
        </w:rPr>
        <w:t>乌鲁木齐市沙依巴克区房屋征收与补偿管理办公室</w:t>
      </w:r>
    </w:p>
    <w:p w14:paraId="6F7F0629" w14:textId="1C1F0DC2" w:rsidR="00B76E9A" w:rsidRDefault="00000000">
      <w:pPr>
        <w:spacing w:line="700" w:lineRule="exact"/>
        <w:ind w:firstLineChars="400" w:firstLine="1440"/>
        <w:jc w:val="left"/>
        <w:rPr>
          <w:rFonts w:eastAsia="仿宋_GB2312"/>
          <w:kern w:val="0"/>
          <w:sz w:val="36"/>
          <w:szCs w:val="36"/>
        </w:rPr>
      </w:pPr>
      <w:r>
        <w:rPr>
          <w:rFonts w:eastAsia="仿宋_GB2312" w:hint="eastAsia"/>
          <w:kern w:val="0"/>
          <w:sz w:val="36"/>
          <w:szCs w:val="36"/>
        </w:rPr>
        <w:t>主</w:t>
      </w:r>
      <w:r>
        <w:rPr>
          <w:rFonts w:eastAsia="仿宋_GB2312"/>
          <w:kern w:val="0"/>
          <w:sz w:val="36"/>
          <w:szCs w:val="36"/>
        </w:rPr>
        <w:t>管部门（公章）：</w:t>
      </w:r>
      <w:r>
        <w:rPr>
          <w:rFonts w:eastAsia="仿宋_GB2312" w:hint="eastAsia"/>
          <w:kern w:val="0"/>
          <w:sz w:val="36"/>
          <w:szCs w:val="36"/>
        </w:rPr>
        <w:t>乌鲁木齐市沙依巴克区房屋征收与补偿管理办公室</w:t>
      </w:r>
    </w:p>
    <w:p w14:paraId="771C4947" w14:textId="77777777" w:rsidR="00B76E9A"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姜勇</w:t>
      </w:r>
    </w:p>
    <w:p w14:paraId="133428B3" w14:textId="77777777" w:rsidR="00B76E9A"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17</w:t>
      </w:r>
      <w:r>
        <w:rPr>
          <w:rFonts w:eastAsia="仿宋_GB2312"/>
          <w:kern w:val="0"/>
          <w:sz w:val="36"/>
          <w:szCs w:val="36"/>
        </w:rPr>
        <w:t>日</w:t>
      </w:r>
    </w:p>
    <w:p w14:paraId="530A10E6" w14:textId="77777777" w:rsidR="00B76E9A"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44373866" w14:textId="77777777" w:rsidR="00B76E9A"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157B69AA" w14:textId="77777777" w:rsidR="00B76E9A"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A91529C" w14:textId="77777777" w:rsidR="00B76E9A" w:rsidRDefault="00000000">
      <w:pPr>
        <w:snapToGrid w:val="0"/>
        <w:spacing w:line="560" w:lineRule="exact"/>
        <w:ind w:firstLineChars="200" w:firstLine="640"/>
        <w:jc w:val="left"/>
        <w:rPr>
          <w:rFonts w:eastAsia="仿宋_GB2312"/>
          <w:sz w:val="32"/>
          <w:szCs w:val="32"/>
        </w:rPr>
      </w:pPr>
      <w:r>
        <w:rPr>
          <w:rFonts w:eastAsia="仿宋_GB2312" w:hint="eastAsia"/>
          <w:sz w:val="32"/>
          <w:szCs w:val="32"/>
        </w:rPr>
        <w:t>根据《乌鲁木齐市荒山绿化项目配置建设用地挂牌出让工作实施方案（试行）有关规定》。经荒山绿化承包单位（个人）自愿申请，</w:t>
      </w:r>
      <w:bookmarkStart w:id="0" w:name="OLE_LINK1"/>
      <w:r>
        <w:rPr>
          <w:rFonts w:eastAsia="仿宋_GB2312" w:hint="eastAsia"/>
          <w:sz w:val="32"/>
          <w:szCs w:val="32"/>
        </w:rPr>
        <w:t>乌鲁木齐市沙依巴克区房屋征收与补偿管理办公室与新疆胜天房地产开发有限公司签定协议，对承包的荒山绿化建设项目用地予以收回并进行补偿。项目乙方新疆胜天房地产开发有限公司在荒山范围区域内，因自治区、乌市重点项目取土造成裸露部分土地，应按照绿化恢复承诺及方案，于</w:t>
      </w:r>
      <w:r>
        <w:rPr>
          <w:rFonts w:eastAsia="仿宋_GB2312" w:hint="eastAsia"/>
          <w:sz w:val="32"/>
          <w:szCs w:val="32"/>
        </w:rPr>
        <w:t>2021</w:t>
      </w:r>
      <w:r>
        <w:rPr>
          <w:rFonts w:eastAsia="仿宋_GB2312" w:hint="eastAsia"/>
          <w:sz w:val="32"/>
          <w:szCs w:val="32"/>
        </w:rPr>
        <w:t>年春季实施绿化，完成恢复取土区域的绿化种植并做好乙方管辖区域内荒山所有区域绿化种植、补植和养护管理相关工作。</w:t>
      </w:r>
      <w:bookmarkEnd w:id="0"/>
      <w:r>
        <w:rPr>
          <w:rFonts w:eastAsia="仿宋_GB2312" w:hint="eastAsia"/>
          <w:sz w:val="32"/>
          <w:szCs w:val="32"/>
        </w:rPr>
        <w:t>为城市居民提供良好的居住环境和社会服务，提高居民的生活质量和幸福指数。</w:t>
      </w:r>
      <w:r>
        <w:rPr>
          <w:rFonts w:eastAsia="仿宋_GB2312" w:hint="eastAsia"/>
          <w:sz w:val="32"/>
          <w:szCs w:val="32"/>
        </w:rPr>
        <w:t xml:space="preserve"> </w:t>
      </w:r>
    </w:p>
    <w:p w14:paraId="741AF8D2" w14:textId="77777777" w:rsidR="00B76E9A" w:rsidRDefault="00000000">
      <w:pPr>
        <w:pStyle w:val="ad"/>
        <w:numPr>
          <w:ilvl w:val="0"/>
          <w:numId w:val="1"/>
        </w:numPr>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项目主要内容：</w:t>
      </w:r>
    </w:p>
    <w:p w14:paraId="49C87B70" w14:textId="53D87056" w:rsidR="00B76E9A" w:rsidRDefault="00000000">
      <w:pPr>
        <w:spacing w:line="560" w:lineRule="exact"/>
        <w:ind w:firstLineChars="200" w:firstLine="640"/>
        <w:rPr>
          <w:rFonts w:eastAsia="仿宋_GB2312"/>
          <w:sz w:val="32"/>
          <w:szCs w:val="32"/>
        </w:rPr>
      </w:pPr>
      <w:r>
        <w:rPr>
          <w:rFonts w:eastAsia="仿宋_GB2312" w:hint="eastAsia"/>
          <w:sz w:val="32"/>
          <w:szCs w:val="32"/>
        </w:rPr>
        <w:t>项目主要内容：按照《乌鲁木齐市荒山绿化项目配置建设用地挂牌出让工作实施方案（试行）有关规定》要求。市财政局下达了《关于拨付新疆胜天房地产开发有限公司荒山绿化项目用地补偿资金的通知》（乌财资环</w:t>
      </w:r>
      <w:r>
        <w:rPr>
          <w:rFonts w:eastAsia="仿宋_GB2312" w:hint="eastAsia"/>
          <w:sz w:val="32"/>
          <w:szCs w:val="32"/>
        </w:rPr>
        <w:t>[2024]26</w:t>
      </w:r>
      <w:r>
        <w:rPr>
          <w:rFonts w:eastAsia="仿宋_GB2312" w:hint="eastAsia"/>
          <w:sz w:val="32"/>
          <w:szCs w:val="32"/>
        </w:rPr>
        <w:t>号）。遵照文件精神及征收补偿协议等资料，</w:t>
      </w:r>
      <w:r w:rsidR="002B001F" w:rsidRPr="002B001F">
        <w:rPr>
          <w:rFonts w:eastAsia="仿宋_GB2312" w:hint="eastAsia"/>
          <w:sz w:val="32"/>
          <w:szCs w:val="32"/>
        </w:rPr>
        <w:t>拨付</w:t>
      </w:r>
      <w:r>
        <w:rPr>
          <w:rFonts w:eastAsia="仿宋_GB2312" w:hint="eastAsia"/>
          <w:sz w:val="32"/>
          <w:szCs w:val="32"/>
        </w:rPr>
        <w:t>荒山绿化项目用地补偿资金</w:t>
      </w:r>
      <w:r>
        <w:rPr>
          <w:rFonts w:eastAsia="仿宋_GB2312" w:hint="eastAsia"/>
          <w:sz w:val="32"/>
          <w:szCs w:val="32"/>
        </w:rPr>
        <w:t>4000</w:t>
      </w:r>
      <w:r>
        <w:rPr>
          <w:rFonts w:eastAsia="仿宋_GB2312" w:hint="eastAsia"/>
          <w:sz w:val="32"/>
          <w:szCs w:val="32"/>
        </w:rPr>
        <w:t>万元，专项用于新疆胜天房地产开发有限公司山绿化项目用地征收补偿。使企业得到项目预期增值、收益，缓解企业资金紧张现象。</w:t>
      </w:r>
    </w:p>
    <w:p w14:paraId="2B3447F0" w14:textId="77777777" w:rsidR="00B76E9A" w:rsidRDefault="00000000">
      <w:pPr>
        <w:pStyle w:val="a3"/>
        <w:ind w:firstLineChars="200" w:firstLine="640"/>
        <w:rPr>
          <w:rFonts w:eastAsia="仿宋_GB2312"/>
          <w:sz w:val="32"/>
          <w:szCs w:val="32"/>
        </w:rPr>
      </w:pPr>
      <w:r>
        <w:rPr>
          <w:rFonts w:eastAsia="仿宋_GB2312"/>
          <w:sz w:val="32"/>
          <w:szCs w:val="32"/>
        </w:rPr>
        <w:lastRenderedPageBreak/>
        <w:t>项目实施情况：</w:t>
      </w:r>
      <w:r>
        <w:rPr>
          <w:rFonts w:eastAsia="仿宋_GB2312" w:hint="eastAsia"/>
          <w:sz w:val="32"/>
          <w:szCs w:val="32"/>
        </w:rPr>
        <w:t>截止</w:t>
      </w:r>
      <w:r>
        <w:rPr>
          <w:rFonts w:eastAsia="仿宋_GB2312" w:hint="eastAsia"/>
          <w:sz w:val="32"/>
          <w:szCs w:val="32"/>
        </w:rPr>
        <w:t>2024</w:t>
      </w:r>
      <w:r>
        <w:rPr>
          <w:rFonts w:eastAsia="仿宋_GB2312" w:hint="eastAsia"/>
          <w:sz w:val="32"/>
          <w:szCs w:val="32"/>
        </w:rPr>
        <w:t>年完成补偿企业户数</w:t>
      </w:r>
      <w:r>
        <w:rPr>
          <w:rFonts w:eastAsia="仿宋_GB2312" w:hint="eastAsia"/>
          <w:sz w:val="32"/>
          <w:szCs w:val="32"/>
        </w:rPr>
        <w:t>1</w:t>
      </w:r>
      <w:r>
        <w:rPr>
          <w:rFonts w:eastAsia="仿宋_GB2312" w:hint="eastAsia"/>
          <w:sz w:val="32"/>
          <w:szCs w:val="32"/>
        </w:rPr>
        <w:t>户，为承包荒山绿化建设项目的新疆胜天房地产开发有限公司，共计支付</w:t>
      </w:r>
      <w:r>
        <w:rPr>
          <w:rFonts w:eastAsia="仿宋_GB2312" w:hint="eastAsia"/>
          <w:sz w:val="32"/>
          <w:szCs w:val="32"/>
        </w:rPr>
        <w:t>4000</w:t>
      </w:r>
      <w:r>
        <w:rPr>
          <w:rFonts w:eastAsia="仿宋_GB2312" w:hint="eastAsia"/>
          <w:sz w:val="32"/>
          <w:szCs w:val="32"/>
        </w:rPr>
        <w:t>万元，通过该项目开展，极大的鼓励了企业进行荒山绿化的积极性。改善人居环境，改善城市生态环境，提升城市定居水平。</w:t>
      </w:r>
    </w:p>
    <w:p w14:paraId="0FB88A46" w14:textId="77777777" w:rsidR="00B76E9A"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359D48DE"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（1）资金投入情况</w:t>
      </w:r>
    </w:p>
    <w:p w14:paraId="6E013148"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该项目年初预算数4000万元，全年预算数4000万元，该项目资金已全部落实到位，资金来源为财政拨款。</w:t>
      </w:r>
    </w:p>
    <w:p w14:paraId="3ECC7FAE"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（2）资金使用情况</w:t>
      </w:r>
    </w:p>
    <w:p w14:paraId="464B1F09"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该项目年初预算数4000万元，全年预算数4000万，全年执行数4000万元，预算执行率为100%，主要用于：新疆胜天房地产开发有限公司荒山绿化项目用地补偿。</w:t>
      </w:r>
    </w:p>
    <w:p w14:paraId="4AF27A87" w14:textId="77777777" w:rsidR="00B76E9A"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53537A36" w14:textId="77777777" w:rsidR="00B76E9A"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、总体目标</w:t>
      </w:r>
    </w:p>
    <w:p w14:paraId="44845C68" w14:textId="77777777" w:rsidR="00B76E9A" w:rsidRDefault="00000000">
      <w:pPr>
        <w:spacing w:line="560" w:lineRule="exact"/>
        <w:ind w:firstLineChars="200" w:firstLine="640"/>
        <w:rPr>
          <w:rFonts w:eastAsia="仿宋_GB2312"/>
          <w:color w:val="0000FF"/>
          <w:sz w:val="32"/>
          <w:szCs w:val="32"/>
        </w:rPr>
      </w:pPr>
      <w:r>
        <w:rPr>
          <w:rFonts w:eastAsia="仿宋_GB2312" w:hint="eastAsia"/>
          <w:sz w:val="32"/>
          <w:szCs w:val="32"/>
        </w:rPr>
        <w:t>对企业实施的荒山绿化项目予以收回并进行协议补偿，减轻企业负担，提高企业实施荒山绿化建设的积极性，增加首府绿化面积，改善城市定居水平。</w:t>
      </w:r>
    </w:p>
    <w:p w14:paraId="24D9E61D" w14:textId="77777777" w:rsidR="00B76E9A" w:rsidRDefault="00000000">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、阶段性目标</w:t>
      </w:r>
    </w:p>
    <w:p w14:paraId="565DA254" w14:textId="77777777" w:rsidR="00B76E9A" w:rsidRDefault="00000000">
      <w:pPr>
        <w:spacing w:line="560" w:lineRule="exact"/>
        <w:ind w:firstLineChars="200" w:firstLine="640"/>
        <w:rPr>
          <w:rFonts w:eastAsia="仿宋_GB2312"/>
          <w:sz w:val="32"/>
          <w:szCs w:val="32"/>
        </w:rPr>
      </w:pPr>
      <w:r>
        <w:rPr>
          <w:rFonts w:eastAsia="仿宋_GB2312" w:hint="eastAsia"/>
          <w:sz w:val="32"/>
          <w:szCs w:val="32"/>
        </w:rPr>
        <w:t>按照《乌鲁木齐市荒山绿化项目配置建设用地挂牌出让实</w:t>
      </w:r>
      <w:r>
        <w:rPr>
          <w:rFonts w:eastAsia="仿宋_GB2312" w:hint="eastAsia"/>
          <w:sz w:val="32"/>
          <w:szCs w:val="32"/>
        </w:rPr>
        <w:lastRenderedPageBreak/>
        <w:t>施方案（试行）有关规定》，由市自然资源局《关于乌鲁木齐市荒山绿化项目预期收益和增值收益分配确认书》乌自然资函</w:t>
      </w:r>
      <w:r>
        <w:rPr>
          <w:rFonts w:eastAsia="仿宋_GB2312" w:hint="eastAsia"/>
          <w:sz w:val="32"/>
          <w:szCs w:val="32"/>
        </w:rPr>
        <w:t>[2021]1307</w:t>
      </w:r>
      <w:r>
        <w:rPr>
          <w:rFonts w:eastAsia="仿宋_GB2312" w:hint="eastAsia"/>
          <w:sz w:val="32"/>
          <w:szCs w:val="32"/>
        </w:rPr>
        <w:t>号文件确定了协议整体补偿金额，遵照区人民政府在《关于上报乌鲁木齐市</w:t>
      </w:r>
      <w:r>
        <w:rPr>
          <w:rFonts w:eastAsia="仿宋_GB2312" w:hint="eastAsia"/>
          <w:sz w:val="32"/>
          <w:szCs w:val="32"/>
        </w:rPr>
        <w:t>2024</w:t>
      </w:r>
      <w:r>
        <w:rPr>
          <w:rFonts w:eastAsia="仿宋_GB2312" w:hint="eastAsia"/>
          <w:sz w:val="32"/>
          <w:szCs w:val="32"/>
        </w:rPr>
        <w:t>年第二批土地征收成本资金分配方案的请示》（乌财资环</w:t>
      </w:r>
      <w:r>
        <w:rPr>
          <w:rFonts w:eastAsia="仿宋_GB2312" w:hint="eastAsia"/>
          <w:sz w:val="32"/>
          <w:szCs w:val="32"/>
        </w:rPr>
        <w:t>[2024]20</w:t>
      </w:r>
      <w:r>
        <w:rPr>
          <w:rFonts w:eastAsia="仿宋_GB2312" w:hint="eastAsia"/>
          <w:sz w:val="32"/>
          <w:szCs w:val="32"/>
        </w:rPr>
        <w:t>号）的批示精神等相关材料，市财政拨付</w:t>
      </w:r>
      <w:r>
        <w:rPr>
          <w:rFonts w:eastAsia="仿宋_GB2312" w:hint="eastAsia"/>
          <w:sz w:val="32"/>
          <w:szCs w:val="32"/>
        </w:rPr>
        <w:t>4000</w:t>
      </w:r>
      <w:r>
        <w:rPr>
          <w:rFonts w:eastAsia="仿宋_GB2312" w:hint="eastAsia"/>
          <w:sz w:val="32"/>
          <w:szCs w:val="32"/>
        </w:rPr>
        <w:t>万元用于新疆胜天房地产开发有限公司荒山绿化项目用地补偿。</w:t>
      </w:r>
    </w:p>
    <w:p w14:paraId="61294868" w14:textId="77777777" w:rsidR="00B76E9A" w:rsidRDefault="00000000">
      <w:pPr>
        <w:spacing w:line="560" w:lineRule="exact"/>
        <w:ind w:firstLineChars="200" w:firstLine="640"/>
        <w:rPr>
          <w:rFonts w:eastAsia="黑体"/>
          <w:sz w:val="32"/>
          <w:szCs w:val="32"/>
        </w:rPr>
      </w:pPr>
      <w:r>
        <w:rPr>
          <w:rFonts w:eastAsia="黑体"/>
          <w:sz w:val="32"/>
          <w:szCs w:val="32"/>
        </w:rPr>
        <w:t>二、绩效评价工作开展情况</w:t>
      </w:r>
    </w:p>
    <w:p w14:paraId="07CB9A19" w14:textId="77777777" w:rsidR="00B76E9A"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28E35C2B"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3553A21B" w14:textId="77777777" w:rsidR="00B76E9A"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47EC065" w14:textId="77777777" w:rsidR="00B76E9A"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经济效益、社会效益等多个维度，力求全方位反映项目的绩效状况。同时，对于每个指标的评价标准和数据来源均进行了明确说明，确保评价结果的客观性和可追溯性。</w:t>
      </w:r>
    </w:p>
    <w:p w14:paraId="6DA7D3AE" w14:textId="77777777" w:rsidR="00B76E9A"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w:t>
      </w:r>
      <w:r>
        <w:rPr>
          <w:rFonts w:eastAsia="仿宋_GB2312"/>
          <w:sz w:val="32"/>
          <w:szCs w:val="32"/>
        </w:rPr>
        <w:lastRenderedPageBreak/>
        <w:t>以确保评价结论的科学性和可靠性。此外，还对数据的质量和完整性进行了严格把控，对于缺失或异常的数据进行了合理的处理和说明，保证了评价数据的真实性和有效性。</w:t>
      </w:r>
    </w:p>
    <w:p w14:paraId="5A70B71D" w14:textId="77777777" w:rsidR="00B76E9A"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12DCBF2" w14:textId="77777777" w:rsidR="00B76E9A"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44F5D8C8" w14:textId="77777777" w:rsidR="00B76E9A"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268A50A4" w14:textId="77777777" w:rsidR="00B76E9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23447135" w14:textId="77777777" w:rsidR="00B76E9A"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通过对项目预算执行情况及各项绩效目标达成程度的系统性分析，全面、客观地评估项目在预定周期内的实施效果，包括经济效益、社会效益及可持续性等多维度指标，为项目后</w:t>
      </w:r>
      <w:r>
        <w:rPr>
          <w:rFonts w:eastAsia="仿宋_GB2312"/>
          <w:sz w:val="32"/>
          <w:szCs w:val="32"/>
        </w:rPr>
        <w:lastRenderedPageBreak/>
        <w:t>续的改进与优化提供科学依据。</w:t>
      </w:r>
    </w:p>
    <w:p w14:paraId="13B7B8A0" w14:textId="77777777" w:rsidR="00B76E9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0A3298B6" w14:textId="77777777" w:rsidR="00B76E9A"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21935A3" w14:textId="77777777" w:rsidR="00B76E9A"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2C2B9EE9" w14:textId="77777777" w:rsidR="00B76E9A"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207C0B51"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51CADE84" w14:textId="77777777" w:rsidR="00B76E9A" w:rsidRDefault="00000000">
      <w:pPr>
        <w:pStyle w:val="a3"/>
        <w:ind w:firstLineChars="200" w:firstLine="640"/>
        <w:rPr>
          <w:rFonts w:eastAsia="仿宋_GB2312"/>
          <w:sz w:val="32"/>
          <w:szCs w:val="32"/>
        </w:rPr>
      </w:pPr>
      <w:r>
        <w:rPr>
          <w:rFonts w:eastAsia="仿宋_GB2312" w:hint="eastAsia"/>
          <w:sz w:val="32"/>
          <w:szCs w:val="32"/>
        </w:rPr>
        <w:t>本</w:t>
      </w:r>
      <w:r>
        <w:rPr>
          <w:rFonts w:eastAsia="仿宋_GB2312"/>
          <w:sz w:val="32"/>
          <w:szCs w:val="32"/>
        </w:rPr>
        <w:t>项目预算绩效评价报告的评价对象是</w:t>
      </w:r>
      <w:r>
        <w:rPr>
          <w:rFonts w:eastAsia="仿宋_GB2312" w:hint="eastAsia"/>
          <w:sz w:val="32"/>
          <w:szCs w:val="32"/>
        </w:rPr>
        <w:t>新疆胜天房地产开发有限公司荒山绿化用地补偿款项目支出</w:t>
      </w:r>
      <w:r>
        <w:rPr>
          <w:rFonts w:eastAsia="仿宋_GB2312"/>
          <w:sz w:val="32"/>
          <w:szCs w:val="32"/>
        </w:rPr>
        <w:t>及其预算执行情况。该项目由</w:t>
      </w:r>
      <w:r>
        <w:rPr>
          <w:rFonts w:eastAsia="仿宋_GB2312" w:hint="eastAsia"/>
          <w:sz w:val="32"/>
          <w:szCs w:val="32"/>
        </w:rPr>
        <w:t>乌鲁木齐市沙依巴克区房屋征收与补偿管理办公室</w:t>
      </w:r>
      <w:r>
        <w:rPr>
          <w:rFonts w:eastAsia="仿宋_GB2312"/>
          <w:sz w:val="32"/>
          <w:szCs w:val="32"/>
        </w:rPr>
        <w:t>负责实施，</w:t>
      </w:r>
      <w:r>
        <w:rPr>
          <w:rFonts w:eastAsia="仿宋_GB2312" w:hint="eastAsia"/>
          <w:sz w:val="32"/>
          <w:szCs w:val="32"/>
        </w:rPr>
        <w:t>完成对新疆胜天房地产开发有限公司荒山绿化用地补偿。项目预算涵盖从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日的全部资金投入与支出，涉及资金总额为</w:t>
      </w:r>
      <w:r>
        <w:rPr>
          <w:rFonts w:eastAsia="仿宋_GB2312" w:hint="eastAsia"/>
          <w:sz w:val="32"/>
          <w:szCs w:val="32"/>
        </w:rPr>
        <w:t>4000</w:t>
      </w:r>
      <w:r>
        <w:rPr>
          <w:rFonts w:eastAsia="仿宋_GB2312" w:hint="eastAsia"/>
          <w:sz w:val="32"/>
          <w:szCs w:val="32"/>
        </w:rPr>
        <w:t>万元。</w:t>
      </w:r>
    </w:p>
    <w:p w14:paraId="6EC761B7"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 xml:space="preserve"> </w:t>
      </w:r>
      <w:r>
        <w:rPr>
          <w:rFonts w:ascii="Times New Roman" w:eastAsia="仿宋_GB2312" w:hAnsi="Times New Roman"/>
          <w:b w:val="0"/>
          <w:bCs w:val="0"/>
        </w:rPr>
        <w:t>4.</w:t>
      </w:r>
      <w:r>
        <w:rPr>
          <w:rFonts w:ascii="Times New Roman" w:eastAsia="仿宋_GB2312" w:hAnsi="Times New Roman"/>
          <w:b w:val="0"/>
          <w:bCs w:val="0"/>
        </w:rPr>
        <w:t>绩效评价的范围</w:t>
      </w:r>
    </w:p>
    <w:p w14:paraId="71FC9BAB"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w:t>
      </w:r>
      <w:r>
        <w:rPr>
          <w:rFonts w:ascii="Times New Roman" w:eastAsia="仿宋_GB2312" w:hAnsi="Times New Roman"/>
          <w:b w:val="0"/>
          <w:bCs w:val="0"/>
        </w:rPr>
        <w:lastRenderedPageBreak/>
        <w:t>具体而言，评价范围包括但不限于以下几个方面：</w:t>
      </w:r>
    </w:p>
    <w:p w14:paraId="02ECE86F" w14:textId="77777777" w:rsidR="00B76E9A"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559DA0CC" w14:textId="77777777" w:rsidR="00B76E9A"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1B2E8DFA" w14:textId="77777777" w:rsidR="00B76E9A"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64096E75" w14:textId="77777777" w:rsidR="00B76E9A" w:rsidRDefault="00000000">
      <w:pPr>
        <w:pStyle w:val="ad"/>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考察项目对社会、经济等方面的综合影响。</w:t>
      </w:r>
    </w:p>
    <w:p w14:paraId="58DF7903" w14:textId="77777777" w:rsidR="00B76E9A"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10324142"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72FE3A4B" w14:textId="77777777" w:rsidR="00B76E9A"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1E0F4DBA" w14:textId="77777777" w:rsidR="00B76E9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4C25A36C" w14:textId="77777777" w:rsidR="00B76E9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5AFB51AE" w14:textId="77777777" w:rsidR="00B76E9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6796C2E" w14:textId="77777777" w:rsidR="00B76E9A"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2B381719"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21DAF3A0" w14:textId="77777777" w:rsidR="00B76E9A"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67C0F6EC"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70CDA59B"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C571E67"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553608E5" w14:textId="77777777" w:rsidR="00B76E9A"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15000ADE"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3DAD99AD"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47ED5013" w14:textId="77777777" w:rsidR="00B76E9A"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lastRenderedPageBreak/>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7625B4A7" w14:textId="77777777" w:rsidR="00B76E9A"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1F905D03"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004CF6C3"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23A352EF" w14:textId="77777777" w:rsidR="00B76E9A"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BB1683A" w14:textId="77777777" w:rsidR="00B76E9A" w:rsidRDefault="00000000">
      <w:pPr>
        <w:spacing w:line="560" w:lineRule="exact"/>
        <w:ind w:firstLineChars="200" w:firstLine="708"/>
        <w:rPr>
          <w:rFonts w:eastAsia="仿宋_GB2312"/>
          <w:spacing w:val="17"/>
          <w:sz w:val="32"/>
          <w:szCs w:val="32"/>
          <w:shd w:val="clear" w:color="FFFFFF" w:fill="D9D9D9"/>
        </w:rPr>
      </w:pPr>
      <w:r>
        <w:rPr>
          <w:rFonts w:eastAsia="仿宋_GB2312"/>
          <w:color w:val="000000"/>
          <w:spacing w:val="17"/>
          <w:sz w:val="32"/>
          <w:szCs w:val="32"/>
        </w:rPr>
        <w:t>（</w:t>
      </w:r>
      <w:r>
        <w:rPr>
          <w:rFonts w:eastAsia="仿宋_GB2312" w:hint="eastAsia"/>
          <w:color w:val="000000"/>
          <w:spacing w:val="17"/>
          <w:sz w:val="32"/>
          <w:szCs w:val="32"/>
        </w:rPr>
        <w:t>一</w:t>
      </w:r>
      <w:r>
        <w:rPr>
          <w:rFonts w:eastAsia="仿宋_GB2312"/>
          <w:color w:val="000000"/>
          <w:spacing w:val="17"/>
          <w:sz w:val="32"/>
          <w:szCs w:val="32"/>
        </w:rPr>
        <w:t>）</w:t>
      </w:r>
      <w:r>
        <w:rPr>
          <w:rFonts w:eastAsia="仿宋_GB2312"/>
          <w:spacing w:val="17"/>
          <w:sz w:val="32"/>
          <w:szCs w:val="32"/>
        </w:rPr>
        <w:t>比较法。</w:t>
      </w:r>
      <w:r>
        <w:rPr>
          <w:rFonts w:eastAsia="仿宋_GB2312" w:hint="eastAsia"/>
          <w:spacing w:val="17"/>
          <w:sz w:val="32"/>
          <w:szCs w:val="32"/>
        </w:rPr>
        <w:t>通过对绩效目标与实施效果、历史与当期情况，综合分析绩效目标实现程度。对项目最终验收情况与年度绩效目标对比、预算资金执行情况等相关因素进行比较。</w:t>
      </w:r>
    </w:p>
    <w:p w14:paraId="6FF85348" w14:textId="77777777" w:rsidR="00B76E9A" w:rsidRDefault="00000000">
      <w:pPr>
        <w:ind w:firstLineChars="200" w:firstLine="708"/>
        <w:jc w:val="left"/>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二</w:t>
      </w:r>
      <w:r>
        <w:rPr>
          <w:rFonts w:eastAsia="仿宋_GB2312"/>
          <w:color w:val="000000"/>
          <w:spacing w:val="17"/>
          <w:sz w:val="32"/>
          <w:szCs w:val="32"/>
        </w:rPr>
        <w:t>）因素分析法。</w:t>
      </w:r>
      <w:r>
        <w:rPr>
          <w:rFonts w:eastAsia="仿宋_GB2312" w:hint="eastAsia"/>
          <w:color w:val="000000"/>
          <w:spacing w:val="17"/>
          <w:sz w:val="32"/>
          <w:szCs w:val="32"/>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p>
    <w:p w14:paraId="249FE5AC"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253ABC58"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59585309"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2C765CA8" w14:textId="77777777" w:rsidR="00B76E9A" w:rsidRDefault="00000000">
      <w:pPr>
        <w:pStyle w:val="ad"/>
        <w:numPr>
          <w:ilvl w:val="0"/>
          <w:numId w:val="3"/>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3CD7172"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1.</w:t>
      </w:r>
      <w:r>
        <w:rPr>
          <w:rFonts w:ascii="Times New Roman" w:eastAsia="仿宋_GB2312" w:hAnsi="Times New Roman" w:hint="eastAsia"/>
          <w:b w:val="0"/>
          <w:bCs w:val="0"/>
        </w:rPr>
        <w:t>前期准备。首先成立评价工作组，开展前期调研；其次明确项目绩效目标，设计绩效评价指标体系并确定绩效评价方法；接着确定现场和非现场评价范围，设计资料清单；最后制定评价实施方案并进行论证。</w:t>
      </w:r>
    </w:p>
    <w:p w14:paraId="0B860925"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hint="eastAsia"/>
          <w:b w:val="0"/>
          <w:bCs w:val="0"/>
        </w:rPr>
        <w:t>2.</w:t>
      </w:r>
      <w:r>
        <w:rPr>
          <w:rFonts w:ascii="Times New Roman" w:eastAsia="仿宋_GB2312" w:hAnsi="Times New Roman" w:hint="eastAsia"/>
          <w:b w:val="0"/>
          <w:bCs w:val="0"/>
        </w:rPr>
        <w:t>组织实施。制定绩效评价工作方案，具体包括项目概况、评价思路、方法手段、组织实施、进度安排等。收集项目立项依据、相关会议纪要、实施方案、财政资金分配方案、支付管理情况等相关评价资料并进行梳理。</w:t>
      </w:r>
    </w:p>
    <w:p w14:paraId="3019850B"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rPr>
      </w:pPr>
      <w:r>
        <w:rPr>
          <w:rFonts w:ascii="Times New Roman" w:eastAsia="仿宋_GB2312" w:hAnsi="Times New Roman" w:hint="eastAsia"/>
          <w:b w:val="0"/>
          <w:bCs w:val="0"/>
        </w:rPr>
        <w:t>3.</w:t>
      </w:r>
      <w:r>
        <w:rPr>
          <w:rFonts w:ascii="Times New Roman" w:eastAsia="仿宋_GB2312" w:hAnsi="Times New Roman" w:hint="eastAsia"/>
          <w:b w:val="0"/>
          <w:bCs w:val="0"/>
        </w:rPr>
        <w:t>分析评价。根据收集梳理的资料围绕项目立项、资金落实、业务管理、财务管理、项目产出、项目效益等内容，对照已确定的绩效评价指标进行详细全面的分析评价，逐项打分并形成绩效评价最终结果。</w:t>
      </w:r>
    </w:p>
    <w:p w14:paraId="5E11BE1A" w14:textId="77777777" w:rsidR="00B76E9A"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69B6D3BE" w14:textId="77777777" w:rsidR="00B76E9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25E61A3C" w14:textId="77777777" w:rsidR="00B76E9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新疆胜天房地产开发有限公司荒山绿化用地补偿款项目支出</w:t>
      </w:r>
      <w:r>
        <w:rPr>
          <w:rFonts w:eastAsia="仿宋_GB2312"/>
          <w:sz w:val="32"/>
          <w:szCs w:val="32"/>
        </w:rPr>
        <w:t>在</w:t>
      </w:r>
      <w:r>
        <w:rPr>
          <w:rFonts w:eastAsia="仿宋_GB2312" w:hint="eastAsia"/>
          <w:sz w:val="32"/>
          <w:szCs w:val="32"/>
        </w:rPr>
        <w:t>资金到位率、预算执行率</w:t>
      </w:r>
      <w:r>
        <w:rPr>
          <w:rFonts w:eastAsia="仿宋_GB2312"/>
          <w:sz w:val="32"/>
          <w:szCs w:val="32"/>
        </w:rPr>
        <w:lastRenderedPageBreak/>
        <w:t>等方面表现出色，达到了预期的标准与要求。同时，项目也在</w:t>
      </w:r>
      <w:r>
        <w:rPr>
          <w:rFonts w:eastAsia="仿宋_GB2312" w:hint="eastAsia"/>
          <w:sz w:val="32"/>
          <w:szCs w:val="32"/>
        </w:rPr>
        <w:t>社会效益指标</w:t>
      </w:r>
      <w:r>
        <w:rPr>
          <w:rFonts w:eastAsia="仿宋_GB2312"/>
          <w:sz w:val="32"/>
          <w:szCs w:val="32"/>
        </w:rPr>
        <w:t>取得了显著的成效，</w:t>
      </w:r>
      <w:r>
        <w:rPr>
          <w:rFonts w:eastAsia="仿宋_GB2312" w:hint="eastAsia"/>
          <w:sz w:val="32"/>
          <w:szCs w:val="32"/>
        </w:rPr>
        <w:t>具体在使人居环境得到明显改善</w:t>
      </w:r>
      <w:r>
        <w:rPr>
          <w:rFonts w:eastAsia="仿宋_GB2312"/>
          <w:sz w:val="32"/>
          <w:szCs w:val="32"/>
        </w:rPr>
        <w:t>。</w:t>
      </w:r>
    </w:p>
    <w:p w14:paraId="07892D18" w14:textId="77777777" w:rsidR="00B76E9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乌鲁木齐市房屋征收与补偿管理办公室</w:t>
      </w:r>
      <w:r>
        <w:rPr>
          <w:rFonts w:eastAsia="仿宋_GB2312"/>
          <w:sz w:val="32"/>
          <w:szCs w:val="32"/>
        </w:rPr>
        <w:t>通过有效的规划、组织与协调，项目得以顺利实施，并在预算与时间上保持了良好的控制。</w:t>
      </w:r>
    </w:p>
    <w:p w14:paraId="34939529" w14:textId="77777777" w:rsidR="00B76E9A"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w:t>
      </w:r>
      <w:r>
        <w:rPr>
          <w:rFonts w:eastAsia="仿宋_GB2312" w:hint="eastAsia"/>
          <w:sz w:val="32"/>
          <w:szCs w:val="32"/>
        </w:rPr>
        <w:t>经济效益</w:t>
      </w:r>
      <w:r>
        <w:rPr>
          <w:rFonts w:eastAsia="仿宋_GB2312"/>
          <w:sz w:val="32"/>
          <w:szCs w:val="32"/>
        </w:rPr>
        <w:t>方面产生了积极的影响。具体而言，</w:t>
      </w:r>
      <w:r>
        <w:rPr>
          <w:rFonts w:eastAsia="仿宋_GB2312" w:hint="eastAsia"/>
          <w:sz w:val="32"/>
          <w:szCs w:val="32"/>
        </w:rPr>
        <w:t>受益企业满意率</w:t>
      </w:r>
      <w:r>
        <w:rPr>
          <w:rFonts w:eastAsia="仿宋_GB2312"/>
          <w:sz w:val="32"/>
          <w:szCs w:val="32"/>
        </w:rPr>
        <w:t>方面的提升，为项目的利益相关者带来了实实在在的利益。</w:t>
      </w:r>
    </w:p>
    <w:p w14:paraId="1CCE1C84" w14:textId="77777777" w:rsidR="00B76E9A"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新疆胜天房地产开发有限公司荒山绿化项目用地偿款</w:t>
      </w:r>
      <w:r>
        <w:rPr>
          <w:rFonts w:eastAsia="仿宋_GB2312"/>
          <w:sz w:val="32"/>
          <w:szCs w:val="32"/>
        </w:rPr>
        <w:t>项目在绩效评价中表现出色，达到了项目的预期目标，并在多个方面取得了显著的成效。</w:t>
      </w:r>
    </w:p>
    <w:p w14:paraId="2A28A688" w14:textId="77777777" w:rsidR="00B76E9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4897A2F" w14:textId="77777777" w:rsidR="00B76E9A"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w:t>
      </w:r>
      <w:r>
        <w:rPr>
          <w:rFonts w:ascii="Times New Roman" w:eastAsia="仿宋_GB2312" w:hAnsi="Times New Roman" w:hint="eastAsia"/>
          <w:b w:val="0"/>
          <w:bCs w:val="0"/>
        </w:rPr>
        <w:t>分析的</w:t>
      </w:r>
      <w:r>
        <w:rPr>
          <w:rFonts w:ascii="Times New Roman" w:eastAsia="仿宋_GB2312" w:hAnsi="Times New Roman"/>
          <w:b w:val="0"/>
          <w:bCs w:val="0"/>
        </w:rPr>
        <w:t>方式，对本项目进行客观评价，最终评分结果：</w:t>
      </w:r>
      <w:r>
        <w:rPr>
          <w:rFonts w:ascii="Times New Roman" w:eastAsia="仿宋_GB2312" w:hAnsi="Times New Roman" w:hint="eastAsia"/>
          <w:b w:val="0"/>
          <w:bCs w:val="0"/>
        </w:rPr>
        <w:t>总得分为</w:t>
      </w:r>
      <w:r>
        <w:rPr>
          <w:rFonts w:ascii="Times New Roman" w:eastAsia="仿宋_GB2312" w:hAnsi="Times New Roman" w:hint="eastAsia"/>
          <w:b w:val="0"/>
          <w:bCs w:val="0"/>
        </w:rPr>
        <w:t xml:space="preserve"> 100</w:t>
      </w:r>
      <w:r>
        <w:rPr>
          <w:rFonts w:ascii="Times New Roman" w:eastAsia="仿宋_GB2312" w:hAnsi="Times New Roman" w:hint="eastAsia"/>
          <w:b w:val="0"/>
          <w:bCs w:val="0"/>
        </w:rPr>
        <w:t>分，属于“优”。其中，项目决策类指标权重为</w:t>
      </w:r>
      <w:r>
        <w:rPr>
          <w:rFonts w:ascii="Times New Roman" w:eastAsia="仿宋_GB2312" w:hAnsi="Times New Roman" w:hint="eastAsia"/>
          <w:b w:val="0"/>
          <w:bCs w:val="0"/>
        </w:rPr>
        <w:t>20</w:t>
      </w:r>
      <w:r>
        <w:rPr>
          <w:rFonts w:ascii="Times New Roman" w:eastAsia="仿宋_GB2312" w:hAnsi="Times New Roman" w:hint="eastAsia"/>
          <w:b w:val="0"/>
          <w:bCs w:val="0"/>
        </w:rPr>
        <w:t>分，得分为</w:t>
      </w:r>
      <w:r>
        <w:rPr>
          <w:rFonts w:ascii="Times New Roman" w:eastAsia="仿宋_GB2312" w:hAnsi="Times New Roman" w:hint="eastAsia"/>
          <w:b w:val="0"/>
          <w:bCs w:val="0"/>
        </w:rPr>
        <w:t>20</w:t>
      </w:r>
      <w:r>
        <w:rPr>
          <w:rFonts w:ascii="Times New Roman" w:eastAsia="仿宋_GB2312" w:hAnsi="Times New Roman" w:hint="eastAsia"/>
          <w:b w:val="0"/>
          <w:bCs w:val="0"/>
        </w:rPr>
        <w:t>分，得分率为</w:t>
      </w:r>
      <w:r>
        <w:rPr>
          <w:rFonts w:ascii="Times New Roman" w:eastAsia="仿宋_GB2312" w:hAnsi="Times New Roman" w:hint="eastAsia"/>
          <w:b w:val="0"/>
          <w:bCs w:val="0"/>
        </w:rPr>
        <w:t xml:space="preserve"> 100%</w:t>
      </w:r>
      <w:r>
        <w:rPr>
          <w:rFonts w:ascii="Times New Roman" w:eastAsia="仿宋_GB2312" w:hAnsi="Times New Roman" w:hint="eastAsia"/>
          <w:b w:val="0"/>
          <w:bCs w:val="0"/>
        </w:rPr>
        <w:t>。项目过程类指标权重为</w:t>
      </w:r>
      <w:r>
        <w:rPr>
          <w:rFonts w:ascii="Times New Roman" w:eastAsia="仿宋_GB2312" w:hAnsi="Times New Roman" w:hint="eastAsia"/>
          <w:b w:val="0"/>
          <w:bCs w:val="0"/>
        </w:rPr>
        <w:t>20</w:t>
      </w:r>
      <w:r>
        <w:rPr>
          <w:rFonts w:ascii="Times New Roman" w:eastAsia="仿宋_GB2312" w:hAnsi="Times New Roman" w:hint="eastAsia"/>
          <w:b w:val="0"/>
          <w:bCs w:val="0"/>
        </w:rPr>
        <w:t>分，得分为</w:t>
      </w:r>
      <w:r>
        <w:rPr>
          <w:rFonts w:ascii="Times New Roman" w:eastAsia="仿宋_GB2312" w:hAnsi="Times New Roman" w:hint="eastAsia"/>
          <w:b w:val="0"/>
          <w:bCs w:val="0"/>
        </w:rPr>
        <w:t>20</w:t>
      </w:r>
      <w:r>
        <w:rPr>
          <w:rFonts w:ascii="Times New Roman" w:eastAsia="仿宋_GB2312" w:hAnsi="Times New Roman" w:hint="eastAsia"/>
          <w:b w:val="0"/>
          <w:bCs w:val="0"/>
        </w:rPr>
        <w:t>分，得分率为</w:t>
      </w:r>
      <w:r>
        <w:rPr>
          <w:rFonts w:ascii="Times New Roman" w:eastAsia="仿宋_GB2312" w:hAnsi="Times New Roman" w:hint="eastAsia"/>
          <w:b w:val="0"/>
          <w:bCs w:val="0"/>
        </w:rPr>
        <w:t xml:space="preserve"> 100%</w:t>
      </w:r>
      <w:r>
        <w:rPr>
          <w:rFonts w:ascii="Times New Roman" w:eastAsia="仿宋_GB2312" w:hAnsi="Times New Roman" w:hint="eastAsia"/>
          <w:b w:val="0"/>
          <w:bCs w:val="0"/>
        </w:rPr>
        <w:t>。项目产出类指标权重为</w:t>
      </w:r>
      <w:r>
        <w:rPr>
          <w:rFonts w:ascii="Times New Roman" w:eastAsia="仿宋_GB2312" w:hAnsi="Times New Roman" w:hint="eastAsia"/>
          <w:b w:val="0"/>
          <w:bCs w:val="0"/>
        </w:rPr>
        <w:t>40</w:t>
      </w:r>
      <w:r>
        <w:rPr>
          <w:rFonts w:ascii="Times New Roman" w:eastAsia="仿宋_GB2312" w:hAnsi="Times New Roman" w:hint="eastAsia"/>
          <w:b w:val="0"/>
          <w:bCs w:val="0"/>
        </w:rPr>
        <w:t>分，得分为</w:t>
      </w:r>
      <w:r>
        <w:rPr>
          <w:rFonts w:ascii="Times New Roman" w:eastAsia="仿宋_GB2312" w:hAnsi="Times New Roman" w:hint="eastAsia"/>
          <w:b w:val="0"/>
          <w:bCs w:val="0"/>
        </w:rPr>
        <w:t>40</w:t>
      </w:r>
      <w:r>
        <w:rPr>
          <w:rFonts w:ascii="Times New Roman" w:eastAsia="仿宋_GB2312" w:hAnsi="Times New Roman" w:hint="eastAsia"/>
          <w:b w:val="0"/>
          <w:bCs w:val="0"/>
        </w:rPr>
        <w:t>分，得分率为</w:t>
      </w:r>
      <w:r>
        <w:rPr>
          <w:rFonts w:ascii="Times New Roman" w:eastAsia="仿宋_GB2312" w:hAnsi="Times New Roman" w:hint="eastAsia"/>
          <w:b w:val="0"/>
          <w:bCs w:val="0"/>
        </w:rPr>
        <w:t>100%</w:t>
      </w:r>
      <w:r>
        <w:rPr>
          <w:rFonts w:ascii="Times New Roman" w:eastAsia="仿宋_GB2312" w:hAnsi="Times New Roman" w:hint="eastAsia"/>
          <w:b w:val="0"/>
          <w:bCs w:val="0"/>
        </w:rPr>
        <w:t>。项目效益类指标权重为</w:t>
      </w:r>
      <w:r>
        <w:rPr>
          <w:rFonts w:ascii="Times New Roman" w:eastAsia="仿宋_GB2312" w:hAnsi="Times New Roman" w:hint="eastAsia"/>
          <w:b w:val="0"/>
          <w:bCs w:val="0"/>
        </w:rPr>
        <w:t>20</w:t>
      </w:r>
      <w:r>
        <w:rPr>
          <w:rFonts w:ascii="Times New Roman" w:eastAsia="仿宋_GB2312" w:hAnsi="Times New Roman" w:hint="eastAsia"/>
          <w:b w:val="0"/>
          <w:bCs w:val="0"/>
        </w:rPr>
        <w:t>分，得分为</w:t>
      </w:r>
      <w:r>
        <w:rPr>
          <w:rFonts w:ascii="Times New Roman" w:eastAsia="仿宋_GB2312" w:hAnsi="Times New Roman" w:hint="eastAsia"/>
          <w:b w:val="0"/>
          <w:bCs w:val="0"/>
        </w:rPr>
        <w:t>20</w:t>
      </w:r>
      <w:r>
        <w:rPr>
          <w:rFonts w:ascii="Times New Roman" w:eastAsia="仿宋_GB2312" w:hAnsi="Times New Roman" w:hint="eastAsia"/>
          <w:b w:val="0"/>
          <w:bCs w:val="0"/>
        </w:rPr>
        <w:t>分，得分率为</w:t>
      </w:r>
      <w:r>
        <w:rPr>
          <w:rFonts w:ascii="Times New Roman" w:eastAsia="仿宋_GB2312" w:hAnsi="Times New Roman" w:hint="eastAsia"/>
          <w:b w:val="0"/>
          <w:bCs w:val="0"/>
        </w:rPr>
        <w:t>100%</w:t>
      </w:r>
      <w:r>
        <w:rPr>
          <w:rFonts w:ascii="Times New Roman" w:eastAsia="仿宋_GB2312" w:hAnsi="Times New Roman" w:hint="eastAsia"/>
          <w:b w:val="0"/>
          <w:bCs w:val="0"/>
        </w:rPr>
        <w:t>。具体打分情况详见：附件</w:t>
      </w:r>
      <w:r>
        <w:rPr>
          <w:rFonts w:ascii="Times New Roman" w:eastAsia="仿宋_GB2312" w:hAnsi="Times New Roman" w:hint="eastAsia"/>
          <w:b w:val="0"/>
          <w:bCs w:val="0"/>
        </w:rPr>
        <w:t>1</w:t>
      </w:r>
      <w:r>
        <w:rPr>
          <w:rFonts w:ascii="Times New Roman" w:eastAsia="仿宋_GB2312" w:hAnsi="Times New Roman" w:hint="eastAsia"/>
          <w:b w:val="0"/>
          <w:bCs w:val="0"/>
        </w:rPr>
        <w:t>综合评分表。</w:t>
      </w:r>
    </w:p>
    <w:p w14:paraId="5921418D" w14:textId="77777777" w:rsidR="00B76E9A" w:rsidRDefault="00000000">
      <w:pPr>
        <w:pStyle w:val="ad"/>
        <w:spacing w:before="0" w:after="0"/>
        <w:rPr>
          <w:rFonts w:ascii="Times New Roman" w:eastAsia="仿宋_GB2312" w:hAnsi="Times New Roman"/>
          <w:sz w:val="30"/>
          <w:szCs w:val="30"/>
        </w:rPr>
      </w:pPr>
      <w:r>
        <w:rPr>
          <w:rFonts w:ascii="Times New Roman" w:eastAsia="仿宋_GB2312" w:hAnsi="Times New Roman"/>
          <w:sz w:val="30"/>
          <w:szCs w:val="30"/>
        </w:rPr>
        <w:t>表</w:t>
      </w:r>
      <w:r>
        <w:rPr>
          <w:rFonts w:ascii="Times New Roman" w:eastAsia="仿宋_GB2312" w:hAnsi="Times New Roman"/>
          <w:sz w:val="30"/>
          <w:szCs w:val="30"/>
        </w:rPr>
        <w:t>1</w:t>
      </w:r>
      <w:r>
        <w:rPr>
          <w:rFonts w:ascii="Times New Roman" w:eastAsia="仿宋_GB2312" w:hAnsi="Times New Roman"/>
          <w:sz w:val="30"/>
          <w:szCs w:val="30"/>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B76E9A" w14:paraId="31D597B9"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BDCAE63" w14:textId="77777777" w:rsidR="00B76E9A"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C1B08F3" w14:textId="77777777" w:rsidR="00B76E9A"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43304DC" w14:textId="77777777" w:rsidR="00B76E9A"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44E1057" w14:textId="77777777" w:rsidR="00B76E9A" w:rsidRDefault="00000000">
            <w:pPr>
              <w:jc w:val="center"/>
              <w:rPr>
                <w:rFonts w:eastAsia="仿宋_GB2312"/>
                <w:b/>
                <w:bCs/>
                <w:color w:val="000000"/>
                <w:szCs w:val="21"/>
              </w:rPr>
            </w:pPr>
            <w:r>
              <w:rPr>
                <w:rFonts w:eastAsia="仿宋_GB2312" w:hint="eastAsia"/>
                <w:b/>
                <w:bCs/>
                <w:color w:val="000000"/>
                <w:szCs w:val="21"/>
              </w:rPr>
              <w:t>得分率</w:t>
            </w:r>
          </w:p>
        </w:tc>
      </w:tr>
      <w:tr w:rsidR="00B76E9A" w14:paraId="35AFD9E7"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A2A5DEF" w14:textId="77777777" w:rsidR="00B76E9A" w:rsidRDefault="00000000">
            <w:pPr>
              <w:jc w:val="center"/>
              <w:rPr>
                <w:rFonts w:eastAsia="仿宋_GB2312"/>
                <w:color w:val="000000"/>
                <w:szCs w:val="21"/>
              </w:rPr>
            </w:pPr>
            <w:r>
              <w:rPr>
                <w:rFonts w:eastAsia="仿宋_GB2312"/>
                <w:color w:val="000000"/>
                <w:szCs w:val="21"/>
              </w:rPr>
              <w:lastRenderedPageBreak/>
              <w:t>项目决策</w:t>
            </w:r>
          </w:p>
        </w:tc>
        <w:tc>
          <w:tcPr>
            <w:tcW w:w="1927" w:type="dxa"/>
            <w:tcBorders>
              <w:top w:val="nil"/>
              <w:left w:val="nil"/>
              <w:bottom w:val="single" w:sz="4" w:space="0" w:color="auto"/>
              <w:right w:val="single" w:sz="4" w:space="0" w:color="auto"/>
            </w:tcBorders>
            <w:vAlign w:val="center"/>
          </w:tcPr>
          <w:p w14:paraId="76628FD5" w14:textId="77777777" w:rsidR="00B76E9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E34E1CE" w14:textId="77777777" w:rsidR="00B76E9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DC76665" w14:textId="77777777" w:rsidR="00B76E9A" w:rsidRDefault="00000000">
            <w:pPr>
              <w:jc w:val="center"/>
              <w:rPr>
                <w:rFonts w:eastAsia="仿宋_GB2312"/>
                <w:color w:val="000000"/>
                <w:szCs w:val="21"/>
              </w:rPr>
            </w:pPr>
            <w:r>
              <w:rPr>
                <w:rFonts w:eastAsia="仿宋_GB2312" w:hint="eastAsia"/>
                <w:color w:val="000000"/>
                <w:szCs w:val="21"/>
              </w:rPr>
              <w:t>100%</w:t>
            </w:r>
          </w:p>
        </w:tc>
      </w:tr>
      <w:tr w:rsidR="00B76E9A" w14:paraId="7E41F6A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6474903" w14:textId="77777777" w:rsidR="00B76E9A"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67C8C69D" w14:textId="77777777" w:rsidR="00B76E9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1C785CAA" w14:textId="77777777" w:rsidR="00B76E9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087A140" w14:textId="77777777" w:rsidR="00B76E9A" w:rsidRDefault="00000000">
            <w:pPr>
              <w:jc w:val="center"/>
              <w:rPr>
                <w:rFonts w:eastAsia="仿宋_GB2312"/>
                <w:color w:val="000000"/>
                <w:szCs w:val="21"/>
              </w:rPr>
            </w:pPr>
            <w:r>
              <w:rPr>
                <w:rFonts w:eastAsia="仿宋_GB2312" w:hint="eastAsia"/>
                <w:color w:val="000000"/>
                <w:szCs w:val="21"/>
              </w:rPr>
              <w:t>100%</w:t>
            </w:r>
          </w:p>
        </w:tc>
      </w:tr>
      <w:tr w:rsidR="00B76E9A" w14:paraId="136A0FA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39F6B49" w14:textId="77777777" w:rsidR="00B76E9A"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55E39F78" w14:textId="77777777" w:rsidR="00B76E9A"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1869912B" w14:textId="77777777" w:rsidR="00B76E9A"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24F2D88B" w14:textId="77777777" w:rsidR="00B76E9A" w:rsidRDefault="00000000">
            <w:pPr>
              <w:jc w:val="center"/>
              <w:rPr>
                <w:rFonts w:eastAsia="仿宋_GB2312"/>
                <w:color w:val="000000"/>
                <w:szCs w:val="21"/>
              </w:rPr>
            </w:pPr>
            <w:r>
              <w:rPr>
                <w:rFonts w:eastAsia="仿宋_GB2312" w:hint="eastAsia"/>
                <w:color w:val="000000"/>
                <w:szCs w:val="21"/>
              </w:rPr>
              <w:t>100%</w:t>
            </w:r>
          </w:p>
        </w:tc>
      </w:tr>
      <w:tr w:rsidR="00B76E9A" w14:paraId="7E3369F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6E68A19" w14:textId="77777777" w:rsidR="00B76E9A"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354CCF87" w14:textId="77777777" w:rsidR="00B76E9A"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EC23DD7" w14:textId="77777777" w:rsidR="00B76E9A"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CCB4C1A" w14:textId="77777777" w:rsidR="00B76E9A" w:rsidRDefault="00000000">
            <w:pPr>
              <w:jc w:val="center"/>
              <w:rPr>
                <w:rFonts w:eastAsia="仿宋_GB2312"/>
                <w:color w:val="000000"/>
                <w:szCs w:val="21"/>
              </w:rPr>
            </w:pPr>
            <w:r>
              <w:rPr>
                <w:rFonts w:eastAsia="仿宋_GB2312" w:hint="eastAsia"/>
                <w:color w:val="000000"/>
                <w:szCs w:val="21"/>
              </w:rPr>
              <w:t>100%</w:t>
            </w:r>
          </w:p>
        </w:tc>
      </w:tr>
      <w:tr w:rsidR="00B76E9A" w14:paraId="7372EDA7"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57537D9" w14:textId="77777777" w:rsidR="00B76E9A"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4CEC30E9" w14:textId="77777777" w:rsidR="00B76E9A"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1C1D3383" w14:textId="77777777" w:rsidR="00B76E9A"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274DEC67" w14:textId="77777777" w:rsidR="00B76E9A" w:rsidRDefault="00000000">
            <w:pPr>
              <w:jc w:val="center"/>
              <w:rPr>
                <w:rFonts w:eastAsia="仿宋_GB2312"/>
                <w:b/>
                <w:bCs/>
                <w:color w:val="000000"/>
                <w:szCs w:val="21"/>
              </w:rPr>
            </w:pPr>
            <w:r>
              <w:rPr>
                <w:rFonts w:eastAsia="仿宋_GB2312" w:hint="eastAsia"/>
                <w:color w:val="000000"/>
                <w:szCs w:val="21"/>
              </w:rPr>
              <w:t>100%</w:t>
            </w:r>
          </w:p>
        </w:tc>
      </w:tr>
    </w:tbl>
    <w:p w14:paraId="1B140F63" w14:textId="77777777" w:rsidR="00B76E9A" w:rsidRDefault="00000000">
      <w:pPr>
        <w:spacing w:line="560" w:lineRule="exact"/>
        <w:ind w:firstLineChars="200" w:firstLine="640"/>
        <w:rPr>
          <w:rFonts w:eastAsia="黑体"/>
          <w:sz w:val="32"/>
          <w:szCs w:val="32"/>
        </w:rPr>
      </w:pPr>
      <w:r>
        <w:rPr>
          <w:rFonts w:eastAsia="黑体"/>
          <w:sz w:val="32"/>
          <w:szCs w:val="32"/>
        </w:rPr>
        <w:t>四、绩效评价指标分析</w:t>
      </w:r>
    </w:p>
    <w:p w14:paraId="6B9F1C35" w14:textId="77777777" w:rsidR="00B76E9A"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20A15E3"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hint="eastAsia"/>
          <w:sz w:val="32"/>
          <w:szCs w:val="32"/>
        </w:rPr>
        <w:t>6</w:t>
      </w:r>
      <w:r>
        <w:rPr>
          <w:rFonts w:eastAsia="仿宋_GB2312"/>
          <w:sz w:val="32"/>
          <w:szCs w:val="32"/>
        </w:rPr>
        <w:t>个三级指标构成，权重分值为</w:t>
      </w:r>
      <w:r>
        <w:rPr>
          <w:rFonts w:eastAsia="仿宋_GB2312" w:hint="eastAsia"/>
          <w:sz w:val="32"/>
          <w:szCs w:val="32"/>
        </w:rPr>
        <w:t>20</w:t>
      </w:r>
      <w:r>
        <w:rPr>
          <w:rFonts w:eastAsia="仿宋_GB2312"/>
          <w:sz w:val="32"/>
          <w:szCs w:val="32"/>
        </w:rPr>
        <w:t>分，</w:t>
      </w:r>
      <w:r>
        <w:rPr>
          <w:rFonts w:ascii="仿宋_GB2312" w:eastAsia="仿宋_GB2312" w:hAnsi="仿宋_GB2312" w:cs="仿宋_GB2312" w:hint="eastAsia"/>
          <w:sz w:val="30"/>
          <w:szCs w:val="30"/>
        </w:rPr>
        <w:t>实际得分20分，得分率为100%。</w:t>
      </w:r>
    </w:p>
    <w:p w14:paraId="67F69063" w14:textId="77777777" w:rsidR="00B76E9A"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790E0785"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2A436630"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w:t>
      </w:r>
      <w:r>
        <w:rPr>
          <w:rFonts w:eastAsia="仿宋_GB2312" w:hint="eastAsia"/>
          <w:sz w:val="32"/>
          <w:szCs w:val="32"/>
        </w:rPr>
        <w:t>《乌鲁木齐市荒山绿化项目配置建设用地挂牌出让工作实施方案（试行）有关规定》</w:t>
      </w:r>
      <w:r>
        <w:rPr>
          <w:rFonts w:eastAsia="仿宋_GB2312"/>
          <w:sz w:val="32"/>
          <w:szCs w:val="32"/>
        </w:rPr>
        <w:t>规划要求，围绕本年度工作重点和工作计划制定经费预算，属于公共财政支持范围。本项目与部门内部其他相关项目不重复。部门发展规划及职能文件等归档完整。</w:t>
      </w:r>
    </w:p>
    <w:p w14:paraId="76B4166D"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75CD4F60"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hint="eastAsia"/>
          <w:sz w:val="32"/>
          <w:szCs w:val="32"/>
        </w:rPr>
        <w:t>根据《关于拨付新疆胜天房地产开</w:t>
      </w:r>
      <w:r>
        <w:rPr>
          <w:rFonts w:eastAsia="仿宋_GB2312" w:hint="eastAsia"/>
          <w:sz w:val="32"/>
          <w:szCs w:val="32"/>
        </w:rPr>
        <w:lastRenderedPageBreak/>
        <w:t>发有限公司荒山绿化项目用地补偿资金的通知》（乌财资环</w:t>
      </w:r>
      <w:r>
        <w:rPr>
          <w:rFonts w:eastAsia="仿宋_GB2312" w:hint="eastAsia"/>
          <w:sz w:val="32"/>
          <w:szCs w:val="32"/>
        </w:rPr>
        <w:t>[2024]26</w:t>
      </w:r>
      <w:r>
        <w:rPr>
          <w:rFonts w:eastAsia="仿宋_GB2312" w:hint="eastAsia"/>
          <w:sz w:val="32"/>
          <w:szCs w:val="32"/>
        </w:rPr>
        <w:t>号）文件精神</w:t>
      </w:r>
      <w:r>
        <w:rPr>
          <w:rFonts w:eastAsia="仿宋_GB2312"/>
          <w:sz w:val="32"/>
          <w:szCs w:val="32"/>
        </w:rPr>
        <w:t>编制工作计划和经费预算，经过与部门项目分管领导沟通、筛选确定经费预算计划，确定最终预算方案。项目的审批文件、材料符合相关要求，项目事前经过必要的论证、风险评估、绩效评估、集体决策，保障了程序的规范性。</w:t>
      </w:r>
    </w:p>
    <w:p w14:paraId="606B18C6" w14:textId="77777777" w:rsidR="00B76E9A"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7A24A5C"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780B6A82"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6901FB2E"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0C0DFA97"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ascii="仿宋_GB2312" w:eastAsia="仿宋_GB2312" w:hAnsi="仿宋_GB2312" w:cs="仿宋_GB2312" w:hint="eastAsia"/>
          <w:sz w:val="32"/>
          <w:szCs w:val="32"/>
        </w:rPr>
        <w:t>1补偿企业户数，1户。质量指标：2资金使用合规率，100%。3资金支付率100%。时效指标：4项目按时完成率100%。成本指标：5项目预算控制率100%。社会效益指标：改善人居环境，有效改善。满意度</w:t>
      </w:r>
      <w:r>
        <w:rPr>
          <w:rFonts w:ascii="仿宋_GB2312" w:eastAsia="仿宋_GB2312" w:hAnsi="仿宋_GB2312" w:cs="仿宋_GB2312" w:hint="eastAsia"/>
          <w:sz w:val="32"/>
          <w:szCs w:val="32"/>
        </w:rPr>
        <w:lastRenderedPageBreak/>
        <w:t>指标：受益企业满意率&gt;=95%。</w:t>
      </w:r>
      <w:r>
        <w:rPr>
          <w:rFonts w:ascii="仿宋_GB2312" w:eastAsia="仿宋_GB2312" w:hAnsi="仿宋_GB2312" w:cs="仿宋_GB2312"/>
          <w:sz w:val="32"/>
          <w:szCs w:val="32"/>
        </w:rPr>
        <w:t>绩</w:t>
      </w:r>
      <w:r>
        <w:rPr>
          <w:rFonts w:eastAsia="仿宋_GB2312"/>
          <w:sz w:val="32"/>
          <w:szCs w:val="32"/>
        </w:rPr>
        <w:t>效目标与项目目标任务数相对应，绩效目标设定的绩效指标清晰、细化、可衡量。</w:t>
      </w:r>
    </w:p>
    <w:p w14:paraId="0F533565" w14:textId="77777777" w:rsidR="00B76E9A"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0634228F"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191E8AA3" w14:textId="77777777" w:rsidR="00B76E9A"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3B95C04"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90BE643"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188D65E5" w14:textId="77777777" w:rsidR="00B76E9A"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38AB599" w14:textId="77777777" w:rsidR="00B76E9A"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w:t>
      </w:r>
      <w:r>
        <w:rPr>
          <w:rFonts w:eastAsia="仿宋_GB2312"/>
          <w:sz w:val="32"/>
          <w:szCs w:val="32"/>
        </w:rPr>
        <w:lastRenderedPageBreak/>
        <w:t>资金的均衡分配，避免了资源浪费与资金闲置。此外，资金分配还充分考虑了风险因素，对可能出现的超支情况进行了预留与调整。</w:t>
      </w:r>
    </w:p>
    <w:p w14:paraId="7B6552EB" w14:textId="77777777" w:rsidR="00B76E9A"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92B053E" w14:textId="77777777" w:rsidR="00B76E9A" w:rsidRDefault="00000000">
      <w:pPr>
        <w:pStyle w:val="ad"/>
        <w:numPr>
          <w:ilvl w:val="0"/>
          <w:numId w:val="5"/>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02750FBE"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w:t>
      </w:r>
      <w:r>
        <w:rPr>
          <w:rFonts w:ascii="仿宋_GB2312" w:eastAsia="仿宋_GB2312" w:hAnsi="仿宋_GB2312" w:cs="仿宋_GB2312" w:hint="eastAsia"/>
          <w:sz w:val="32"/>
          <w:szCs w:val="32"/>
        </w:rPr>
        <w:t>实际得分20分，得分率为100%。</w:t>
      </w:r>
    </w:p>
    <w:p w14:paraId="5FE99502" w14:textId="77777777" w:rsidR="00B76E9A" w:rsidRDefault="00000000">
      <w:pPr>
        <w:pStyle w:val="-"/>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资金管理</w:t>
      </w:r>
    </w:p>
    <w:p w14:paraId="1F065548"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10276AF"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本项目总投资4000万元，财政资金于2024年3月25日及时足额到位，到位率100%，预算资金按计划进度执行。</w:t>
      </w:r>
    </w:p>
    <w:p w14:paraId="668FF502"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3BB73AF9"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eastAsia="仿宋_GB2312"/>
          <w:sz w:val="32"/>
          <w:szCs w:val="32"/>
        </w:rPr>
        <w:t>预算编制较为详细，项目资金支出总体能够按照预算执行，</w:t>
      </w:r>
      <w:r>
        <w:rPr>
          <w:rFonts w:ascii="仿宋_GB2312" w:eastAsia="仿宋_GB2312" w:hAnsi="仿宋_GB2312" w:cs="仿宋_GB2312" w:hint="eastAsia"/>
          <w:sz w:val="32"/>
          <w:szCs w:val="32"/>
        </w:rPr>
        <w:t>预算资金支出4000万元，用于支付新疆胜天房地产开发有限公司荒山绿化项目用地补偿。预算执行率为100%。</w:t>
      </w:r>
    </w:p>
    <w:p w14:paraId="7F5E35D9"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5C44CC67"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本项目的资金使用严格遵循了</w:t>
      </w:r>
      <w:r>
        <w:rPr>
          <w:rFonts w:eastAsia="仿宋_GB2312" w:hint="eastAsia"/>
          <w:sz w:val="32"/>
          <w:szCs w:val="32"/>
        </w:rPr>
        <w:t>《关于拨付新疆胜天房地产开发有限公司荒山绿化项目用地补偿资金的通知》（乌财资环</w:t>
      </w:r>
      <w:r>
        <w:rPr>
          <w:rFonts w:eastAsia="仿宋_GB2312" w:hint="eastAsia"/>
          <w:sz w:val="32"/>
          <w:szCs w:val="32"/>
        </w:rPr>
        <w:t>[2024]26</w:t>
      </w:r>
      <w:r>
        <w:rPr>
          <w:rFonts w:eastAsia="仿宋_GB2312" w:hint="eastAsia"/>
          <w:sz w:val="32"/>
          <w:szCs w:val="32"/>
        </w:rPr>
        <w:t>号）文件精神</w:t>
      </w:r>
      <w:r>
        <w:rPr>
          <w:rFonts w:eastAsia="仿宋_GB2312"/>
          <w:sz w:val="32"/>
          <w:szCs w:val="32"/>
        </w:rPr>
        <w:t>，</w:t>
      </w:r>
      <w:r>
        <w:rPr>
          <w:rFonts w:eastAsia="仿宋_GB2312" w:hint="eastAsia"/>
          <w:sz w:val="32"/>
          <w:szCs w:val="32"/>
        </w:rPr>
        <w:t>符合《乌鲁木齐市荒山绿化项目配置建设用地挂牌出让工作实施方案（试行）有关规定》，</w:t>
      </w:r>
      <w:r>
        <w:rPr>
          <w:rFonts w:eastAsia="仿宋_GB2312"/>
          <w:sz w:val="32"/>
          <w:szCs w:val="32"/>
        </w:rPr>
        <w:t>确保了资金的合规性与安全性。在资金使用过程中，我们建立了完善的财务管理体系，对资金的流动进行了全程监控与记录。</w:t>
      </w:r>
    </w:p>
    <w:p w14:paraId="56626DF3"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920D7A6" w14:textId="77777777" w:rsidR="00B76E9A"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1BFDC303" w14:textId="77777777" w:rsidR="00B76E9A"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712F1D68"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37881E63" w14:textId="77777777" w:rsidR="00B76E9A" w:rsidRDefault="00000000">
      <w:pPr>
        <w:pStyle w:val="4"/>
        <w:spacing w:before="0" w:after="0" w:line="600" w:lineRule="exact"/>
        <w:jc w:val="left"/>
        <w:rPr>
          <w:rFonts w:ascii="Times New Roman" w:eastAsia="仿宋_GB2312" w:hAnsi="Times New Roman"/>
          <w:b w:val="0"/>
          <w:sz w:val="32"/>
          <w:szCs w:val="32"/>
        </w:rPr>
      </w:pPr>
      <w:r>
        <w:rPr>
          <w:rFonts w:ascii="Times New Roman" w:eastAsia="仿宋_GB2312" w:hAnsi="Times New Roman" w:hint="eastAsia"/>
          <w:sz w:val="32"/>
          <w:szCs w:val="32"/>
        </w:rPr>
        <w:lastRenderedPageBreak/>
        <w:t xml:space="preserve">  </w:t>
      </w:r>
      <w:r>
        <w:rPr>
          <w:rFonts w:ascii="Times New Roman" w:eastAsia="仿宋_GB2312" w:hAnsi="Times New Roman"/>
          <w:b w:val="0"/>
          <w:sz w:val="32"/>
          <w:szCs w:val="32"/>
        </w:rPr>
        <w:t>本项目</w:t>
      </w:r>
      <w:r>
        <w:rPr>
          <w:rFonts w:ascii="Times New Roman" w:eastAsia="仿宋_GB2312" w:hAnsi="Times New Roman" w:hint="eastAsia"/>
          <w:b w:val="0"/>
          <w:sz w:val="32"/>
          <w:szCs w:val="32"/>
        </w:rPr>
        <w:t>严格按照沙依巴克区房屋征收与补偿管理办公室财务收支审批制度，</w:t>
      </w:r>
      <w:r>
        <w:rPr>
          <w:rFonts w:ascii="Times New Roman" w:eastAsia="仿宋_GB2312" w:hAnsi="Times New Roman"/>
          <w:b w:val="0"/>
          <w:sz w:val="32"/>
          <w:szCs w:val="32"/>
        </w:rPr>
        <w:t>为项目的成功实施提供了坚实的制度保障。项目管理制度的制定紧密结合了项目的特点与实际情况，涵盖了项目的策划、组织、实施、监控与收尾等各个环节。</w:t>
      </w:r>
    </w:p>
    <w:p w14:paraId="7C027C53" w14:textId="77777777" w:rsidR="00B76E9A"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06687D7C" w14:textId="77777777" w:rsidR="00B76E9A"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1A29EF0"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06B8536E" w14:textId="77777777" w:rsidR="00B76E9A"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68654859" w14:textId="77777777" w:rsidR="00B76E9A"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109570AD" w14:textId="77777777" w:rsidR="00B76E9A" w:rsidRDefault="00000000">
      <w:pPr>
        <w:spacing w:line="560" w:lineRule="exact"/>
        <w:ind w:firstLineChars="200" w:firstLine="640"/>
        <w:rPr>
          <w:rFonts w:eastAsia="仿宋_GB2312"/>
          <w:sz w:val="32"/>
          <w:szCs w:val="32"/>
        </w:rPr>
      </w:pPr>
      <w:r>
        <w:rPr>
          <w:rFonts w:eastAsia="仿宋_GB2312"/>
          <w:sz w:val="32"/>
          <w:szCs w:val="32"/>
        </w:rPr>
        <w:lastRenderedPageBreak/>
        <w:t>在具体执行过程中，项目团队成员严格按照制度要求进行操作。同时，我们还建立了有效的沟通机制与反馈机制，确保项目信息的及时传递与问题的及时解决，进一步提高了制度执行的效率与效果。</w:t>
      </w:r>
    </w:p>
    <w:p w14:paraId="5010575E" w14:textId="77777777" w:rsidR="00B76E9A"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1DF485AC" w14:textId="77777777" w:rsidR="00B76E9A"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项目产出情况</w:t>
      </w:r>
    </w:p>
    <w:p w14:paraId="48B8C6C4"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项目产出类指标包括产出数量、产出质量、产出时效、产出成本四方面的内容，由5个三级指标构成，权重分为40分，实际得分40分，得分率为100%。具体产出指标完成情况如下：</w:t>
      </w:r>
    </w:p>
    <w:p w14:paraId="73AE1847"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数量指标：</w:t>
      </w:r>
    </w:p>
    <w:p w14:paraId="78E65C24"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指标1：补偿企业户数，指标值：&gt;=1户，实际完成值：1户，指标完成率100%。</w:t>
      </w:r>
      <w:r>
        <w:rPr>
          <w:rFonts w:eastAsia="仿宋_GB2312" w:hint="eastAsia"/>
          <w:sz w:val="32"/>
          <w:szCs w:val="32"/>
        </w:rPr>
        <w:t>新疆胜天房地产开发有限公司实施荒山绿化，完成恢复取土区域的绿化种植并做好管辖区域内荒山所有区域绿化种植、补植和养护管理相关工作。为城市居民提供良好的居住环境和社会服务。依照协议与相关支付文件通知我单位申请项目资金</w:t>
      </w:r>
      <w:r>
        <w:rPr>
          <w:rFonts w:eastAsia="仿宋_GB2312" w:hint="eastAsia"/>
          <w:sz w:val="32"/>
          <w:szCs w:val="32"/>
        </w:rPr>
        <w:t>4000</w:t>
      </w:r>
      <w:r>
        <w:rPr>
          <w:rFonts w:eastAsia="仿宋_GB2312" w:hint="eastAsia"/>
          <w:sz w:val="32"/>
          <w:szCs w:val="32"/>
        </w:rPr>
        <w:t>万于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25</w:t>
      </w:r>
      <w:r>
        <w:rPr>
          <w:rFonts w:eastAsia="仿宋_GB2312" w:hint="eastAsia"/>
          <w:sz w:val="32"/>
          <w:szCs w:val="32"/>
        </w:rPr>
        <w:t>日支付新疆胜天房地产开发有限公司荒山绿化用地补偿款。</w:t>
      </w:r>
    </w:p>
    <w:p w14:paraId="3869D720"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质量指标</w:t>
      </w:r>
    </w:p>
    <w:p w14:paraId="4F6EBED1" w14:textId="77777777" w:rsidR="00B76E9A" w:rsidRDefault="00000000">
      <w:pPr>
        <w:spacing w:line="600" w:lineRule="exact"/>
        <w:ind w:firstLineChars="200" w:firstLine="640"/>
        <w:outlineLvl w:val="0"/>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指标1：资金使用合规率，指标值：=100%，实际完成值：</w:t>
      </w:r>
      <w:r>
        <w:rPr>
          <w:rFonts w:ascii="仿宋_GB2312" w:eastAsia="仿宋_GB2312" w:hAnsi="仿宋_GB2312" w:cs="仿宋_GB2312" w:hint="eastAsia"/>
          <w:sz w:val="32"/>
          <w:szCs w:val="32"/>
        </w:rPr>
        <w:lastRenderedPageBreak/>
        <w:t>100%，指标完成率100%。</w:t>
      </w:r>
      <w:r>
        <w:rPr>
          <w:rFonts w:ascii="仿宋_GB2312" w:eastAsia="仿宋_GB2312" w:hAnsi="仿宋_GB2312" w:cs="仿宋_GB2312"/>
          <w:sz w:val="32"/>
          <w:szCs w:val="32"/>
        </w:rPr>
        <w:t>本项目资金使用严格遵循了</w:t>
      </w:r>
      <w:r>
        <w:rPr>
          <w:rFonts w:ascii="仿宋_GB2312" w:eastAsia="仿宋_GB2312" w:hAnsi="仿宋_GB2312" w:cs="仿宋_GB2312" w:hint="eastAsia"/>
          <w:sz w:val="32"/>
          <w:szCs w:val="32"/>
        </w:rPr>
        <w:t>《关于拨付新疆胜天房地产开发有限公司荒山绿化项目用地补偿资金的通知》（乌财资环[2024]26号）文件精神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符合《乌鲁木齐市荒山绿化项目配置建设用</w:t>
      </w:r>
      <w:r>
        <w:rPr>
          <w:rFonts w:eastAsia="仿宋_GB2312" w:hint="eastAsia"/>
          <w:sz w:val="32"/>
          <w:szCs w:val="32"/>
        </w:rPr>
        <w:t>地挂牌出让工作实施方案（试行）有关规定》，</w:t>
      </w:r>
      <w:r>
        <w:rPr>
          <w:rFonts w:eastAsia="仿宋_GB2312"/>
          <w:sz w:val="32"/>
          <w:szCs w:val="32"/>
        </w:rPr>
        <w:t>确保了资金的合规性与安全性。</w:t>
      </w:r>
    </w:p>
    <w:p w14:paraId="669B29BF" w14:textId="77777777" w:rsidR="00B76E9A" w:rsidRDefault="00000000">
      <w:pPr>
        <w:pStyle w:val="a3"/>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指标2：资金支付率，指标值：=100%，实际完成值：100%，指标完成率100%。我单位及时向财政局申请相关款项，并于2024年年3月25日将资金支付给新疆胜天房地产开发有限公司。</w:t>
      </w:r>
    </w:p>
    <w:p w14:paraId="699D6BB6" w14:textId="77777777" w:rsidR="00B76E9A" w:rsidRDefault="00000000">
      <w:pPr>
        <w:spacing w:line="600" w:lineRule="exact"/>
        <w:ind w:firstLineChars="200" w:firstLine="420"/>
        <w:outlineLvl w:val="0"/>
        <w:rPr>
          <w:rFonts w:ascii="仿宋_GB2312" w:eastAsia="仿宋_GB2312" w:hAnsi="仿宋_GB2312" w:cs="仿宋_GB2312" w:hint="eastAsia"/>
          <w:sz w:val="32"/>
          <w:szCs w:val="32"/>
        </w:rPr>
      </w:pPr>
      <w:r>
        <w:rPr>
          <w:rFonts w:hint="eastAsia"/>
          <w:color w:val="FF0000"/>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时效指标：</w:t>
      </w:r>
    </w:p>
    <w:p w14:paraId="573A1176"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指标1：项目按时完成率，指标值：=100%，实际完成值：100%，指标完成率100%。我单位及时向财政局申请相关款项，并于2024年年3月25日将资金支付给新疆胜天房地产开发有限公司。</w:t>
      </w:r>
    </w:p>
    <w:p w14:paraId="69BCCEBB"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成本指标：</w:t>
      </w:r>
    </w:p>
    <w:p w14:paraId="0B53C73C"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指标1：项目预算控制率，指标值:&lt;=100%，实际完成值：100%，指标完成率100%。本项目实际支出4000万元，无超支情况，项目资金全部完成。</w:t>
      </w:r>
    </w:p>
    <w:p w14:paraId="280F0078" w14:textId="77777777" w:rsidR="00B76E9A" w:rsidRDefault="00000000">
      <w:pPr>
        <w:pStyle w:val="af0"/>
        <w:numPr>
          <w:ilvl w:val="0"/>
          <w:numId w:val="5"/>
        </w:numPr>
        <w:spacing w:line="560" w:lineRule="exact"/>
        <w:ind w:firstLineChars="0" w:firstLine="643"/>
        <w:rPr>
          <w:rFonts w:eastAsia="楷体_GB2312"/>
          <w:b/>
          <w:bCs/>
          <w:sz w:val="32"/>
          <w:szCs w:val="32"/>
        </w:rPr>
      </w:pPr>
      <w:r>
        <w:rPr>
          <w:rFonts w:eastAsia="楷体_GB2312"/>
          <w:b/>
          <w:bCs/>
          <w:sz w:val="32"/>
          <w:szCs w:val="32"/>
        </w:rPr>
        <w:t>项目效益情况</w:t>
      </w:r>
    </w:p>
    <w:p w14:paraId="6291D3DC"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项目效益类指标包括项目项目效益和满意度两方面的内</w:t>
      </w:r>
      <w:r>
        <w:rPr>
          <w:rFonts w:ascii="仿宋_GB2312" w:eastAsia="仿宋_GB2312" w:hAnsi="仿宋_GB2312" w:cs="仿宋_GB2312" w:hint="eastAsia"/>
          <w:sz w:val="32"/>
          <w:szCs w:val="32"/>
        </w:rPr>
        <w:lastRenderedPageBreak/>
        <w:t>容，由2个三级指标构成，权重分为20分，实际得分20分，得分率为100%。具体效益指标及满意度指标完成情况如下：</w:t>
      </w:r>
    </w:p>
    <w:p w14:paraId="0F7977B7"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1.社会效益指标：</w:t>
      </w:r>
    </w:p>
    <w:p w14:paraId="41F26453"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指标1：改善人居环境，指标值：有效改善，实际完成值：完全达到预期指标，指标完成率100%。通过补偿，激励荒山绿化工作开展，可有效改善周围人民生活的气候环境，增强生态系统稳定性。</w:t>
      </w:r>
    </w:p>
    <w:p w14:paraId="0AFF8A83"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2.满意度</w:t>
      </w:r>
    </w:p>
    <w:p w14:paraId="08718C93"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满意度指标：</w:t>
      </w:r>
    </w:p>
    <w:p w14:paraId="072A93BC"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标1：受企业满意率，指标值：&gt;=95%，实际完成值：95%，指标完成率100%。本次支付新疆胜天房地产开发有限公司荒山绿化用地补偿资金，企业收到后很满意。项目资金用于开发荒山绿化的投入与建设、增值与收益补偿，极大的补偿和回馈了开发建设企业的付出，鼓励和支持大规模的荒山绿化活动，促进生态环境和资源的合理利用。</w:t>
      </w:r>
    </w:p>
    <w:p w14:paraId="07724CD8" w14:textId="77777777" w:rsidR="00B76E9A"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46FAC120"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新疆胜天房地产开发有限公司荒山绿化项目用地偿款项目</w:t>
      </w:r>
      <w:r>
        <w:rPr>
          <w:rFonts w:ascii="仿宋_GB2312" w:eastAsia="仿宋_GB2312" w:hAnsi="仿宋_GB2312" w:cs="仿宋_GB2312"/>
          <w:sz w:val="32"/>
          <w:szCs w:val="32"/>
        </w:rPr>
        <w:t>年初预</w:t>
      </w:r>
      <w:r>
        <w:rPr>
          <w:rFonts w:ascii="仿宋_GB2312" w:eastAsia="仿宋_GB2312" w:hAnsi="仿宋_GB2312" w:cs="仿宋_GB2312" w:hint="eastAsia"/>
          <w:sz w:val="32"/>
          <w:szCs w:val="32"/>
        </w:rPr>
        <w:t>4000</w:t>
      </w:r>
      <w:r>
        <w:rPr>
          <w:rFonts w:ascii="仿宋_GB2312" w:eastAsia="仿宋_GB2312" w:hAnsi="仿宋_GB2312" w:cs="仿宋_GB2312"/>
          <w:sz w:val="32"/>
          <w:szCs w:val="32"/>
        </w:rPr>
        <w:t>万元，全年预算</w:t>
      </w:r>
      <w:r>
        <w:rPr>
          <w:rFonts w:ascii="仿宋_GB2312" w:eastAsia="仿宋_GB2312" w:hAnsi="仿宋_GB2312" w:cs="仿宋_GB2312" w:hint="eastAsia"/>
          <w:sz w:val="32"/>
          <w:szCs w:val="32"/>
        </w:rPr>
        <w:t>4000</w:t>
      </w:r>
      <w:r>
        <w:rPr>
          <w:rFonts w:ascii="仿宋_GB2312" w:eastAsia="仿宋_GB2312" w:hAnsi="仿宋_GB2312" w:cs="仿宋_GB2312"/>
          <w:sz w:val="32"/>
          <w:szCs w:val="32"/>
        </w:rPr>
        <w:t>万元，实际支出</w:t>
      </w:r>
      <w:r>
        <w:rPr>
          <w:rFonts w:ascii="仿宋_GB2312" w:eastAsia="仿宋_GB2312" w:hAnsi="仿宋_GB2312" w:cs="仿宋_GB2312" w:hint="eastAsia"/>
          <w:sz w:val="32"/>
          <w:szCs w:val="32"/>
        </w:rPr>
        <w:t>4000</w:t>
      </w:r>
      <w:r>
        <w:rPr>
          <w:rFonts w:ascii="仿宋_GB2312" w:eastAsia="仿宋_GB2312" w:hAnsi="仿宋_GB2312" w:cs="仿宋_GB2312"/>
          <w:sz w:val="32"/>
          <w:szCs w:val="32"/>
        </w:rPr>
        <w:t>万元，预算执行率为</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%，项目绩效指标总体完成率为</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sz w:val="32"/>
          <w:szCs w:val="32"/>
          <w:lang w:eastAsia="zh-Hans"/>
        </w:rPr>
        <w:t>总体</w:t>
      </w:r>
      <w:r>
        <w:rPr>
          <w:rFonts w:ascii="仿宋_GB2312" w:eastAsia="仿宋_GB2312" w:hAnsi="仿宋_GB2312" w:cs="仿宋_GB2312"/>
          <w:sz w:val="32"/>
          <w:szCs w:val="32"/>
        </w:rPr>
        <w:t>偏差率为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14:paraId="1CCFCD7B" w14:textId="77777777" w:rsidR="00B76E9A"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lastRenderedPageBreak/>
        <w:t>五、</w:t>
      </w:r>
      <w:r>
        <w:rPr>
          <w:rFonts w:eastAsia="黑体"/>
          <w:sz w:val="32"/>
          <w:szCs w:val="32"/>
        </w:rPr>
        <w:t>主要经验及做法、存在的问题及原因分析</w:t>
      </w:r>
    </w:p>
    <w:p w14:paraId="6B0AADE4" w14:textId="77777777" w:rsidR="00B76E9A"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13BDE53D" w14:textId="77777777" w:rsidR="00B76E9A"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77100DBA" w14:textId="77777777" w:rsidR="00B76E9A"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DEB9E18" w14:textId="77777777" w:rsidR="00B76E9A"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31CCC93"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1.部门职能不明确，个别工作分工不清晰，且人员培训和绩效考核制度不够完善，考核方案部分内容和人员名单更新滞后。</w:t>
      </w:r>
    </w:p>
    <w:p w14:paraId="52E0CC50"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2.预算编制科学性的问题。首先预算编制之合理性相对不足，主要表现在预算调整数较大，年度目标与长期规划衔接的紧密程度需要增强。</w:t>
      </w:r>
    </w:p>
    <w:p w14:paraId="150AF9A6" w14:textId="77777777" w:rsidR="00B76E9A" w:rsidRDefault="00000000">
      <w:pPr>
        <w:spacing w:line="60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3.部门整体绩效指标应从单位全局高度出发，围绕部门单</w:t>
      </w:r>
      <w:r>
        <w:rPr>
          <w:rFonts w:ascii="仿宋_GB2312" w:eastAsia="仿宋_GB2312" w:hAnsi="仿宋_GB2312" w:cs="仿宋_GB2312" w:hint="eastAsia"/>
          <w:sz w:val="32"/>
          <w:szCs w:val="32"/>
        </w:rPr>
        <w:lastRenderedPageBreak/>
        <w:t>位履职的核心任务，分析提炼部门单位年度目标，再细化为具体的三级指标，以结果性、效益性指标为主。同时，参考资料也是首先以中央、自治区、乌鲁木齐市的文件、批准的规划为主，不是仅依赖于部门单位的工作计划，多设置过程性、产出性的指标，而非部门碎片工作的简单整合。</w:t>
      </w:r>
    </w:p>
    <w:p w14:paraId="61180DF3" w14:textId="77777777" w:rsidR="00B76E9A"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hint="eastAsia"/>
          <w:sz w:val="32"/>
          <w:szCs w:val="32"/>
          <w:lang w:eastAsia="zh-Hans"/>
        </w:rPr>
        <w:t>、</w:t>
      </w:r>
      <w:r>
        <w:rPr>
          <w:rFonts w:eastAsia="黑体"/>
          <w:sz w:val="32"/>
          <w:szCs w:val="32"/>
        </w:rPr>
        <w:t>有关建议</w:t>
      </w:r>
    </w:p>
    <w:p w14:paraId="72DC0967"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构建专业、客观、独立、多样的绩效评价主体。在可能的条件下，引入社会绩效评价组织，专家，高效研究人员等。还应加强对外公开的效率，促使公众参与到部门整体绩效评价执行的过程中，重视社会公众对绩效评价的监督。最后，要加强部门内部绩效评价人员的培训，提高其指标设计和绩效评价的专业技能。</w:t>
      </w:r>
    </w:p>
    <w:p w14:paraId="7E61A45B"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w:t>
      </w:r>
    </w:p>
    <w:p w14:paraId="02EB45A7"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3.重视部门整体支出绩效评价中的问题总结，这是发现问题的开端。其次，将结果进行公示，以促进部门间的相互竞争和部门外部的监督。利用绩效评价结果也可以反向促进单位内</w:t>
      </w:r>
      <w:r>
        <w:rPr>
          <w:rFonts w:ascii="仿宋_GB2312" w:eastAsia="仿宋_GB2312" w:hAnsi="仿宋_GB2312" w:cs="仿宋_GB2312" w:hint="eastAsia"/>
          <w:sz w:val="32"/>
          <w:szCs w:val="32"/>
        </w:rPr>
        <w:lastRenderedPageBreak/>
        <w:t>部预算资金统筹安排和项目的执行，提高工作人员的工作效率，进而提高社会效益。</w:t>
      </w:r>
    </w:p>
    <w:p w14:paraId="16DBBE42" w14:textId="77777777" w:rsidR="00B76E9A" w:rsidRDefault="00000000">
      <w:pPr>
        <w:spacing w:line="600" w:lineRule="exact"/>
        <w:ind w:firstLineChars="200" w:firstLine="640"/>
        <w:outlineLvl w:val="0"/>
        <w:rPr>
          <w:rFonts w:eastAsia="黑体"/>
          <w:sz w:val="32"/>
          <w:szCs w:val="32"/>
        </w:rPr>
      </w:pPr>
      <w:r>
        <w:rPr>
          <w:rFonts w:eastAsia="仿宋_GB2312" w:hint="eastAsia"/>
          <w:color w:val="FFFFFF" w:themeColor="background1"/>
          <w:sz w:val="32"/>
          <w:szCs w:val="32"/>
        </w:rPr>
        <w:t>.</w:t>
      </w:r>
      <w:r>
        <w:rPr>
          <w:rFonts w:eastAsia="黑体" w:hint="eastAsia"/>
          <w:sz w:val="32"/>
          <w:szCs w:val="32"/>
        </w:rPr>
        <w:t>七、</w:t>
      </w:r>
      <w:r>
        <w:rPr>
          <w:rFonts w:eastAsia="黑体"/>
          <w:sz w:val="32"/>
          <w:szCs w:val="32"/>
        </w:rPr>
        <w:t>其他需要说</w:t>
      </w:r>
      <w:bookmarkStart w:id="1" w:name="page8"/>
      <w:bookmarkEnd w:id="1"/>
      <w:r>
        <w:rPr>
          <w:rFonts w:eastAsia="黑体"/>
          <w:sz w:val="32"/>
          <w:szCs w:val="32"/>
        </w:rPr>
        <w:t>明的问题</w:t>
      </w:r>
    </w:p>
    <w:p w14:paraId="071EB25D"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1.项目支出政策和路径设计科学，符合实际需要；</w:t>
      </w:r>
    </w:p>
    <w:p w14:paraId="3FAD4FBC"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2.项目安排准确，未发现背离项目立项初衷的情况；</w:t>
      </w:r>
    </w:p>
    <w:p w14:paraId="76D8B0BE"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3.项目的申报、审核机制完善；</w:t>
      </w:r>
    </w:p>
    <w:p w14:paraId="720153DE" w14:textId="77777777" w:rsidR="00B76E9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4.未发现虚假行为和骗取财政资金的问题。</w:t>
      </w:r>
    </w:p>
    <w:p w14:paraId="37FB6CC0" w14:textId="77777777" w:rsidR="00B76E9A" w:rsidRDefault="00B76E9A">
      <w:pPr>
        <w:spacing w:line="560" w:lineRule="exact"/>
        <w:ind w:firstLineChars="200" w:firstLine="640"/>
        <w:rPr>
          <w:rFonts w:ascii="仿宋_GB2312" w:eastAsia="仿宋_GB2312" w:hAnsi="仿宋_GB2312" w:cs="仿宋_GB2312" w:hint="eastAsia"/>
          <w:sz w:val="32"/>
          <w:szCs w:val="32"/>
        </w:rPr>
      </w:pPr>
    </w:p>
    <w:p w14:paraId="4387DA64" w14:textId="77777777" w:rsidR="00B76E9A" w:rsidRDefault="00B76E9A">
      <w:pPr>
        <w:pStyle w:val="2"/>
        <w:spacing w:after="0" w:line="560" w:lineRule="exact"/>
        <w:ind w:leftChars="0" w:left="0" w:firstLine="640"/>
        <w:rPr>
          <w:rFonts w:ascii="Times New Roman" w:eastAsia="仿宋_GB2312" w:hAnsi="Times New Roman"/>
          <w:sz w:val="32"/>
          <w:szCs w:val="32"/>
        </w:rPr>
      </w:pPr>
    </w:p>
    <w:p w14:paraId="4DD20399" w14:textId="77777777" w:rsidR="00B76E9A" w:rsidRDefault="00B76E9A">
      <w:pPr>
        <w:pStyle w:val="2"/>
        <w:spacing w:after="0" w:line="560" w:lineRule="exact"/>
        <w:ind w:leftChars="0" w:left="0" w:firstLine="640"/>
        <w:rPr>
          <w:rFonts w:ascii="Times New Roman" w:eastAsia="仿宋_GB2312" w:hAnsi="Times New Roman"/>
          <w:sz w:val="32"/>
          <w:szCs w:val="32"/>
        </w:rPr>
      </w:pPr>
    </w:p>
    <w:p w14:paraId="0CE0D32F" w14:textId="77777777" w:rsidR="00B76E9A" w:rsidRDefault="00B76E9A">
      <w:pPr>
        <w:pStyle w:val="2"/>
        <w:spacing w:after="0" w:line="560" w:lineRule="exact"/>
        <w:ind w:leftChars="0" w:left="0" w:firstLineChars="0" w:firstLine="0"/>
        <w:rPr>
          <w:rFonts w:ascii="Times New Roman" w:eastAsia="仿宋_GB2312" w:hAnsi="Times New Roman"/>
          <w:sz w:val="32"/>
          <w:szCs w:val="32"/>
        </w:rPr>
      </w:pPr>
    </w:p>
    <w:p w14:paraId="28127A4F" w14:textId="77777777" w:rsidR="00B76E9A" w:rsidRDefault="00B76E9A">
      <w:pPr>
        <w:spacing w:line="600" w:lineRule="exact"/>
        <w:rPr>
          <w:rFonts w:eastAsia="黑体"/>
          <w:sz w:val="32"/>
          <w:szCs w:val="32"/>
        </w:rPr>
        <w:sectPr w:rsidR="00B76E9A">
          <w:footerReference w:type="default" r:id="rId7"/>
          <w:pgSz w:w="11906" w:h="16838"/>
          <w:pgMar w:top="1440" w:right="1558" w:bottom="1440" w:left="1800" w:header="851" w:footer="992" w:gutter="0"/>
          <w:pgNumType w:start="1"/>
          <w:cols w:space="425"/>
          <w:docGrid w:type="lines" w:linePitch="312"/>
        </w:sectPr>
      </w:pPr>
    </w:p>
    <w:p w14:paraId="67EAE012" w14:textId="77777777" w:rsidR="00B76E9A" w:rsidRDefault="00000000">
      <w:pPr>
        <w:spacing w:line="600" w:lineRule="exact"/>
        <w:rPr>
          <w:rFonts w:ascii="黑体" w:eastAsia="黑体" w:hAnsi="黑体" w:cs="黑体" w:hint="eastAsia"/>
        </w:rPr>
      </w:pPr>
      <w:r>
        <w:rPr>
          <w:rFonts w:ascii="黑体" w:eastAsia="黑体" w:hAnsi="黑体" w:cs="黑体" w:hint="eastAsia"/>
          <w:bCs/>
          <w:sz w:val="32"/>
          <w:szCs w:val="32"/>
        </w:rPr>
        <w:lastRenderedPageBreak/>
        <w:t>附件1</w:t>
      </w:r>
    </w:p>
    <w:p w14:paraId="38A2F54C" w14:textId="77777777" w:rsidR="00B76E9A" w:rsidRDefault="00000000">
      <w:pPr>
        <w:widowControl/>
        <w:jc w:val="center"/>
        <w:textAlignment w:val="center"/>
        <w:rPr>
          <w:b/>
          <w:bCs/>
          <w:kern w:val="0"/>
          <w:sz w:val="28"/>
          <w:szCs w:val="40"/>
        </w:rPr>
      </w:pPr>
      <w:bookmarkStart w:id="2" w:name="_Toc26499_WPSOffice_Level2"/>
      <w:bookmarkStart w:id="3" w:name="_Toc30064_WPSOffice_Level1"/>
      <w:r>
        <w:rPr>
          <w:rFonts w:hint="eastAsia"/>
          <w:b/>
          <w:bCs/>
          <w:kern w:val="0"/>
          <w:sz w:val="28"/>
          <w:szCs w:val="40"/>
        </w:rPr>
        <w:t>新疆胜天房地产开发有限公司荒山绿化项目用地补偿项目</w:t>
      </w:r>
    </w:p>
    <w:p w14:paraId="5EA92785" w14:textId="77777777" w:rsidR="00B76E9A" w:rsidRDefault="00000000">
      <w:pPr>
        <w:pStyle w:val="-"/>
        <w:ind w:firstLine="562"/>
        <w:jc w:val="center"/>
        <w:rPr>
          <w:sz w:val="28"/>
          <w:szCs w:val="40"/>
        </w:rPr>
      </w:pPr>
      <w:r>
        <w:rPr>
          <w:rFonts w:hint="eastAsia"/>
          <w:b/>
          <w:bCs/>
          <w:sz w:val="28"/>
          <w:szCs w:val="40"/>
        </w:rPr>
        <w:t>绩效评价指标体系及综合评分表</w:t>
      </w:r>
      <w:bookmarkEnd w:id="2"/>
      <w:bookmarkEnd w:id="3"/>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B76E9A" w14:paraId="471C649D" w14:textId="77777777">
        <w:trPr>
          <w:trHeight w:val="552"/>
          <w:tblHeader/>
          <w:jc w:val="center"/>
        </w:trPr>
        <w:tc>
          <w:tcPr>
            <w:tcW w:w="1002" w:type="dxa"/>
            <w:shd w:val="clear" w:color="auto" w:fill="FFFFFF"/>
            <w:vAlign w:val="center"/>
          </w:tcPr>
          <w:p w14:paraId="1A5DFB07"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2273E9A0"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53D66DCC"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643F20AC"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64D54019"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6408E236"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43DB175F"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B76E9A" w14:paraId="52F48566" w14:textId="77777777">
        <w:trPr>
          <w:trHeight w:val="2919"/>
          <w:jc w:val="center"/>
        </w:trPr>
        <w:tc>
          <w:tcPr>
            <w:tcW w:w="1002" w:type="dxa"/>
            <w:vMerge w:val="restart"/>
            <w:shd w:val="clear" w:color="auto" w:fill="FFFFFF"/>
            <w:vAlign w:val="center"/>
          </w:tcPr>
          <w:p w14:paraId="274CB15B" w14:textId="77777777" w:rsidR="00B76E9A" w:rsidRDefault="00B76E9A">
            <w:pPr>
              <w:widowControl/>
              <w:spacing w:line="0" w:lineRule="atLeast"/>
              <w:jc w:val="center"/>
              <w:rPr>
                <w:rFonts w:eastAsia="仿宋_GB2312"/>
                <w:color w:val="000000"/>
                <w:kern w:val="0"/>
                <w:sz w:val="18"/>
                <w:szCs w:val="18"/>
              </w:rPr>
            </w:pPr>
          </w:p>
          <w:p w14:paraId="443CAD20" w14:textId="77777777" w:rsidR="00B76E9A" w:rsidRDefault="00B76E9A">
            <w:pPr>
              <w:widowControl/>
              <w:spacing w:line="0" w:lineRule="atLeast"/>
              <w:jc w:val="center"/>
              <w:rPr>
                <w:rFonts w:eastAsia="仿宋_GB2312"/>
                <w:color w:val="000000"/>
                <w:kern w:val="0"/>
                <w:sz w:val="18"/>
                <w:szCs w:val="18"/>
              </w:rPr>
            </w:pPr>
          </w:p>
          <w:p w14:paraId="66CA7FE3" w14:textId="77777777" w:rsidR="00B76E9A" w:rsidRDefault="00B76E9A">
            <w:pPr>
              <w:widowControl/>
              <w:spacing w:line="0" w:lineRule="atLeast"/>
              <w:jc w:val="center"/>
              <w:rPr>
                <w:rFonts w:eastAsia="仿宋_GB2312"/>
                <w:color w:val="000000"/>
                <w:kern w:val="0"/>
                <w:sz w:val="18"/>
                <w:szCs w:val="18"/>
              </w:rPr>
            </w:pPr>
          </w:p>
          <w:p w14:paraId="01990A73" w14:textId="77777777" w:rsidR="00B76E9A" w:rsidRDefault="00B76E9A">
            <w:pPr>
              <w:widowControl/>
              <w:spacing w:line="0" w:lineRule="atLeast"/>
              <w:jc w:val="center"/>
              <w:rPr>
                <w:rFonts w:eastAsia="仿宋_GB2312"/>
                <w:color w:val="000000"/>
                <w:kern w:val="0"/>
                <w:sz w:val="18"/>
                <w:szCs w:val="18"/>
              </w:rPr>
            </w:pPr>
          </w:p>
          <w:p w14:paraId="67328F3A" w14:textId="77777777" w:rsidR="00B76E9A" w:rsidRDefault="00B76E9A">
            <w:pPr>
              <w:widowControl/>
              <w:spacing w:line="0" w:lineRule="atLeast"/>
              <w:jc w:val="center"/>
              <w:rPr>
                <w:rFonts w:eastAsia="仿宋_GB2312"/>
                <w:color w:val="000000"/>
                <w:kern w:val="0"/>
                <w:sz w:val="18"/>
                <w:szCs w:val="18"/>
              </w:rPr>
            </w:pPr>
          </w:p>
          <w:p w14:paraId="19AD9FC8" w14:textId="77777777" w:rsidR="00B76E9A" w:rsidRDefault="00B76E9A">
            <w:pPr>
              <w:widowControl/>
              <w:spacing w:line="0" w:lineRule="atLeast"/>
              <w:jc w:val="center"/>
              <w:rPr>
                <w:rFonts w:eastAsia="仿宋_GB2312"/>
                <w:color w:val="000000"/>
                <w:kern w:val="0"/>
                <w:sz w:val="18"/>
                <w:szCs w:val="18"/>
              </w:rPr>
            </w:pPr>
          </w:p>
          <w:p w14:paraId="34D77653"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48E3309C"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4ECC9E12"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AD90ABB"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137D7AE2"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FDFE680" w14:textId="77777777" w:rsidR="00B76E9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5B9A9164"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3C8A1D0"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76E9A" w14:paraId="54927C22" w14:textId="77777777">
        <w:trPr>
          <w:trHeight w:val="90"/>
          <w:jc w:val="center"/>
        </w:trPr>
        <w:tc>
          <w:tcPr>
            <w:tcW w:w="1002" w:type="dxa"/>
            <w:vMerge/>
            <w:shd w:val="clear" w:color="auto" w:fill="FFFFFF"/>
            <w:vAlign w:val="center"/>
          </w:tcPr>
          <w:p w14:paraId="09AE75EC" w14:textId="77777777" w:rsidR="00B76E9A" w:rsidRDefault="00B76E9A">
            <w:pPr>
              <w:spacing w:line="0" w:lineRule="atLeast"/>
              <w:jc w:val="center"/>
              <w:rPr>
                <w:rFonts w:eastAsia="仿宋_GB2312"/>
                <w:color w:val="000000"/>
                <w:kern w:val="0"/>
                <w:sz w:val="18"/>
                <w:szCs w:val="18"/>
              </w:rPr>
            </w:pPr>
          </w:p>
        </w:tc>
        <w:tc>
          <w:tcPr>
            <w:tcW w:w="1000" w:type="dxa"/>
            <w:vMerge/>
            <w:shd w:val="clear" w:color="auto" w:fill="FFFFFF"/>
            <w:vAlign w:val="center"/>
          </w:tcPr>
          <w:p w14:paraId="04EE8660" w14:textId="77777777" w:rsidR="00B76E9A" w:rsidRDefault="00B76E9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DA5C7B9"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6BEBDC8C"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278C69E"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7E687AA1" w14:textId="77777777" w:rsidR="00B76E9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09356D86"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1B76B0B"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76E9A" w14:paraId="252E4403" w14:textId="77777777">
        <w:trPr>
          <w:trHeight w:val="90"/>
          <w:jc w:val="center"/>
        </w:trPr>
        <w:tc>
          <w:tcPr>
            <w:tcW w:w="1002" w:type="dxa"/>
            <w:vMerge/>
            <w:shd w:val="clear" w:color="auto" w:fill="FFFFFF"/>
            <w:vAlign w:val="center"/>
          </w:tcPr>
          <w:p w14:paraId="12B0F6DA" w14:textId="77777777" w:rsidR="00B76E9A" w:rsidRDefault="00B76E9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9FABC26"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1310C511"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0564C6B1"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0627198B"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w:t>
            </w:r>
            <w:r>
              <w:rPr>
                <w:rFonts w:eastAsia="仿宋_GB2312"/>
                <w:color w:val="000000"/>
                <w:kern w:val="0"/>
                <w:sz w:val="18"/>
                <w:szCs w:val="18"/>
              </w:rPr>
              <w:lastRenderedPageBreak/>
              <w:t>与项目实施的相符情况。</w:t>
            </w:r>
          </w:p>
        </w:tc>
        <w:tc>
          <w:tcPr>
            <w:tcW w:w="5216" w:type="dxa"/>
            <w:shd w:val="clear" w:color="000000" w:fill="FFFFFF"/>
            <w:vAlign w:val="center"/>
          </w:tcPr>
          <w:p w14:paraId="250BA78A" w14:textId="77777777" w:rsidR="00B76E9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lastRenderedPageBreak/>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r>
            <w:r>
              <w:rPr>
                <w:rFonts w:eastAsia="仿宋_GB2312"/>
                <w:color w:val="000000"/>
                <w:kern w:val="0"/>
                <w:sz w:val="18"/>
                <w:szCs w:val="18"/>
              </w:rPr>
              <w:lastRenderedPageBreak/>
              <w:t>③</w:t>
            </w:r>
            <w:r>
              <w:rPr>
                <w:rFonts w:eastAsia="仿宋_GB2312"/>
                <w:color w:val="000000"/>
                <w:kern w:val="0"/>
                <w:sz w:val="18"/>
                <w:szCs w:val="18"/>
              </w:rPr>
              <w:t>项目预期产出效益和效果是否符合正常的业绩水平；</w:t>
            </w:r>
          </w:p>
          <w:p w14:paraId="4B271BE5" w14:textId="77777777" w:rsidR="00B76E9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3665F3F6"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lastRenderedPageBreak/>
              <w:t>3</w:t>
            </w:r>
          </w:p>
        </w:tc>
        <w:tc>
          <w:tcPr>
            <w:tcW w:w="1365" w:type="dxa"/>
            <w:shd w:val="clear" w:color="000000" w:fill="FFFFFF"/>
            <w:vAlign w:val="center"/>
          </w:tcPr>
          <w:p w14:paraId="004D010F"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76E9A" w14:paraId="3FEC8842" w14:textId="77777777">
        <w:trPr>
          <w:trHeight w:val="1464"/>
          <w:jc w:val="center"/>
        </w:trPr>
        <w:tc>
          <w:tcPr>
            <w:tcW w:w="1002" w:type="dxa"/>
            <w:vMerge/>
            <w:shd w:val="clear" w:color="auto" w:fill="FFFFFF"/>
            <w:vAlign w:val="center"/>
          </w:tcPr>
          <w:p w14:paraId="7AF3FD55" w14:textId="77777777" w:rsidR="00B76E9A" w:rsidRDefault="00B76E9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D4A90B9" w14:textId="77777777" w:rsidR="00B76E9A" w:rsidRDefault="00B76E9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09F0A4F"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605B5156"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2A4C4BE0"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4C079EF9"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5B6AA50D"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54AC176"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B76E9A" w14:paraId="5F6EF38C" w14:textId="77777777">
        <w:trPr>
          <w:trHeight w:val="1942"/>
          <w:jc w:val="center"/>
        </w:trPr>
        <w:tc>
          <w:tcPr>
            <w:tcW w:w="1002" w:type="dxa"/>
            <w:vMerge/>
            <w:shd w:val="clear" w:color="auto" w:fill="FFFFFF"/>
            <w:vAlign w:val="center"/>
          </w:tcPr>
          <w:p w14:paraId="70343540" w14:textId="77777777" w:rsidR="00B76E9A" w:rsidRDefault="00B76E9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DEBB9F5"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7749C072" w14:textId="77777777" w:rsidR="00B76E9A"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6368CA73"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462B937D"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10C609F7"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1878FD42"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74988D1D"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B6A7DF5"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1DCF7B36" w14:textId="77777777">
        <w:trPr>
          <w:trHeight w:val="1706"/>
          <w:jc w:val="center"/>
        </w:trPr>
        <w:tc>
          <w:tcPr>
            <w:tcW w:w="1002" w:type="dxa"/>
            <w:vMerge/>
            <w:shd w:val="clear" w:color="auto" w:fill="FFFFFF"/>
            <w:vAlign w:val="center"/>
          </w:tcPr>
          <w:p w14:paraId="3E823001" w14:textId="77777777" w:rsidR="00B76E9A" w:rsidRDefault="00B76E9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37870A7" w14:textId="77777777" w:rsidR="00B76E9A" w:rsidRDefault="00B76E9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E868BC9"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6AAD850B"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1DD5EDD6"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311E15E"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4FFF9695"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B40BE41"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3C2263B7" w14:textId="77777777">
        <w:trPr>
          <w:trHeight w:val="1415"/>
          <w:jc w:val="center"/>
        </w:trPr>
        <w:tc>
          <w:tcPr>
            <w:tcW w:w="1002" w:type="dxa"/>
            <w:vMerge w:val="restart"/>
            <w:shd w:val="clear" w:color="auto" w:fill="FFFFFF"/>
            <w:vAlign w:val="center"/>
          </w:tcPr>
          <w:p w14:paraId="3BB697EA" w14:textId="77777777" w:rsidR="00B76E9A" w:rsidRDefault="00B76E9A">
            <w:pPr>
              <w:spacing w:line="0" w:lineRule="atLeast"/>
              <w:jc w:val="center"/>
              <w:rPr>
                <w:rFonts w:eastAsia="仿宋_GB2312"/>
                <w:color w:val="000000"/>
                <w:kern w:val="0"/>
                <w:sz w:val="18"/>
                <w:szCs w:val="18"/>
              </w:rPr>
            </w:pPr>
          </w:p>
          <w:p w14:paraId="66EEC8EB" w14:textId="77777777" w:rsidR="00B76E9A" w:rsidRDefault="00B76E9A">
            <w:pPr>
              <w:spacing w:line="0" w:lineRule="atLeast"/>
              <w:jc w:val="center"/>
              <w:rPr>
                <w:rFonts w:eastAsia="仿宋_GB2312"/>
                <w:color w:val="000000"/>
                <w:kern w:val="0"/>
                <w:sz w:val="18"/>
                <w:szCs w:val="18"/>
              </w:rPr>
            </w:pPr>
          </w:p>
          <w:p w14:paraId="719EC233" w14:textId="77777777" w:rsidR="00B76E9A" w:rsidRDefault="00B76E9A">
            <w:pPr>
              <w:spacing w:line="0" w:lineRule="atLeast"/>
              <w:jc w:val="center"/>
              <w:rPr>
                <w:rFonts w:eastAsia="仿宋_GB2312"/>
                <w:color w:val="000000"/>
                <w:kern w:val="0"/>
                <w:sz w:val="18"/>
                <w:szCs w:val="18"/>
              </w:rPr>
            </w:pPr>
          </w:p>
          <w:p w14:paraId="728D0EC4" w14:textId="77777777" w:rsidR="00B76E9A" w:rsidRDefault="00B76E9A">
            <w:pPr>
              <w:spacing w:line="0" w:lineRule="atLeast"/>
              <w:jc w:val="center"/>
              <w:rPr>
                <w:rFonts w:eastAsia="仿宋_GB2312"/>
                <w:color w:val="000000"/>
                <w:kern w:val="0"/>
                <w:sz w:val="18"/>
                <w:szCs w:val="18"/>
              </w:rPr>
            </w:pPr>
          </w:p>
          <w:p w14:paraId="287C794E" w14:textId="77777777" w:rsidR="00B76E9A" w:rsidRDefault="00B76E9A">
            <w:pPr>
              <w:spacing w:line="0" w:lineRule="atLeast"/>
              <w:jc w:val="center"/>
              <w:rPr>
                <w:rFonts w:eastAsia="仿宋_GB2312"/>
                <w:color w:val="000000"/>
                <w:kern w:val="0"/>
                <w:sz w:val="18"/>
                <w:szCs w:val="18"/>
              </w:rPr>
            </w:pPr>
          </w:p>
          <w:p w14:paraId="4A4661CE" w14:textId="77777777" w:rsidR="00B76E9A" w:rsidRDefault="00B76E9A">
            <w:pPr>
              <w:spacing w:line="0" w:lineRule="atLeast"/>
              <w:jc w:val="center"/>
              <w:rPr>
                <w:rFonts w:eastAsia="仿宋_GB2312"/>
                <w:color w:val="000000"/>
                <w:kern w:val="0"/>
                <w:sz w:val="18"/>
                <w:szCs w:val="18"/>
              </w:rPr>
            </w:pPr>
          </w:p>
          <w:p w14:paraId="0922E5B8" w14:textId="77777777" w:rsidR="00B76E9A" w:rsidRDefault="00B76E9A">
            <w:pPr>
              <w:spacing w:line="0" w:lineRule="atLeast"/>
              <w:jc w:val="center"/>
              <w:rPr>
                <w:rFonts w:eastAsia="仿宋_GB2312"/>
                <w:color w:val="000000"/>
                <w:kern w:val="0"/>
                <w:sz w:val="18"/>
                <w:szCs w:val="18"/>
              </w:rPr>
            </w:pPr>
          </w:p>
          <w:p w14:paraId="1AD37B12" w14:textId="77777777" w:rsidR="00B76E9A" w:rsidRDefault="00B76E9A">
            <w:pPr>
              <w:spacing w:line="0" w:lineRule="atLeast"/>
              <w:jc w:val="center"/>
              <w:rPr>
                <w:rFonts w:eastAsia="仿宋_GB2312"/>
                <w:color w:val="000000"/>
                <w:kern w:val="0"/>
                <w:sz w:val="18"/>
                <w:szCs w:val="18"/>
              </w:rPr>
            </w:pPr>
          </w:p>
          <w:p w14:paraId="3E250FFF" w14:textId="77777777" w:rsidR="00B76E9A" w:rsidRDefault="00B76E9A">
            <w:pPr>
              <w:spacing w:line="0" w:lineRule="atLeast"/>
              <w:jc w:val="center"/>
              <w:rPr>
                <w:rFonts w:eastAsia="仿宋_GB2312"/>
                <w:color w:val="000000"/>
                <w:kern w:val="0"/>
                <w:sz w:val="18"/>
                <w:szCs w:val="18"/>
              </w:rPr>
            </w:pPr>
          </w:p>
          <w:p w14:paraId="2EE374CB" w14:textId="77777777" w:rsidR="00B76E9A" w:rsidRDefault="00B76E9A">
            <w:pPr>
              <w:spacing w:line="0" w:lineRule="atLeast"/>
              <w:jc w:val="center"/>
              <w:rPr>
                <w:rFonts w:eastAsia="仿宋_GB2312"/>
                <w:color w:val="000000"/>
                <w:kern w:val="0"/>
                <w:sz w:val="18"/>
                <w:szCs w:val="18"/>
              </w:rPr>
            </w:pPr>
          </w:p>
          <w:p w14:paraId="67044A57" w14:textId="77777777" w:rsidR="00B76E9A" w:rsidRDefault="00B76E9A">
            <w:pPr>
              <w:spacing w:line="0" w:lineRule="atLeast"/>
              <w:jc w:val="center"/>
              <w:rPr>
                <w:rFonts w:eastAsia="仿宋_GB2312"/>
                <w:color w:val="000000"/>
                <w:kern w:val="0"/>
                <w:sz w:val="18"/>
                <w:szCs w:val="18"/>
              </w:rPr>
            </w:pPr>
          </w:p>
          <w:p w14:paraId="2AA4C718" w14:textId="77777777" w:rsidR="00B76E9A" w:rsidRDefault="00B76E9A">
            <w:pPr>
              <w:spacing w:line="0" w:lineRule="atLeast"/>
              <w:jc w:val="center"/>
              <w:rPr>
                <w:rFonts w:eastAsia="仿宋_GB2312"/>
                <w:color w:val="000000"/>
                <w:kern w:val="0"/>
                <w:sz w:val="18"/>
                <w:szCs w:val="18"/>
              </w:rPr>
            </w:pPr>
          </w:p>
          <w:p w14:paraId="0E76B53E" w14:textId="77777777" w:rsidR="00B76E9A" w:rsidRDefault="00B76E9A">
            <w:pPr>
              <w:spacing w:line="0" w:lineRule="atLeast"/>
              <w:jc w:val="center"/>
              <w:rPr>
                <w:rFonts w:eastAsia="仿宋_GB2312"/>
                <w:color w:val="000000"/>
                <w:kern w:val="0"/>
                <w:sz w:val="18"/>
                <w:szCs w:val="18"/>
              </w:rPr>
            </w:pPr>
          </w:p>
          <w:p w14:paraId="7B13D6F9" w14:textId="77777777" w:rsidR="00B76E9A" w:rsidRDefault="00B76E9A">
            <w:pPr>
              <w:spacing w:line="0" w:lineRule="atLeast"/>
              <w:jc w:val="center"/>
              <w:rPr>
                <w:rFonts w:eastAsia="仿宋_GB2312"/>
                <w:color w:val="000000"/>
                <w:kern w:val="0"/>
                <w:sz w:val="18"/>
                <w:szCs w:val="18"/>
              </w:rPr>
            </w:pPr>
          </w:p>
          <w:p w14:paraId="432B0B4A" w14:textId="77777777" w:rsidR="00B76E9A" w:rsidRDefault="00B76E9A">
            <w:pPr>
              <w:spacing w:line="0" w:lineRule="atLeast"/>
              <w:jc w:val="center"/>
              <w:rPr>
                <w:rFonts w:eastAsia="仿宋_GB2312"/>
                <w:color w:val="000000"/>
                <w:kern w:val="0"/>
                <w:sz w:val="18"/>
                <w:szCs w:val="18"/>
              </w:rPr>
            </w:pPr>
          </w:p>
          <w:p w14:paraId="655CE109" w14:textId="77777777" w:rsidR="00B76E9A"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3731F73A"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12E64790"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7540A79"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5E228F69"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EE4859C"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4FE6A30A"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5E0989BA"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2EF58F45"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D8616B8"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37CB0949" w14:textId="77777777">
        <w:trPr>
          <w:trHeight w:val="1320"/>
          <w:jc w:val="center"/>
        </w:trPr>
        <w:tc>
          <w:tcPr>
            <w:tcW w:w="1002" w:type="dxa"/>
            <w:vMerge/>
            <w:shd w:val="clear" w:color="auto" w:fill="FFFFFF"/>
            <w:vAlign w:val="center"/>
          </w:tcPr>
          <w:p w14:paraId="0E583947" w14:textId="77777777" w:rsidR="00B76E9A" w:rsidRDefault="00B76E9A">
            <w:pPr>
              <w:spacing w:line="0" w:lineRule="atLeast"/>
              <w:jc w:val="center"/>
              <w:rPr>
                <w:rFonts w:eastAsia="仿宋_GB2312"/>
                <w:color w:val="000000"/>
                <w:kern w:val="0"/>
                <w:sz w:val="18"/>
                <w:szCs w:val="18"/>
              </w:rPr>
            </w:pPr>
          </w:p>
        </w:tc>
        <w:tc>
          <w:tcPr>
            <w:tcW w:w="1000" w:type="dxa"/>
            <w:vMerge/>
            <w:shd w:val="clear" w:color="auto" w:fill="FFFFFF"/>
            <w:vAlign w:val="center"/>
          </w:tcPr>
          <w:p w14:paraId="699A0B71" w14:textId="77777777" w:rsidR="00B76E9A" w:rsidRDefault="00B76E9A">
            <w:pPr>
              <w:spacing w:line="0" w:lineRule="atLeast"/>
              <w:jc w:val="center"/>
              <w:rPr>
                <w:rFonts w:eastAsia="仿宋_GB2312"/>
                <w:color w:val="000000"/>
                <w:kern w:val="0"/>
                <w:sz w:val="18"/>
                <w:szCs w:val="18"/>
              </w:rPr>
            </w:pPr>
          </w:p>
        </w:tc>
        <w:tc>
          <w:tcPr>
            <w:tcW w:w="1071" w:type="dxa"/>
            <w:shd w:val="clear" w:color="auto" w:fill="FFFFFF"/>
            <w:vAlign w:val="center"/>
          </w:tcPr>
          <w:p w14:paraId="55B5E629"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3E4B9341"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745CEEB7"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2C3ED4F9"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17D1CEB"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4585583F" w14:textId="77777777">
        <w:trPr>
          <w:trHeight w:val="2076"/>
          <w:jc w:val="center"/>
        </w:trPr>
        <w:tc>
          <w:tcPr>
            <w:tcW w:w="1002" w:type="dxa"/>
            <w:vMerge/>
            <w:shd w:val="clear" w:color="auto" w:fill="FFFFFF"/>
            <w:vAlign w:val="center"/>
          </w:tcPr>
          <w:p w14:paraId="03300BEB" w14:textId="77777777" w:rsidR="00B76E9A" w:rsidRDefault="00B76E9A">
            <w:pPr>
              <w:spacing w:line="0" w:lineRule="atLeast"/>
              <w:jc w:val="center"/>
              <w:rPr>
                <w:rFonts w:eastAsia="仿宋_GB2312"/>
                <w:color w:val="000000"/>
                <w:kern w:val="0"/>
                <w:sz w:val="18"/>
                <w:szCs w:val="18"/>
              </w:rPr>
            </w:pPr>
          </w:p>
        </w:tc>
        <w:tc>
          <w:tcPr>
            <w:tcW w:w="1000" w:type="dxa"/>
            <w:shd w:val="clear" w:color="auto" w:fill="FFFFFF"/>
            <w:vAlign w:val="center"/>
          </w:tcPr>
          <w:p w14:paraId="6545DF81"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449C4D5A"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3B505F58"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15669128"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ADB6B5F"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6EB2EC0F"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116DF67"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5C2E6851" w14:textId="77777777">
        <w:trPr>
          <w:trHeight w:val="1797"/>
          <w:jc w:val="center"/>
        </w:trPr>
        <w:tc>
          <w:tcPr>
            <w:tcW w:w="1002" w:type="dxa"/>
            <w:vMerge/>
            <w:shd w:val="clear" w:color="auto" w:fill="FFFFFF"/>
            <w:vAlign w:val="center"/>
          </w:tcPr>
          <w:p w14:paraId="27973CF5" w14:textId="77777777" w:rsidR="00B76E9A" w:rsidRDefault="00B76E9A">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00A5533"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57736955" w14:textId="77777777" w:rsidR="00B76E9A"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019CB9A0"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7489D722"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70F3367"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4D33EC21"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5BF6958A"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DD3AA06"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00365161" w14:textId="77777777">
        <w:trPr>
          <w:trHeight w:val="1769"/>
          <w:jc w:val="center"/>
        </w:trPr>
        <w:tc>
          <w:tcPr>
            <w:tcW w:w="1002" w:type="dxa"/>
            <w:vMerge/>
            <w:shd w:val="clear" w:color="auto" w:fill="FFFFFF"/>
            <w:vAlign w:val="center"/>
          </w:tcPr>
          <w:p w14:paraId="7B64D7D8" w14:textId="77777777" w:rsidR="00B76E9A" w:rsidRDefault="00B76E9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6B9734D" w14:textId="77777777" w:rsidR="00B76E9A" w:rsidRDefault="00B76E9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389384C"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7241A7F4"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5BD52EA7"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C6BB5FB"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6B311494"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4EF6D06"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B76E9A" w14:paraId="10C0973B" w14:textId="77777777">
        <w:trPr>
          <w:trHeight w:val="1917"/>
          <w:jc w:val="center"/>
        </w:trPr>
        <w:tc>
          <w:tcPr>
            <w:tcW w:w="1002" w:type="dxa"/>
            <w:vMerge w:val="restart"/>
            <w:shd w:val="clear" w:color="auto" w:fill="FFFFFF"/>
            <w:vAlign w:val="center"/>
          </w:tcPr>
          <w:p w14:paraId="3EDCB3AE"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1000" w:type="dxa"/>
            <w:shd w:val="clear" w:color="auto" w:fill="FFFFFF"/>
            <w:vAlign w:val="center"/>
          </w:tcPr>
          <w:p w14:paraId="33E5F1F4"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177FFA68"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23B61650"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B82CD30"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040660EA"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3C0A683"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76E9A" w14:paraId="32D2D8DD" w14:textId="77777777">
        <w:trPr>
          <w:trHeight w:val="1773"/>
          <w:jc w:val="center"/>
        </w:trPr>
        <w:tc>
          <w:tcPr>
            <w:tcW w:w="1002" w:type="dxa"/>
            <w:vMerge/>
            <w:shd w:val="clear" w:color="auto" w:fill="FFFFFF"/>
            <w:vAlign w:val="center"/>
          </w:tcPr>
          <w:p w14:paraId="47766948" w14:textId="77777777" w:rsidR="00B76E9A" w:rsidRDefault="00B76E9A">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24B1C780"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533F32E5"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3A905A47"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EE41C86"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20272C81"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19E312F4"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375AD60F"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76E9A" w14:paraId="06E9DD9D" w14:textId="77777777">
        <w:trPr>
          <w:trHeight w:val="1506"/>
          <w:jc w:val="center"/>
        </w:trPr>
        <w:tc>
          <w:tcPr>
            <w:tcW w:w="1002" w:type="dxa"/>
            <w:vMerge/>
            <w:shd w:val="clear" w:color="auto" w:fill="FFFFFF"/>
            <w:vAlign w:val="center"/>
          </w:tcPr>
          <w:p w14:paraId="5DD660D6" w14:textId="77777777" w:rsidR="00B76E9A" w:rsidRDefault="00B76E9A">
            <w:pPr>
              <w:spacing w:line="0" w:lineRule="atLeast"/>
              <w:jc w:val="center"/>
              <w:rPr>
                <w:rFonts w:eastAsia="仿宋_GB2312"/>
                <w:color w:val="000000"/>
                <w:kern w:val="0"/>
                <w:sz w:val="18"/>
                <w:szCs w:val="18"/>
              </w:rPr>
            </w:pPr>
          </w:p>
        </w:tc>
        <w:tc>
          <w:tcPr>
            <w:tcW w:w="1000" w:type="dxa"/>
            <w:shd w:val="clear" w:color="auto" w:fill="FFFFFF"/>
            <w:vAlign w:val="center"/>
          </w:tcPr>
          <w:p w14:paraId="044DE7AF" w14:textId="77777777" w:rsidR="00B76E9A"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3BBDD44E"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7C8682DB"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4F57198C"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5B7BF1CA"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3CF7BBBC"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76E9A" w14:paraId="423C9AEB" w14:textId="77777777">
        <w:trPr>
          <w:trHeight w:val="2076"/>
          <w:jc w:val="center"/>
        </w:trPr>
        <w:tc>
          <w:tcPr>
            <w:tcW w:w="1002" w:type="dxa"/>
            <w:vMerge/>
            <w:shd w:val="clear" w:color="auto" w:fill="FFFFFF"/>
            <w:vAlign w:val="center"/>
          </w:tcPr>
          <w:p w14:paraId="54E779FE" w14:textId="77777777" w:rsidR="00B76E9A" w:rsidRDefault="00B76E9A">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F3FFAAF"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6480FD9D"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438E5B68"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475589C9"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3793B82A"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390CFC6C"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76E9A" w14:paraId="40D591C1" w14:textId="77777777">
        <w:trPr>
          <w:trHeight w:val="889"/>
          <w:jc w:val="center"/>
        </w:trPr>
        <w:tc>
          <w:tcPr>
            <w:tcW w:w="1002" w:type="dxa"/>
            <w:vMerge w:val="restart"/>
            <w:shd w:val="clear" w:color="auto" w:fill="FFFFFF"/>
            <w:vAlign w:val="center"/>
          </w:tcPr>
          <w:p w14:paraId="2A10017D"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1000" w:type="dxa"/>
            <w:vMerge w:val="restart"/>
            <w:shd w:val="clear" w:color="auto" w:fill="FFFFFF"/>
            <w:vAlign w:val="center"/>
          </w:tcPr>
          <w:p w14:paraId="4315E343"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39BC6CCA"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0CA646FF" w14:textId="77777777" w:rsidR="00B76E9A"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61FE4E4C"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40E9325"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6E2FF4F7"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76E9A" w14:paraId="737BB9BC" w14:textId="77777777">
        <w:trPr>
          <w:trHeight w:val="1137"/>
          <w:jc w:val="center"/>
        </w:trPr>
        <w:tc>
          <w:tcPr>
            <w:tcW w:w="1002" w:type="dxa"/>
            <w:vMerge/>
            <w:shd w:val="clear" w:color="auto" w:fill="FFFFFF"/>
            <w:vAlign w:val="center"/>
          </w:tcPr>
          <w:p w14:paraId="5C4573DA" w14:textId="77777777" w:rsidR="00B76E9A" w:rsidRDefault="00B76E9A">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F7A4AC2" w14:textId="77777777" w:rsidR="00B76E9A" w:rsidRDefault="00B76E9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192E924" w14:textId="77777777" w:rsidR="00B76E9A"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3C06DCE0"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6E544C32" w14:textId="77777777" w:rsidR="00B76E9A"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32FC1DAA"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D0AD435"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B76E9A" w14:paraId="74F48EE3" w14:textId="77777777">
        <w:trPr>
          <w:trHeight w:val="393"/>
          <w:jc w:val="center"/>
        </w:trPr>
        <w:tc>
          <w:tcPr>
            <w:tcW w:w="10019" w:type="dxa"/>
            <w:gridSpan w:val="5"/>
            <w:shd w:val="clear" w:color="auto" w:fill="FFFFFF"/>
            <w:vAlign w:val="center"/>
          </w:tcPr>
          <w:p w14:paraId="6C91623F"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2072FBF5" w14:textId="77777777" w:rsidR="00B76E9A"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76389D39" w14:textId="77777777" w:rsidR="00B76E9A"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651A8BFB" w14:textId="77777777" w:rsidR="00B76E9A" w:rsidRDefault="00B76E9A"/>
    <w:p w14:paraId="4678FD37" w14:textId="77777777" w:rsidR="00B76E9A" w:rsidRDefault="00B76E9A">
      <w:pPr>
        <w:spacing w:line="600" w:lineRule="exact"/>
        <w:rPr>
          <w:rFonts w:eastAsia="黑体"/>
          <w:sz w:val="32"/>
          <w:szCs w:val="32"/>
        </w:rPr>
      </w:pPr>
    </w:p>
    <w:p w14:paraId="2A970970" w14:textId="77777777" w:rsidR="00B76E9A" w:rsidRDefault="00B76E9A">
      <w:pPr>
        <w:spacing w:line="600" w:lineRule="exact"/>
        <w:rPr>
          <w:rFonts w:eastAsia="黑体"/>
          <w:sz w:val="32"/>
          <w:szCs w:val="32"/>
        </w:rPr>
      </w:pPr>
    </w:p>
    <w:p w14:paraId="7F51DB16" w14:textId="77777777" w:rsidR="00B76E9A" w:rsidRDefault="00B76E9A">
      <w:pPr>
        <w:spacing w:line="600" w:lineRule="exact"/>
        <w:rPr>
          <w:rFonts w:eastAsia="黑体"/>
          <w:sz w:val="32"/>
          <w:szCs w:val="32"/>
        </w:rPr>
      </w:pPr>
    </w:p>
    <w:p w14:paraId="024ECD30" w14:textId="77777777" w:rsidR="00B76E9A" w:rsidRDefault="00B76E9A">
      <w:pPr>
        <w:spacing w:line="600" w:lineRule="exact"/>
        <w:rPr>
          <w:rFonts w:eastAsia="黑体"/>
          <w:sz w:val="32"/>
          <w:szCs w:val="32"/>
        </w:rPr>
      </w:pPr>
    </w:p>
    <w:p w14:paraId="24225706" w14:textId="77777777" w:rsidR="00B76E9A" w:rsidRDefault="00B76E9A">
      <w:pPr>
        <w:spacing w:line="600" w:lineRule="exact"/>
        <w:rPr>
          <w:rFonts w:eastAsia="黑体"/>
          <w:sz w:val="32"/>
          <w:szCs w:val="32"/>
        </w:rPr>
      </w:pPr>
    </w:p>
    <w:p w14:paraId="54713794" w14:textId="77777777" w:rsidR="00B76E9A" w:rsidRDefault="00000000">
      <w:pPr>
        <w:spacing w:line="600" w:lineRule="exact"/>
        <w:rPr>
          <w:rFonts w:eastAsia="黑体"/>
          <w:sz w:val="32"/>
          <w:szCs w:val="32"/>
        </w:rPr>
      </w:pPr>
      <w:r>
        <w:rPr>
          <w:rFonts w:eastAsia="黑体" w:hint="eastAsia"/>
          <w:sz w:val="32"/>
          <w:szCs w:val="32"/>
        </w:rPr>
        <w:t>附件</w:t>
      </w:r>
      <w:r>
        <w:rPr>
          <w:rFonts w:eastAsia="黑体" w:hint="eastAsia"/>
          <w:sz w:val="32"/>
          <w:szCs w:val="32"/>
        </w:rPr>
        <w:t>2</w:t>
      </w:r>
    </w:p>
    <w:tbl>
      <w:tblPr>
        <w:tblW w:w="13845" w:type="dxa"/>
        <w:tblInd w:w="93" w:type="dxa"/>
        <w:tblLook w:val="04A0" w:firstRow="1" w:lastRow="0" w:firstColumn="1" w:lastColumn="0" w:noHBand="0" w:noVBand="1"/>
      </w:tblPr>
      <w:tblGrid>
        <w:gridCol w:w="1070"/>
        <w:gridCol w:w="1070"/>
        <w:gridCol w:w="1505"/>
        <w:gridCol w:w="1067"/>
        <w:gridCol w:w="1569"/>
        <w:gridCol w:w="2063"/>
        <w:gridCol w:w="2063"/>
        <w:gridCol w:w="396"/>
        <w:gridCol w:w="400"/>
        <w:gridCol w:w="385"/>
        <w:gridCol w:w="480"/>
        <w:gridCol w:w="703"/>
        <w:gridCol w:w="1074"/>
      </w:tblGrid>
      <w:tr w:rsidR="00B76E9A" w14:paraId="181B86D1" w14:textId="77777777">
        <w:trPr>
          <w:trHeight w:val="405"/>
        </w:trPr>
        <w:tc>
          <w:tcPr>
            <w:tcW w:w="13851" w:type="dxa"/>
            <w:gridSpan w:val="13"/>
            <w:tcBorders>
              <w:top w:val="nil"/>
              <w:left w:val="nil"/>
              <w:bottom w:val="nil"/>
              <w:right w:val="nil"/>
            </w:tcBorders>
            <w:vAlign w:val="center"/>
          </w:tcPr>
          <w:p w14:paraId="166E14AA" w14:textId="77777777" w:rsidR="00B76E9A"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B76E9A" w14:paraId="3CF4E17F" w14:textId="77777777">
        <w:trPr>
          <w:trHeight w:val="270"/>
        </w:trPr>
        <w:tc>
          <w:tcPr>
            <w:tcW w:w="13851" w:type="dxa"/>
            <w:gridSpan w:val="13"/>
            <w:tcBorders>
              <w:top w:val="nil"/>
              <w:left w:val="nil"/>
              <w:bottom w:val="nil"/>
              <w:right w:val="nil"/>
            </w:tcBorders>
            <w:vAlign w:val="center"/>
          </w:tcPr>
          <w:p w14:paraId="730FB73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B76E9A" w14:paraId="6A05887F"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97B8C3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33C00ED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新疆胜天房地产开发有限公司荒山绿化项目用地补偿项目</w:t>
            </w:r>
          </w:p>
        </w:tc>
      </w:tr>
      <w:tr w:rsidR="00B76E9A" w14:paraId="3F1DC8E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15253CA"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E655C8C"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乌鲁木齐市沙依巴克区房屋征收与补偿管理办公室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119C63EB"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7B1E7F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乌鲁木齐市沙依巴克区房屋征收与补偿管理办公室</w:t>
            </w:r>
          </w:p>
        </w:tc>
      </w:tr>
      <w:tr w:rsidR="00B76E9A" w14:paraId="4A6DEAA7"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B10049"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564DD77" w14:textId="77777777" w:rsidR="00B76E9A" w:rsidRDefault="00B76E9A">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990FC4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A2A94F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EA1C6E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F57AF4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1ED300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7359786D"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B76E9A" w14:paraId="37D9839B"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5CFE8A6" w14:textId="77777777" w:rsidR="00B76E9A" w:rsidRDefault="00B76E9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41D1C4B"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BD349FB"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3C9E8C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3F38516"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0458DA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759539B"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8E943C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B76E9A" w14:paraId="237FF85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E9A9D23" w14:textId="77777777" w:rsidR="00B76E9A" w:rsidRDefault="00B76E9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C8B1AA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F8AA22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47BAD9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7BEC08A"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4,000.00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BED2356"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3714C5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4C8B9FD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76E9A" w14:paraId="331705A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F65DC8A" w14:textId="77777777" w:rsidR="00B76E9A" w:rsidRDefault="00B76E9A">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1CAA54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5633541B"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A2E7C50"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463ADC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F0E854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B1BFAC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B70025A"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76E9A" w14:paraId="0A55F10B"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5415C32"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w:t>
            </w:r>
            <w:r>
              <w:rPr>
                <w:rFonts w:ascii="宋体" w:hAnsi="宋体" w:cs="宋体" w:hint="eastAsia"/>
                <w:color w:val="000000"/>
                <w:kern w:val="0"/>
                <w:sz w:val="20"/>
                <w:szCs w:val="20"/>
                <w:lang w:bidi="ar"/>
              </w:rPr>
              <w:lastRenderedPageBreak/>
              <w:t>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77AB34C"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93D28E1"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B76E9A" w14:paraId="0F8299FA"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0CFA68" w14:textId="77777777" w:rsidR="00B76E9A" w:rsidRDefault="00B76E9A">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72EF1F3A" w14:textId="77777777" w:rsidR="00B76E9A"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对企业实施的荒山绿化项目予以收回并进行协议补偿，减轻企业负担，提高企业实施荒山绿化建设的积极性。增加首府绿化面积，改善城市生态环境，提升城市定成水平。</w:t>
            </w:r>
          </w:p>
        </w:tc>
        <w:tc>
          <w:tcPr>
            <w:tcW w:w="5438" w:type="dxa"/>
            <w:gridSpan w:val="7"/>
            <w:tcBorders>
              <w:top w:val="single" w:sz="4" w:space="0" w:color="000000"/>
              <w:left w:val="single" w:sz="4" w:space="0" w:color="000000"/>
              <w:bottom w:val="single" w:sz="4" w:space="0" w:color="000000"/>
              <w:right w:val="single" w:sz="4" w:space="0" w:color="000000"/>
            </w:tcBorders>
          </w:tcPr>
          <w:p w14:paraId="5A8DDDCB" w14:textId="77777777" w:rsidR="00B76E9A"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完成对企业荒山绿化建设用地项目予以收回并进行协议补偿资金4000万元，补偿1户企业，通过此项目的开展改善人居环境，改善城市生态环境，提升城市定成水平。</w:t>
            </w:r>
          </w:p>
        </w:tc>
      </w:tr>
      <w:tr w:rsidR="00B76E9A" w14:paraId="39E383D0" w14:textId="77777777">
        <w:trPr>
          <w:trHeight w:val="521"/>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059CE82" w14:textId="77777777" w:rsidR="00B76E9A" w:rsidRDefault="00B76E9A">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0541E0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610D35A"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88F13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69BD7A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73ACEC85"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FA95C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75045F6"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98CC55"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B76E9A" w14:paraId="075C9A77" w14:textId="77777777">
        <w:trPr>
          <w:trHeight w:val="521"/>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449F79" w14:textId="77777777" w:rsidR="00B76E9A" w:rsidRDefault="00B76E9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BA6C7CA" w14:textId="77777777" w:rsidR="00B76E9A" w:rsidRDefault="00B76E9A">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84B5A43" w14:textId="77777777" w:rsidR="00B76E9A" w:rsidRDefault="00B76E9A">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3DD299ED" w14:textId="77777777" w:rsidR="00B76E9A" w:rsidRDefault="00B76E9A">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367EDEA" w14:textId="77777777" w:rsidR="00B76E9A" w:rsidRDefault="00B76E9A">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51F1B86" w14:textId="77777777" w:rsidR="00B76E9A" w:rsidRDefault="00B76E9A">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56FC4A4" w14:textId="77777777" w:rsidR="00B76E9A" w:rsidRDefault="00B76E9A">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4BD77CB4" w14:textId="77777777" w:rsidR="00B76E9A" w:rsidRDefault="00B76E9A">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24D7D6EA" w14:textId="77777777" w:rsidR="00B76E9A" w:rsidRDefault="00B76E9A">
            <w:pPr>
              <w:jc w:val="center"/>
              <w:rPr>
                <w:rFonts w:ascii="宋体" w:hAnsi="宋体" w:cs="宋体" w:hint="eastAsia"/>
                <w:color w:val="000000"/>
                <w:sz w:val="20"/>
                <w:szCs w:val="20"/>
              </w:rPr>
            </w:pPr>
          </w:p>
        </w:tc>
      </w:tr>
      <w:tr w:rsidR="00B76E9A" w14:paraId="52B23E08"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69E775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854E940"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C84E8E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1E7F003"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补偿企业户数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9EF73DD"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=1户</w:t>
            </w:r>
          </w:p>
        </w:tc>
        <w:tc>
          <w:tcPr>
            <w:tcW w:w="2080" w:type="dxa"/>
            <w:tcBorders>
              <w:top w:val="single" w:sz="4" w:space="0" w:color="000000"/>
              <w:left w:val="single" w:sz="4" w:space="0" w:color="000000"/>
              <w:bottom w:val="single" w:sz="4" w:space="0" w:color="000000"/>
              <w:right w:val="single" w:sz="4" w:space="0" w:color="000000"/>
            </w:tcBorders>
            <w:vAlign w:val="center"/>
          </w:tcPr>
          <w:p w14:paraId="023CB7C9"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=1户</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E634CF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28CB3B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AD75A5C" w14:textId="77777777" w:rsidR="00B76E9A" w:rsidRDefault="00B76E9A">
            <w:pPr>
              <w:jc w:val="center"/>
              <w:rPr>
                <w:rFonts w:ascii="宋体" w:hAnsi="宋体" w:cs="宋体" w:hint="eastAsia"/>
                <w:color w:val="000000"/>
                <w:sz w:val="20"/>
                <w:szCs w:val="20"/>
              </w:rPr>
            </w:pPr>
          </w:p>
        </w:tc>
      </w:tr>
      <w:tr w:rsidR="00B76E9A" w14:paraId="1B51146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02A51B" w14:textId="77777777" w:rsidR="00B76E9A" w:rsidRDefault="00B76E9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F84BB60" w14:textId="77777777" w:rsidR="00B76E9A" w:rsidRDefault="00B76E9A">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2151F0D"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F551301"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资金使用合规率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DC71309"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9321BE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26572B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8EFA63C"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CC92304" w14:textId="77777777" w:rsidR="00B76E9A" w:rsidRDefault="00B76E9A">
            <w:pPr>
              <w:jc w:val="center"/>
              <w:rPr>
                <w:rFonts w:ascii="宋体" w:hAnsi="宋体" w:cs="宋体" w:hint="eastAsia"/>
                <w:color w:val="000000"/>
                <w:sz w:val="20"/>
                <w:szCs w:val="20"/>
              </w:rPr>
            </w:pPr>
          </w:p>
        </w:tc>
      </w:tr>
      <w:tr w:rsidR="00B76E9A" w14:paraId="2F974DD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088F6AF" w14:textId="77777777" w:rsidR="00B76E9A" w:rsidRDefault="00B76E9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16C58AF" w14:textId="77777777" w:rsidR="00B76E9A" w:rsidRDefault="00B76E9A">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4932BDB" w14:textId="77777777" w:rsidR="00B76E9A" w:rsidRDefault="00B76E9A">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D065B2E"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资金支付率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7E4DFC1"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268EC9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4A4CD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3723C4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07F52C7" w14:textId="77777777" w:rsidR="00B76E9A" w:rsidRDefault="00B76E9A">
            <w:pPr>
              <w:jc w:val="center"/>
              <w:rPr>
                <w:rFonts w:ascii="宋体" w:hAnsi="宋体" w:cs="宋体" w:hint="eastAsia"/>
                <w:color w:val="000000"/>
                <w:sz w:val="20"/>
                <w:szCs w:val="20"/>
              </w:rPr>
            </w:pPr>
          </w:p>
        </w:tc>
      </w:tr>
      <w:tr w:rsidR="00B76E9A" w14:paraId="386797E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A914D9A" w14:textId="77777777" w:rsidR="00B76E9A" w:rsidRDefault="00B76E9A">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35AE9E6" w14:textId="77777777" w:rsidR="00B76E9A" w:rsidRDefault="00B76E9A">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1CBC95D"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1F8C017"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EEDFAE2"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ABEA9B5"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F817D6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5B429B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BB20B48" w14:textId="77777777" w:rsidR="00B76E9A" w:rsidRDefault="00B76E9A">
            <w:pPr>
              <w:jc w:val="center"/>
              <w:rPr>
                <w:rFonts w:ascii="宋体" w:hAnsi="宋体" w:cs="宋体" w:hint="eastAsia"/>
                <w:color w:val="000000"/>
                <w:sz w:val="20"/>
                <w:szCs w:val="20"/>
              </w:rPr>
            </w:pPr>
          </w:p>
        </w:tc>
      </w:tr>
      <w:tr w:rsidR="00B76E9A" w14:paraId="0BBD0A7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93B7572" w14:textId="77777777" w:rsidR="00B76E9A" w:rsidRDefault="00B76E9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915924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B9944A5"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1EB5737"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C7DBAB0"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E6FC66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11A6C46"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DB8AEFF"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11E1FF6" w14:textId="77777777" w:rsidR="00B76E9A" w:rsidRDefault="00B76E9A">
            <w:pPr>
              <w:jc w:val="center"/>
              <w:rPr>
                <w:rFonts w:ascii="宋体" w:hAnsi="宋体" w:cs="宋体" w:hint="eastAsia"/>
                <w:color w:val="000000"/>
                <w:sz w:val="20"/>
                <w:szCs w:val="20"/>
              </w:rPr>
            </w:pPr>
          </w:p>
        </w:tc>
      </w:tr>
      <w:tr w:rsidR="00B76E9A" w14:paraId="400A6FA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E4758DC" w14:textId="77777777" w:rsidR="00B76E9A" w:rsidRDefault="00B76E9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228E3C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5B682C9"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5C435C8"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改善人居环境</w:t>
            </w:r>
          </w:p>
        </w:tc>
        <w:tc>
          <w:tcPr>
            <w:tcW w:w="2080" w:type="dxa"/>
            <w:tcBorders>
              <w:top w:val="single" w:sz="4" w:space="0" w:color="000000"/>
              <w:left w:val="single" w:sz="4" w:space="0" w:color="000000"/>
              <w:bottom w:val="single" w:sz="4" w:space="0" w:color="000000"/>
              <w:right w:val="single" w:sz="4" w:space="0" w:color="000000"/>
            </w:tcBorders>
            <w:vAlign w:val="center"/>
          </w:tcPr>
          <w:p w14:paraId="43500E8D"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逐步改善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714B0957"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6B251C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1F927C5"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E77ABE6"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年初指标设置不够精确，导致出现偏差，在下一年度将更加严谨的去</w:t>
            </w:r>
            <w:r>
              <w:rPr>
                <w:rFonts w:ascii="宋体" w:hAnsi="宋体" w:cs="宋体" w:hint="eastAsia"/>
                <w:color w:val="000000"/>
                <w:kern w:val="0"/>
                <w:sz w:val="20"/>
                <w:szCs w:val="20"/>
                <w:lang w:bidi="ar"/>
              </w:rPr>
              <w:lastRenderedPageBreak/>
              <w:t>设置指标值</w:t>
            </w:r>
          </w:p>
        </w:tc>
      </w:tr>
      <w:tr w:rsidR="00B76E9A" w14:paraId="414D063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B69E5A7" w14:textId="77777777" w:rsidR="00B76E9A" w:rsidRDefault="00B76E9A">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89C3A44"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C74339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ED2A57" w14:textId="77777777" w:rsidR="00B76E9A"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受益企业满意率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57DFB7B"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D25A081"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78B7AC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CF15518"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15A53C8" w14:textId="77777777" w:rsidR="00B76E9A" w:rsidRDefault="00B76E9A">
            <w:pPr>
              <w:jc w:val="center"/>
              <w:rPr>
                <w:rFonts w:ascii="宋体" w:hAnsi="宋体" w:cs="宋体" w:hint="eastAsia"/>
                <w:color w:val="000000"/>
                <w:sz w:val="20"/>
                <w:szCs w:val="20"/>
              </w:rPr>
            </w:pPr>
          </w:p>
        </w:tc>
      </w:tr>
      <w:tr w:rsidR="00B76E9A" w14:paraId="4012A1AD"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42F4F8D3"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AFA8600"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7F3958E" w14:textId="77777777" w:rsidR="00B76E9A"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6BD1D1D" w14:textId="77777777" w:rsidR="00B76E9A" w:rsidRDefault="00B76E9A">
            <w:pPr>
              <w:jc w:val="center"/>
              <w:rPr>
                <w:rFonts w:ascii="宋体" w:hAnsi="宋体" w:cs="宋体" w:hint="eastAsia"/>
                <w:color w:val="000000"/>
                <w:sz w:val="20"/>
                <w:szCs w:val="20"/>
              </w:rPr>
            </w:pPr>
          </w:p>
        </w:tc>
      </w:tr>
    </w:tbl>
    <w:p w14:paraId="25D12FE8" w14:textId="77777777" w:rsidR="00B76E9A" w:rsidRDefault="00B76E9A">
      <w:pPr>
        <w:adjustRightInd w:val="0"/>
        <w:spacing w:line="240" w:lineRule="auto"/>
      </w:pPr>
    </w:p>
    <w:sectPr w:rsidR="00B76E9A">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6EB3" w14:textId="77777777" w:rsidR="00311EF5" w:rsidRDefault="00311EF5">
      <w:pPr>
        <w:spacing w:line="240" w:lineRule="auto"/>
      </w:pPr>
      <w:r>
        <w:separator/>
      </w:r>
    </w:p>
  </w:endnote>
  <w:endnote w:type="continuationSeparator" w:id="0">
    <w:p w14:paraId="14D9E609" w14:textId="77777777" w:rsidR="00311EF5" w:rsidRDefault="00311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5666DE6A" w14:textId="77777777" w:rsidR="00B76E9A" w:rsidRDefault="00000000">
        <w:pPr>
          <w:pStyle w:val="a9"/>
          <w:jc w:val="center"/>
        </w:pPr>
        <w:r>
          <w:fldChar w:fldCharType="begin"/>
        </w:r>
        <w:r>
          <w:instrText>PAGE   \* MERGEFORMAT</w:instrText>
        </w:r>
        <w:r>
          <w:fldChar w:fldCharType="separate"/>
        </w:r>
        <w:r>
          <w:rPr>
            <w:lang w:val="zh-CN"/>
          </w:rPr>
          <w:t>13</w:t>
        </w:r>
        <w:r>
          <w:fldChar w:fldCharType="end"/>
        </w:r>
      </w:p>
    </w:sdtContent>
  </w:sdt>
  <w:p w14:paraId="436F7108" w14:textId="77777777" w:rsidR="00B76E9A" w:rsidRDefault="00B76E9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7131" w14:textId="77777777" w:rsidR="00311EF5" w:rsidRDefault="00311EF5">
      <w:pPr>
        <w:spacing w:after="0"/>
      </w:pPr>
      <w:r>
        <w:separator/>
      </w:r>
    </w:p>
  </w:footnote>
  <w:footnote w:type="continuationSeparator" w:id="0">
    <w:p w14:paraId="7EAC9958" w14:textId="77777777" w:rsidR="00311EF5" w:rsidRDefault="00311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3853AE"/>
    <w:multiLevelType w:val="singleLevel"/>
    <w:tmpl w:val="E83853AE"/>
    <w:lvl w:ilvl="0">
      <w:start w:val="2"/>
      <w:numFmt w:val="decimal"/>
      <w:suff w:val="nothing"/>
      <w:lvlText w:val="%1、"/>
      <w:lvlJc w:val="left"/>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3"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433869489">
    <w:abstractNumId w:val="0"/>
  </w:num>
  <w:num w:numId="2" w16cid:durableId="1178426986">
    <w:abstractNumId w:val="1"/>
  </w:num>
  <w:num w:numId="3" w16cid:durableId="1722093279">
    <w:abstractNumId w:val="4"/>
  </w:num>
  <w:num w:numId="4" w16cid:durableId="1410347752">
    <w:abstractNumId w:val="3"/>
  </w:num>
  <w:num w:numId="5" w16cid:durableId="2142796703">
    <w:abstractNumId w:val="5"/>
  </w:num>
  <w:num w:numId="6" w16cid:durableId="30874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086F76"/>
    <w:rsid w:val="002B001F"/>
    <w:rsid w:val="00311EF5"/>
    <w:rsid w:val="00356070"/>
    <w:rsid w:val="00461012"/>
    <w:rsid w:val="006F7242"/>
    <w:rsid w:val="007B168A"/>
    <w:rsid w:val="008B2CFE"/>
    <w:rsid w:val="00971756"/>
    <w:rsid w:val="00B30003"/>
    <w:rsid w:val="00B76E9A"/>
    <w:rsid w:val="00CA56A3"/>
    <w:rsid w:val="00D162CD"/>
    <w:rsid w:val="00DC7ECD"/>
    <w:rsid w:val="00F26FF6"/>
    <w:rsid w:val="00FD5EF9"/>
    <w:rsid w:val="01514D61"/>
    <w:rsid w:val="01610122"/>
    <w:rsid w:val="01D43946"/>
    <w:rsid w:val="02510197"/>
    <w:rsid w:val="02DC0CC6"/>
    <w:rsid w:val="03EC461B"/>
    <w:rsid w:val="050F221F"/>
    <w:rsid w:val="072E4F0F"/>
    <w:rsid w:val="07397B77"/>
    <w:rsid w:val="0757106E"/>
    <w:rsid w:val="085914F8"/>
    <w:rsid w:val="09173799"/>
    <w:rsid w:val="095C5EF9"/>
    <w:rsid w:val="0A6A3EC3"/>
    <w:rsid w:val="0A6B2E02"/>
    <w:rsid w:val="0AD007F3"/>
    <w:rsid w:val="0B48566C"/>
    <w:rsid w:val="0B724E2E"/>
    <w:rsid w:val="0B9E31F1"/>
    <w:rsid w:val="0BC614CA"/>
    <w:rsid w:val="0D507DE1"/>
    <w:rsid w:val="0D52369C"/>
    <w:rsid w:val="0DC961D0"/>
    <w:rsid w:val="0E3C619F"/>
    <w:rsid w:val="0F2D67DB"/>
    <w:rsid w:val="0F6273CA"/>
    <w:rsid w:val="0FFF42C3"/>
    <w:rsid w:val="100F38EC"/>
    <w:rsid w:val="11170296"/>
    <w:rsid w:val="12C66037"/>
    <w:rsid w:val="12CD1ABC"/>
    <w:rsid w:val="12D232E4"/>
    <w:rsid w:val="13471461"/>
    <w:rsid w:val="13B90F01"/>
    <w:rsid w:val="14C966CE"/>
    <w:rsid w:val="155E4C4D"/>
    <w:rsid w:val="15D12161"/>
    <w:rsid w:val="16A32314"/>
    <w:rsid w:val="16B440D0"/>
    <w:rsid w:val="16C3384B"/>
    <w:rsid w:val="181066D2"/>
    <w:rsid w:val="18511E62"/>
    <w:rsid w:val="18B3111C"/>
    <w:rsid w:val="196707EA"/>
    <w:rsid w:val="1AA450DD"/>
    <w:rsid w:val="1AC33933"/>
    <w:rsid w:val="1BC959F6"/>
    <w:rsid w:val="1C671E73"/>
    <w:rsid w:val="1CED0FB6"/>
    <w:rsid w:val="1D322C47"/>
    <w:rsid w:val="1DF341AE"/>
    <w:rsid w:val="1DF652D7"/>
    <w:rsid w:val="1F372C52"/>
    <w:rsid w:val="1FA83980"/>
    <w:rsid w:val="200A1A3F"/>
    <w:rsid w:val="2027682E"/>
    <w:rsid w:val="20427F6B"/>
    <w:rsid w:val="20BC22F1"/>
    <w:rsid w:val="21907BD1"/>
    <w:rsid w:val="22505487"/>
    <w:rsid w:val="22F905D7"/>
    <w:rsid w:val="23492F7C"/>
    <w:rsid w:val="23616034"/>
    <w:rsid w:val="23696C97"/>
    <w:rsid w:val="24480FA2"/>
    <w:rsid w:val="25227A45"/>
    <w:rsid w:val="252B0195"/>
    <w:rsid w:val="253438FC"/>
    <w:rsid w:val="255F2AF5"/>
    <w:rsid w:val="26AC3A6A"/>
    <w:rsid w:val="27111638"/>
    <w:rsid w:val="280845D8"/>
    <w:rsid w:val="293F39A1"/>
    <w:rsid w:val="29CF5C85"/>
    <w:rsid w:val="2AA55269"/>
    <w:rsid w:val="2AD12F1E"/>
    <w:rsid w:val="2B9D7E25"/>
    <w:rsid w:val="2BC9223C"/>
    <w:rsid w:val="2BE40D4A"/>
    <w:rsid w:val="2BFD6A4C"/>
    <w:rsid w:val="2C7C7A3B"/>
    <w:rsid w:val="2D73029E"/>
    <w:rsid w:val="2DAB1B76"/>
    <w:rsid w:val="2F364819"/>
    <w:rsid w:val="2FD63906"/>
    <w:rsid w:val="2FF258CA"/>
    <w:rsid w:val="307F72C7"/>
    <w:rsid w:val="32C735A2"/>
    <w:rsid w:val="32C927DC"/>
    <w:rsid w:val="33FC3891"/>
    <w:rsid w:val="359B309E"/>
    <w:rsid w:val="35C03A11"/>
    <w:rsid w:val="35CE16BA"/>
    <w:rsid w:val="36C50947"/>
    <w:rsid w:val="37215DAE"/>
    <w:rsid w:val="388D51DB"/>
    <w:rsid w:val="38CA40DD"/>
    <w:rsid w:val="395F2B56"/>
    <w:rsid w:val="39733AB7"/>
    <w:rsid w:val="3B482032"/>
    <w:rsid w:val="3B734B33"/>
    <w:rsid w:val="3B8B5D3A"/>
    <w:rsid w:val="3BBA0580"/>
    <w:rsid w:val="3BECE841"/>
    <w:rsid w:val="3CDE204C"/>
    <w:rsid w:val="3D363C36"/>
    <w:rsid w:val="3E5E0B47"/>
    <w:rsid w:val="3E9C3F6D"/>
    <w:rsid w:val="3FF7797D"/>
    <w:rsid w:val="40F92B9D"/>
    <w:rsid w:val="41136E45"/>
    <w:rsid w:val="41BD5F2D"/>
    <w:rsid w:val="41FF4B39"/>
    <w:rsid w:val="429D20E8"/>
    <w:rsid w:val="42D4100A"/>
    <w:rsid w:val="434B67F6"/>
    <w:rsid w:val="44383ACC"/>
    <w:rsid w:val="44AF506B"/>
    <w:rsid w:val="451908C2"/>
    <w:rsid w:val="46690BD8"/>
    <w:rsid w:val="466C0541"/>
    <w:rsid w:val="46CC5315"/>
    <w:rsid w:val="476D7A2E"/>
    <w:rsid w:val="48075485"/>
    <w:rsid w:val="483411DB"/>
    <w:rsid w:val="48B96D93"/>
    <w:rsid w:val="490309BA"/>
    <w:rsid w:val="49792371"/>
    <w:rsid w:val="49F70BF1"/>
    <w:rsid w:val="4A0949C2"/>
    <w:rsid w:val="4A471213"/>
    <w:rsid w:val="4AE83A9F"/>
    <w:rsid w:val="4B2E44BD"/>
    <w:rsid w:val="4B4340EE"/>
    <w:rsid w:val="4D3B0EED"/>
    <w:rsid w:val="4D77734C"/>
    <w:rsid w:val="4DDE592E"/>
    <w:rsid w:val="4EA44DF8"/>
    <w:rsid w:val="503D507A"/>
    <w:rsid w:val="513522C1"/>
    <w:rsid w:val="51FA74D0"/>
    <w:rsid w:val="52AA4A52"/>
    <w:rsid w:val="52D317E2"/>
    <w:rsid w:val="533269B7"/>
    <w:rsid w:val="539D3AD1"/>
    <w:rsid w:val="54C26D73"/>
    <w:rsid w:val="55926569"/>
    <w:rsid w:val="56DA12F3"/>
    <w:rsid w:val="59284569"/>
    <w:rsid w:val="59943D66"/>
    <w:rsid w:val="59E051FD"/>
    <w:rsid w:val="59E6355E"/>
    <w:rsid w:val="59E90066"/>
    <w:rsid w:val="5ADF4538"/>
    <w:rsid w:val="5B531207"/>
    <w:rsid w:val="5B821531"/>
    <w:rsid w:val="5BFF6039"/>
    <w:rsid w:val="5C4E4155"/>
    <w:rsid w:val="5C75476D"/>
    <w:rsid w:val="5C7566F8"/>
    <w:rsid w:val="5CA769B8"/>
    <w:rsid w:val="5D601436"/>
    <w:rsid w:val="5D76A616"/>
    <w:rsid w:val="5D79782B"/>
    <w:rsid w:val="5D7F20B9"/>
    <w:rsid w:val="5DAC7D0E"/>
    <w:rsid w:val="5E3E7A18"/>
    <w:rsid w:val="5E9A589A"/>
    <w:rsid w:val="5F033122"/>
    <w:rsid w:val="5F107732"/>
    <w:rsid w:val="5F454D0E"/>
    <w:rsid w:val="5F556F8A"/>
    <w:rsid w:val="5F98B5AF"/>
    <w:rsid w:val="5FFE8511"/>
    <w:rsid w:val="5FFEACE2"/>
    <w:rsid w:val="609D5BF6"/>
    <w:rsid w:val="61073070"/>
    <w:rsid w:val="61444417"/>
    <w:rsid w:val="61B9080E"/>
    <w:rsid w:val="61DF3FED"/>
    <w:rsid w:val="62606CE8"/>
    <w:rsid w:val="62AF2F46"/>
    <w:rsid w:val="62F70615"/>
    <w:rsid w:val="63A44E05"/>
    <w:rsid w:val="64047200"/>
    <w:rsid w:val="642B176B"/>
    <w:rsid w:val="643EE26D"/>
    <w:rsid w:val="64D602E9"/>
    <w:rsid w:val="656019A0"/>
    <w:rsid w:val="65604C14"/>
    <w:rsid w:val="65E626A5"/>
    <w:rsid w:val="65F242EE"/>
    <w:rsid w:val="660A6B82"/>
    <w:rsid w:val="661E2D4D"/>
    <w:rsid w:val="66556507"/>
    <w:rsid w:val="666D7E19"/>
    <w:rsid w:val="66E20DC3"/>
    <w:rsid w:val="67DD5B09"/>
    <w:rsid w:val="67E96682"/>
    <w:rsid w:val="681D565D"/>
    <w:rsid w:val="68376930"/>
    <w:rsid w:val="68F91E38"/>
    <w:rsid w:val="694B1C2C"/>
    <w:rsid w:val="6A4D1D74"/>
    <w:rsid w:val="6A8C332E"/>
    <w:rsid w:val="6AEB2D20"/>
    <w:rsid w:val="6B3158B9"/>
    <w:rsid w:val="6BA02A3F"/>
    <w:rsid w:val="6BB40B91"/>
    <w:rsid w:val="6BDE2CF7"/>
    <w:rsid w:val="6C105349"/>
    <w:rsid w:val="6C121585"/>
    <w:rsid w:val="6C1E5A53"/>
    <w:rsid w:val="6E73493C"/>
    <w:rsid w:val="6F5C41AC"/>
    <w:rsid w:val="6FAF6C78"/>
    <w:rsid w:val="705C16AA"/>
    <w:rsid w:val="70F365E9"/>
    <w:rsid w:val="710F78BA"/>
    <w:rsid w:val="716167CC"/>
    <w:rsid w:val="717D6A19"/>
    <w:rsid w:val="718A7AD1"/>
    <w:rsid w:val="718F64EE"/>
    <w:rsid w:val="72A44BC2"/>
    <w:rsid w:val="72EC0194"/>
    <w:rsid w:val="7317C656"/>
    <w:rsid w:val="734ED73F"/>
    <w:rsid w:val="73595E1F"/>
    <w:rsid w:val="73C82B32"/>
    <w:rsid w:val="73F94DAE"/>
    <w:rsid w:val="74220495"/>
    <w:rsid w:val="747D1B6F"/>
    <w:rsid w:val="749E5641"/>
    <w:rsid w:val="75513B68"/>
    <w:rsid w:val="7599199D"/>
    <w:rsid w:val="762548FF"/>
    <w:rsid w:val="76271066"/>
    <w:rsid w:val="77FB62F8"/>
    <w:rsid w:val="77FD8BE9"/>
    <w:rsid w:val="78000AED"/>
    <w:rsid w:val="78036054"/>
    <w:rsid w:val="782E09B1"/>
    <w:rsid w:val="790B2FA5"/>
    <w:rsid w:val="795E4F1E"/>
    <w:rsid w:val="79A9BD3F"/>
    <w:rsid w:val="7AC5270E"/>
    <w:rsid w:val="7B776F12"/>
    <w:rsid w:val="7BFFFDD0"/>
    <w:rsid w:val="7C336E5F"/>
    <w:rsid w:val="7C3E78B1"/>
    <w:rsid w:val="7C8D4919"/>
    <w:rsid w:val="7CCD0A60"/>
    <w:rsid w:val="7D7A5F86"/>
    <w:rsid w:val="7DD13B59"/>
    <w:rsid w:val="7E4B683A"/>
    <w:rsid w:val="7E5E656D"/>
    <w:rsid w:val="7E8F2BCB"/>
    <w:rsid w:val="7F37BB4E"/>
    <w:rsid w:val="7F544B24"/>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EF116"/>
  <w15:docId w15:val="{CB1AEDB4-0C9F-4B10-88CE-E805D233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0"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6694</Words>
  <Characters>6962</Characters>
  <Application>Microsoft Office Word</Application>
  <DocSecurity>0</DocSecurity>
  <Lines>535</Lines>
  <Paragraphs>426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5</cp:revision>
  <dcterms:created xsi:type="dcterms:W3CDTF">2023-03-08T13:13:00Z</dcterms:created>
  <dcterms:modified xsi:type="dcterms:W3CDTF">2025-12-03T02:34:00Z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