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2022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政协十届二次会议经费</w:t>
      </w:r>
    </w:p>
    <w:p>
      <w:pPr>
        <w:spacing w:line="540" w:lineRule="exact"/>
        <w:ind w:firstLine="567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7"/>
          <w:rFonts w:hint="eastAsia" w:ascii="楷体" w:hAnsi="楷体" w:eastAsia="楷体"/>
          <w:spacing w:val="-4"/>
          <w:sz w:val="28"/>
          <w:szCs w:val="28"/>
        </w:rPr>
        <w:t>沙依巴克区政协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28"/>
          <w:szCs w:val="28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7"/>
          <w:rFonts w:hint="eastAsia" w:ascii="楷体" w:hAnsi="楷体" w:eastAsia="楷体"/>
          <w:spacing w:val="-4"/>
          <w:sz w:val="28"/>
          <w:szCs w:val="28"/>
        </w:rPr>
        <w:t>沙依巴克区政协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蒋黎</w:t>
      </w:r>
    </w:p>
    <w:p>
      <w:pPr>
        <w:spacing w:line="540" w:lineRule="exact"/>
        <w:ind w:left="273" w:firstLine="567"/>
        <w:rPr>
          <w:rStyle w:val="17"/>
          <w:rFonts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2023年03月23日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7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7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7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1、项目背景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完成政协十届二次会议成功召开、政协委员依法履职，完成政协会议的各项议程。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2、项目主要内容：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有效保障政协十届二次会议成功召开、政协委员依法履职，完成政协会议的各项议程。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本项目总投资35.29万元，其中：财政本级资金35.29万元。项目实际支出13.02万元，支出率为36.89%。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3、资金投入和使用情况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（1）资金安排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总投资35.29万元，按照单位财务制度等相关规定，资金支出符合政协十届二次会议经费专项资金费用范围，做到了专款专用。在项目资金拨付和使用过程中，为确保项目资金的安全性，提高项目资金使用效率，严格遵循政协十届二次会议经费资金的拨付程序，认真审核项目实施各阶段的相关材料和手续，根据项目实施进展情况拨付资金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（2）预算资金来源及使用情况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项目预算资金来源于年初预算财政拨款，项目资金到位35.29万元，全年执行13.02万元，预算执行率为36.89%,主要用于支付项目实施进程中的各项费用。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1、总体目标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通过本项目的实施，保障政协十届二次会议成功召开、政协委员依法履职，完成政协会议的各项议程。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2、阶段性目标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（1）前期准备：通过制定项目实施方案，经项目负责人审核通过后，有序开展后续工作。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（2）组织实施：资金一到位，立即根据项目要求实施项目。项目责任人按照项目实施方案要求逐一进行项目部署安排，提高项目质量及效率性。</w:t>
      </w:r>
    </w:p>
    <w:p>
      <w:pPr>
        <w:spacing w:line="540" w:lineRule="exact"/>
        <w:ind w:firstLine="640"/>
        <w:rPr>
          <w:rStyle w:val="17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7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7"/>
          <w:rFonts w:ascii="楷体" w:hAnsi="楷体" w:eastAsia="楷体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1、绩效评价的目的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（2）项目绩效管理财政支出运行提供及时、有效的信息。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综合来看，通过开展有效的财政支出绩效评价管理，达到改进预算管理、控制节约成本，提高预算资金使用效益的目的。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2、绩效评价的对象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政协十届二次会议经费项目所包含的全部项目建设内容。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3、绩效评价的范围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政协十届二次会议经费项目的决策、过程、产出、效益等。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1、绩效评价原则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本次项目绩效评价遵循以下基本原则：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2、评价指标体系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（1）确定评价指标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（2）确定权重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（3）确定指标标准值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具体评价指标体系详情见附件1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3、绩效评价方法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（1）比较法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通过对绩效目标与实施效果、历史与当期</w:t>
      </w:r>
      <w:bookmarkStart w:id="0" w:name="_GoBack"/>
      <w:bookmarkEnd w:id="0"/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情况，综合分析绩效目标实现程度。对项目最终验收情况与年度绩效目标对比、预算资金执行情况等相关因素进行比较。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（2）因素分析法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4、评价标准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绩效评价标准通常包括计划标准、行业标准、历史标准等，用于对绩效指标完成情况进行比较。本次评价主要采用了计划标准和行业标准。</w:t>
      </w:r>
    </w:p>
    <w:p>
      <w:pPr>
        <w:spacing w:line="540" w:lineRule="exact"/>
        <w:ind w:firstLine="567" w:firstLineChars="181"/>
        <w:rPr>
          <w:rStyle w:val="17"/>
          <w:rFonts w:ascii="楷体" w:hAnsi="楷体" w:eastAsia="楷体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>
      <w:pPr>
        <w:spacing w:line="540" w:lineRule="exact"/>
        <w:ind w:firstLine="640"/>
        <w:rPr>
          <w:rStyle w:val="17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7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对政协十届二次会议经费项目进行客观评价，最终评分结果：总得分为 77.48分，属于“良”。其中，项目决策类指标权重为20分，得分为 20分，得分率为 100%。项目过程类指标权重为20分，得分为17.48分，得分率为 87.4%。项目产出类指标权重为40分，得分为20分，得分率为 50%。项目效益类指标权重为20分，得分为20分，得分率为100%。</w:t>
      </w:r>
    </w:p>
    <w:p>
      <w:pPr>
        <w:spacing w:line="540" w:lineRule="exact"/>
        <w:ind w:firstLine="640"/>
        <w:rPr>
          <w:rStyle w:val="17"/>
          <w:rFonts w:ascii="黑体" w:hAnsi="黑体" w:eastAsia="黑体"/>
        </w:rPr>
      </w:pPr>
      <w:r>
        <w:rPr>
          <w:rStyle w:val="17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7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立项符合法律法规、相关政策及部门职责，能反映和考核项目立项依据情况，项目申请、设立过程符合相关要求，能反映和考核项目立项的规范情况，所设定的绩效目标依据充分，符合客观实际，能反映和考核项目绩效目标与项目实施的相符情况，依据绩效目标设定的绩效指标清晰、细化、可衡量，能反映和考核项目绩效目标的明细化情况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</w:r>
    </w:p>
    <w:p>
      <w:pPr>
        <w:spacing w:line="540" w:lineRule="exact"/>
        <w:ind w:firstLine="567" w:firstLineChars="181"/>
        <w:rPr>
          <w:rStyle w:val="17"/>
          <w:rFonts w:ascii="楷体" w:hAnsi="楷体" w:eastAsia="楷体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（二）</w:t>
      </w: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严格按照预期绩效目标执行预算资金。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（三）</w:t>
      </w: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数量指标方面：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 会议次数指标，指标值为=1次，实际完成1次，完成率100%，偏差率0%，偏差原因是无偏差。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b. 会议天数指标，指标值为&gt;=5天，实际完成2天，完成率40%，偏差率60%，偏差原因是因疫情影响，部分工作未开展。下一步改进措施于下年度严格按照绩效目标以及年初预算执行。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c. 会议人数指标，指标值为=230人，实际完成230人，完成率100%，偏差率0%，偏差原因是无偏差。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质量指标方面：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 会议出勤率指标，指标值为&gt;=90%，实际完成90%，完成率100%，偏差率0%，偏差原因是无偏差。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成本指标方面：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 会务费用指标，指标值为&lt;=5.98万元，实际完成0万元，完成率0%，偏差率100%，偏差原因是因疫情影响，部分工作未开展。下一步改进措施于下年度严格按照绩效目标以及年初预算执行。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b. 食宿及会议室费用指标，指标值为&lt;=29.31万元，实际完成13.02万元，完成率44.42%，偏差率55.58%，偏差原因是因疫情影响，部分工作未开展。下一步改进措施于下年度严格按照绩效目标以及年初预算执行。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时效指标方面：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 会议按期完成率指标，指标值为=100%，实际完成0%，完成率0%，偏差率100%，偏差原因是因疫情影响，部分工作未开展。下一步改进措施于下年度严格按照绩效目标以及年初预算执行。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（四）</w:t>
      </w:r>
      <w:r>
        <w:rPr>
          <w:rStyle w:val="17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经济效益指标方面：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无经济效益指标。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社会效益指标方面：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 保障政协十届二次会议成功召开指标，指标值为有效保障，实际完成有效保障，完成率100%，偏差率0%，偏差原因是无偏差。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可持续影响指标方面：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无可持续影响指标。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</w:p>
    <w:p>
      <w:pPr>
        <w:spacing w:line="540" w:lineRule="exact"/>
        <w:ind w:firstLine="567" w:firstLineChars="181"/>
        <w:rPr>
          <w:rStyle w:val="17"/>
          <w:rFonts w:hint="eastAsia" w:ascii="楷体" w:hAnsi="楷体" w:eastAsia="楷体"/>
          <w:bCs w:val="0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（五）满意度指标完成情况分析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 参会人员满意度指标，指标值为&gt;=98%，实际完成98%，完成率100%，偏差率0%，偏差原因是无偏差。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7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7"/>
          <w:rFonts w:hint="eastAsia" w:ascii="黑体" w:hAnsi="黑体" w:eastAsia="黑体"/>
          <w:b w:val="0"/>
          <w:spacing w:val="-4"/>
          <w:sz w:val="32"/>
          <w:szCs w:val="32"/>
        </w:rPr>
        <w:t>五、预算执行进度与绩效指标偏差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我单位本年度全年执行率36.89%，总体完成率65.11%，偏差率28.22%；主要原因是：我单位本年度因疫情影响，部分项目未开展，下一步改进措施：严格按照年初预算以及绩效目标执行。</w:t>
      </w:r>
    </w:p>
    <w:p>
      <w:pPr>
        <w:spacing w:line="540" w:lineRule="exact"/>
        <w:ind w:firstLine="640"/>
        <w:rPr>
          <w:rStyle w:val="17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7"/>
          <w:rFonts w:hint="eastAsia" w:ascii="黑体" w:hAnsi="黑体" w:eastAsia="黑体"/>
          <w:b w:val="0"/>
          <w:spacing w:val="-4"/>
          <w:sz w:val="32"/>
          <w:szCs w:val="32"/>
        </w:rPr>
        <w:t>六、主要经验及做法、存在的问题及原因分析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（二）存在的问题及原因分析</w:t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存在的问题及原因分析：因疫情影响，部分工作未开展。下一步改进措施于下年度严格按照绩效目标以及年初预算执行。</w:t>
      </w:r>
    </w:p>
    <w:p>
      <w:pPr>
        <w:spacing w:line="540" w:lineRule="exact"/>
        <w:ind w:firstLine="640"/>
        <w:rPr>
          <w:rStyle w:val="17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7"/>
          <w:rFonts w:hint="eastAsia" w:ascii="黑体" w:hAnsi="黑体" w:eastAsia="黑体"/>
          <w:b w:val="0"/>
          <w:spacing w:val="-4"/>
          <w:sz w:val="32"/>
          <w:szCs w:val="32"/>
        </w:rPr>
        <w:t>七、有关建议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>
      <w:pPr>
        <w:spacing w:line="540" w:lineRule="exact"/>
        <w:ind w:firstLine="640"/>
        <w:rPr>
          <w:rStyle w:val="17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7"/>
          <w:rFonts w:hint="eastAsia" w:ascii="黑体" w:hAnsi="黑体" w:eastAsia="黑体"/>
          <w:b w:val="0"/>
          <w:spacing w:val="-4"/>
          <w:sz w:val="32"/>
          <w:szCs w:val="32"/>
        </w:rPr>
        <w:t>八、其他需要说明的问题</w:t>
      </w:r>
    </w:p>
    <w:p>
      <w:pPr>
        <w:spacing w:line="540" w:lineRule="exact"/>
        <w:ind w:firstLine="567"/>
        <w:rPr>
          <w:rStyle w:val="17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7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无。</w:t>
      </w:r>
    </w:p>
    <w:p>
      <w:pPr>
        <w:spacing w:line="540" w:lineRule="exact"/>
        <w:ind w:firstLine="567"/>
        <w:rPr>
          <w:rStyle w:val="17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7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7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7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7"/>
          <w:rFonts w:ascii="仿宋" w:hAnsi="仿宋" w:eastAsia="仿宋"/>
          <w:b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7"/>
    <w:rsid w:val="000048AA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7E3CE9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6FA9686A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6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Emphasis"/>
    <w:basedOn w:val="16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6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6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6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6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6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6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6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6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6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6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6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6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6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6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6"/>
    <w:qFormat/>
    <w:uiPriority w:val="32"/>
    <w:rPr>
      <w:b/>
      <w:sz w:val="24"/>
      <w:u w:val="single"/>
    </w:rPr>
  </w:style>
  <w:style w:type="character" w:customStyle="1" w:styleId="41">
    <w:name w:val="书籍标题1"/>
    <w:basedOn w:val="16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6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6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6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</Words>
  <Characters>588</Characters>
  <Lines>4</Lines>
  <Paragraphs>1</Paragraphs>
  <TotalTime>13</TotalTime>
  <ScaleCrop>false</ScaleCrop>
  <LinksUpToDate>false</LinksUpToDate>
  <CharactersWithSpaces>689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Administrator</cp:lastModifiedBy>
  <cp:lastPrinted>2018-12-31T10:56:00Z</cp:lastPrinted>
  <dcterms:modified xsi:type="dcterms:W3CDTF">2023-08-21T09:58:46Z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C734C92AAAF24344A0E4232D8EB3359B</vt:lpwstr>
  </property>
</Properties>
</file>