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5C2" w:rsidRDefault="00DE35C2">
      <w:pPr>
        <w:rPr>
          <w:rFonts w:ascii="方正仿宋_GBK" w:eastAsia="方正仿宋_GBK"/>
          <w:sz w:val="32"/>
          <w:szCs w:val="32"/>
        </w:rPr>
      </w:pPr>
    </w:p>
    <w:p w:rsidR="00DE35C2" w:rsidRDefault="00642014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DE35C2" w:rsidRDefault="00651F96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651F96" w:rsidRPr="003B55BB" w:rsidRDefault="00651F96" w:rsidP="00651F96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>
        <w:rPr>
          <w:rFonts w:ascii="宋体" w:hAnsi="宋体" w:hint="eastAsia"/>
          <w:sz w:val="30"/>
          <w:szCs w:val="30"/>
          <w:lang w:val="zh-CN"/>
        </w:rPr>
        <w:t>城区环境卫生经费76.97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>
        <w:rPr>
          <w:rFonts w:ascii="宋体" w:hAnsi="宋体" w:hint="eastAsia"/>
          <w:sz w:val="30"/>
          <w:szCs w:val="30"/>
          <w:lang w:val="zh-CN"/>
        </w:rPr>
        <w:t>76.45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651F96">
        <w:rPr>
          <w:rFonts w:ascii="宋体" w:hAnsi="宋体" w:hint="eastAsia"/>
          <w:sz w:val="30"/>
          <w:szCs w:val="30"/>
        </w:rPr>
        <w:t>76.94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年年初一次性到位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使用情况：使用</w:t>
      </w:r>
      <w:r w:rsidR="00651F96">
        <w:rPr>
          <w:rFonts w:ascii="宋体" w:hAnsi="宋体" w:hint="eastAsia"/>
          <w:sz w:val="30"/>
          <w:szCs w:val="30"/>
        </w:rPr>
        <w:t>76.45</w:t>
      </w:r>
      <w:r>
        <w:rPr>
          <w:rFonts w:ascii="宋体" w:hAnsi="宋体" w:hint="eastAsia"/>
          <w:sz w:val="30"/>
          <w:szCs w:val="30"/>
        </w:rPr>
        <w:t>万元</w:t>
      </w:r>
      <w:r>
        <w:rPr>
          <w:rFonts w:ascii="宋体" w:hAnsi="宋体" w:hint="eastAsia"/>
          <w:sz w:val="30"/>
          <w:szCs w:val="30"/>
        </w:rPr>
        <w:t>.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城乡环境卫生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工作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经费年度预算审批通过，一次性拨付。按财务规定支付。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项目资金严格按照财务管理规定执行，大部分下拨及时，使用科目合理，程序合法，确保了项目的顺利完成。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用于城区卫生管理科日常工作开展，辖区环境卫生、清雪扫雪、保洁员相关工作经费开支等。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lastRenderedPageBreak/>
        <w:t>（二）项目监管情况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城管科和财政所定期对城乡环境卫生经费支出和结余情况进行自查，对城管科的车辆油料实行定额制。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为辖区环境卫生工作、执法执勤工作等提供了充足的经费保障，保证辖区环境优良，无人管理院</w:t>
      </w:r>
      <w:r>
        <w:rPr>
          <w:rFonts w:ascii="宋体" w:hAnsi="宋体" w:hint="eastAsia"/>
          <w:sz w:val="30"/>
          <w:szCs w:val="30"/>
        </w:rPr>
        <w:t>落的环境卫生等。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做好项目实施的跟踪检查工作。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及时进行协调和提出整改措施，确保项目实施工作正常运行，达到预期绩效目标。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DE35C2" w:rsidRDefault="00642014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DE35C2" w:rsidRDefault="00642014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DE35C2" w:rsidRDefault="00642014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</w:rPr>
        <w:t>无</w:t>
      </w:r>
    </w:p>
    <w:p w:rsidR="00DE35C2" w:rsidRDefault="00DE35C2"/>
    <w:sectPr w:rsidR="00DE35C2" w:rsidSect="00DE35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014" w:rsidRDefault="00642014" w:rsidP="00651F96">
      <w:r>
        <w:separator/>
      </w:r>
    </w:p>
  </w:endnote>
  <w:endnote w:type="continuationSeparator" w:id="1">
    <w:p w:rsidR="00642014" w:rsidRDefault="00642014" w:rsidP="00651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F96" w:rsidRDefault="00651F9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F96" w:rsidRDefault="00651F9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F96" w:rsidRDefault="00651F9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014" w:rsidRDefault="00642014" w:rsidP="00651F96">
      <w:r>
        <w:separator/>
      </w:r>
    </w:p>
  </w:footnote>
  <w:footnote w:type="continuationSeparator" w:id="1">
    <w:p w:rsidR="00642014" w:rsidRDefault="00642014" w:rsidP="00651F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F96" w:rsidRDefault="00651F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F96" w:rsidRDefault="00651F96" w:rsidP="00651F96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F96" w:rsidRDefault="00651F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8559F"/>
    <w:rsid w:val="006022EA"/>
    <w:rsid w:val="00642014"/>
    <w:rsid w:val="00651F96"/>
    <w:rsid w:val="00807534"/>
    <w:rsid w:val="00856134"/>
    <w:rsid w:val="008769F0"/>
    <w:rsid w:val="00984D44"/>
    <w:rsid w:val="009F267C"/>
    <w:rsid w:val="00A32C27"/>
    <w:rsid w:val="00A44F42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C5264D"/>
    <w:rsid w:val="00C832DA"/>
    <w:rsid w:val="00CB0A02"/>
    <w:rsid w:val="00D43E0C"/>
    <w:rsid w:val="00DC3990"/>
    <w:rsid w:val="00DE35C2"/>
    <w:rsid w:val="00E241AD"/>
    <w:rsid w:val="00EA5B5C"/>
    <w:rsid w:val="00EF11F4"/>
    <w:rsid w:val="00FC3324"/>
    <w:rsid w:val="00FF031F"/>
    <w:rsid w:val="321A743A"/>
    <w:rsid w:val="5C2C4423"/>
    <w:rsid w:val="60F825AE"/>
    <w:rsid w:val="6A850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C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E3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DE3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DE35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DE35C2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DE35C2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DE35C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</Words>
  <Characters>517</Characters>
  <Application>Microsoft Office Word</Application>
  <DocSecurity>0</DocSecurity>
  <Lines>4</Lines>
  <Paragraphs>1</Paragraphs>
  <ScaleCrop>false</ScaleCrop>
  <Company>Microsoft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24</cp:revision>
  <dcterms:created xsi:type="dcterms:W3CDTF">2016-09-26T11:47:00Z</dcterms:created>
  <dcterms:modified xsi:type="dcterms:W3CDTF">2019-01-15T08:49:00Z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