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 w:hAnsi="仿宋" w:eastAsia="仿宋" w:cs="宋体"/>
          <w:kern w:val="0"/>
          <w:sz w:val="32"/>
          <w:szCs w:val="32"/>
        </w:rPr>
      </w:pPr>
      <w:bookmarkStart w:id="0" w:name="_GoBack"/>
      <w:bookmarkEnd w:id="0"/>
      <w:r>
        <w:rPr>
          <w:rFonts w:hint="eastAsia" w:ascii="仿宋" w:hAnsi="仿宋" w:eastAsia="仿宋" w:cs="宋体"/>
          <w:kern w:val="0"/>
          <w:sz w:val="32"/>
          <w:szCs w:val="32"/>
        </w:rPr>
        <w:t>附件2：</w:t>
      </w: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pPr>
        <w:spacing w:line="540" w:lineRule="exact"/>
        <w:jc w:val="center"/>
        <w:rPr>
          <w:rFonts w:ascii="华文中宋" w:hAnsi="华文中宋" w:eastAsia="华文中宋" w:cs="宋体"/>
          <w:b/>
          <w:kern w:val="0"/>
          <w:sz w:val="52"/>
          <w:szCs w:val="52"/>
        </w:rPr>
      </w:pPr>
    </w:p>
    <w:p>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2022</w:t>
      </w:r>
      <w:r>
        <w:rPr>
          <w:rFonts w:hint="eastAsia" w:hAnsi="宋体" w:eastAsia="仿宋_GB2312" w:cs="宋体"/>
          <w:kern w:val="0"/>
          <w:sz w:val="36"/>
          <w:szCs w:val="36"/>
        </w:rPr>
        <w:t xml:space="preserve">  年度）</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rPr>
          <w:rFonts w:hAnsi="宋体" w:eastAsia="仿宋_GB2312" w:cs="宋体"/>
          <w:kern w:val="0"/>
          <w:sz w:val="30"/>
          <w:szCs w:val="30"/>
        </w:rPr>
      </w:pPr>
    </w:p>
    <w:p>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打造党建示范社区经费</w:t>
      </w:r>
    </w:p>
    <w:p>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沙依巴克区环卫路片区管理委员会</w:t>
      </w:r>
    </w:p>
    <w:p>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沙依巴克区环卫路片区管理委员会</w:t>
      </w:r>
    </w:p>
    <w:p>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李博</w:t>
      </w:r>
    </w:p>
    <w:p>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2023年03月30日</w:t>
      </w:r>
    </w:p>
    <w:p>
      <w:pPr>
        <w:spacing w:line="700" w:lineRule="exact"/>
        <w:ind w:firstLine="708" w:firstLineChars="236"/>
        <w:jc w:val="left"/>
        <w:rPr>
          <w:rFonts w:hAnsi="宋体" w:eastAsia="仿宋_GB2312" w:cs="宋体"/>
          <w:kern w:val="0"/>
          <w:sz w:val="30"/>
          <w:szCs w:val="30"/>
        </w:rPr>
      </w:pPr>
    </w:p>
    <w:p>
      <w:pPr>
        <w:spacing w:line="540" w:lineRule="exact"/>
        <w:rPr>
          <w:rStyle w:val="18"/>
          <w:rFonts w:ascii="黑体" w:hAnsi="黑体" w:eastAsia="黑体"/>
          <w:b w:val="0"/>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（一）项目概况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1、项目背景</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乌财社（2022）139号，核拨各街道办事处困难群众慰问经费；根据乌财社【2022】334号，核拨各街道2022年受疫情影响生活困难人员救助补助资金【第六批】；根据乌财社（2022）59号，拨付2022年受疫情影响生活困难人员一次性救助资金。；根据乌财社（2022）305号，核拨街道办事处受疫情影响的困难群众救助资金。</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2、项目主要内容：</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主要用于为切实解决好受疫情影响困难人员基本生活问题，做好受疫情影响困难人员救助工作的灵活就业人员与困难家庭的一次性救助资金支出。财务组，主要负责项目资金的使用管理，加强项目资金使用监管，实行追踪问效，切实提升资金使用效益。项目实施组，主要负责项目具体实施，过程监管，以及相关资料整理和项目绩效评价工作。</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项目实施情况：项目目前已经完成实际设立的目标，项目在实施过程中严格按照目标设立的各阶段任务进行开展工作，在前期立项过程中严格把质量关，建立安全防护机制，保证项目实施各阶段安全顺利进行。</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本项目总投资88.8万元，其中：财政拨款资金88.8万元。其他资金0万元。项目实际支出88.8万元，支出率为100%。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3、资金投入和使用情况</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（1）资金安排</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总投资88.8万元，按照单位财务制度等相关规定，资金支出符合受疫情影响生活困难人员一次性救助金项目资金费用范围，做到了专款专用。在项目资金拨付和使用过程中，为确保项目资金的安全性，提高项目资金使用效率，严格遵循受疫情影响生活困难人员一次性救助金项目资金的拨付程序，认真审核项目实施各阶段的相关材料和手续，根据项目实施进展情况拨付资金。</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（2）预算资金来源及使用情况</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项目预算资金来源于财政拨款资金88.8万元，项目资金到位88.8万元，用于支付项目实施进程中的各项费用。</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（二）项目绩效目标</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1、总体目标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 深化智能化建设，坚决维护国家政治安全、确保社会大局稳定、促进社会公平正义、保障人民安居乐业。</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2、阶段性目标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（1）前期准备：通过制定项目实施方案，经项目负责人审核通过后，有序开展后续工作。</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（2）组织实施：资金一到位，立即根据项目要求实施项目。项目责任人按照项目实施方案要求逐一进行项目部署安排，提高项目质量及效率性。</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1、绩效评价的目的</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财政支出绩效评价运用科学、规范的绩效评价方法，制定统一的评价标准，使财政资金得到事前、事中和事后多方面的控制。财政支出绩效评价贯穿于财政支出安排和实施的全过程，是对财政支出效益、管理水平、投入风险等方面的综合评价；是发挥财政调控功能、提高财政资金安排科学性、促进财政支持社会经济目标实现的重要保证。</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（1）项目在实施前向项目负责人提供财政支出绩效方面的资金管理信息，促进项目支出严格按照资金管理规定进行。</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（2）项目绩效管理财政支出运行提供及时、有效的信息。</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合来看，通过开展有效的财政支出绩效评价管理，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2、绩效评价的对象</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受疫情影响生活困难人员一次性救助金项目所包含的全部项目建设内容。</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3、绩效评价的范围</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受疫情影响生活困难人员一次性救助金项目的决策、过程、产出、效益等。</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1、绩效评价原则</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本次项目绩效评价遵循以下基本原则：</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（1）科学公正。绩效评价应当运用科学合理的方法，按照规范的程序，对项目绩效进行客观、公正的反映。</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（2）统筹兼顾。单位自评、部门评价和财政评价应职责明确，各有侧重，相互衔接。单位自评应由项目单位自主实施，即“谁支出、谁自评”。部门评价和财政评价应在单位自评的基础上开展。</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（3）激励约束。绩效评价结果应与预算安排、政策调整、改进管理实质性挂钩，体现奖优罚劣和激励相容导向，有效要安排、低效要压减、无效要问责。</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（4）公开透明。绩效评价结果应依法依规公开，并自觉接受社会监督。</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2、评价指标体系</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绩效评价框架是开展绩效评价的核心。绩效评价框架包括评价准则、关键评价问题、评价指标、数据来源、数据收集方法等。指标体系建立过程如下：</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（1）确定评价指标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采用层次分析法，建立评价指标体系。绩效评价将指标分为项目决策指标、项目过程指标、项目产出指标、项目效益指标四个维度，最终形成一个由多个相互联系的指标组成的多层次指标体系。</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（2）确定权重</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确定各个指标相对于项目总体绩效的权重分值。在绩效评价指标体系中，项目决策权重为20分，项目过程权重为20分，项目产出权重为40分，项目效益权重为20分。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（3）确定指标标准值</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指标标准值是绩效评价指标的尺度，既要反映同类项目的先进水平，又要符合项目的实际绩效水平。具体采用计划标准等确定此次绩效评价指标标准值。</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评价总分值100分，根据综合评分结果，评价计分90分-100分（含90分）对应的评分结果级别为优，80-90分（含80分）对应的评分结果级别为良，60-80分（含60分）对应的评分结果级别为中，60分以下对应的评分结果级别为差。</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具体评价指标体系详情见附件1</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3、绩效评价方法</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绩效评价从项目决策、项目过程、项目产出、项目效益四个维度进行评价。评价对象为项目目标实施情况，  评价核心为资金的支出完成情况和项目的产出效益。</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本次评价指标中，既有定性指标又有定量指标，各类指标因考核内容不同和客观标准不同存在较大差异，因此核定具体指标时采用了不同方法，具体评价方法如下：</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（1）比较法</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通过对绩效目标与实施效果、历史与当期情况，综合分析绩效目标实现程度。对项目最终验收情况与年度绩效目标对比、预算资金执行情况等相关因素进行比较。</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（2）因素分析法</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通过综合分析影响绩效目标实现、实施效果的内外因素，评价绩效目标实现程度。通过对项目的开展情况、项目产出数量、成本控制、资金拨付文件及自评报告等相关资料的收集和审核，综合分析各因素对绩效目标实现的影响。</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4、评价标准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绩效评价标准通常包括计划标准、行业标准、历史标准等，用于对绩效指标完成情况进行比较、分析、评价。本次评价主要采用了计划标准。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计划标准：指以预先制定的目标、计划、预算、定额等作为评价标准。</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（三）绩效评价工作过程</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1、前期准备。首先成立评价工作组，开展前期调研；其次明确项目绩效目标，设计绩效评价指标体系并确定绩效评价方法；接着确定现场和非现场评价范围，设计资料清单；最后制定评价实施方案并进行论证。</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制定绩效评价工作方案，具体包括项目概况、评价思路、方法手段、组织实施、进度安排等。收集项目立项依据、相关会议纪要、实施方案、财政资金分配方案、支付管理情况等相关评价资料并进行梳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3、分析评价。根据收集梳理的资料围绕项目立项、资金落实、业务管理、财务管理、项目产出、项目效益等内容，对照已确定的绩效评价指标进行详细全面的分析评价，逐项打分并形成绩效评价最终结果。</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对受疫情影响生活困难人员一次性救助金项目进行客观评价，最终评分结果：总得分为 100分，属于“优”。其中，项目决策类指标权重为20分，得分为20分，得分率为 100%。项目过程类指标权重为20分，得分为20分，得分率为 100%。项目产出类指标权重为40分，得分为40分，得分率为100%。项目效益类指标权重为20分，得分为20分，得分率为100%。</w:t>
      </w:r>
    </w:p>
    <w:p>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pPr>
        <w:tabs>
          <w:tab w:val="center" w:pos="4295"/>
        </w:tabs>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立项符合法律法规、相关政策、行业发展规划及部门职责，能反映和考核项目立项依据情况，属于公共财产支持范围，严格遵守中央、地方事权支出责任划分范围原则；项目申请、设立过程符合相关要求，严格按照审批流程准备符合要求的文件、材料；事前已经过必要的可行性研究、专家论证、风险评估、绩效评估、集体决策，以上能反映和考核项目立项程序的规范情况；年初结合实际工作内容设定绩效目标，绩效目标依据充分，符合客观实际，能反映和考核项目绩效目标与项目实施的相符情况，依据绩效目标设定的绩效指标清晰、细化、可衡量，能反映和考核项目绩效目标的明细化情况。资金分配额度合理，与项目单位项目情况相适应。</w:t>
      </w:r>
      <w:r>
        <w:rPr>
          <w:rStyle w:val="18"/>
          <w:rFonts w:hint="eastAsia" w:ascii="楷体" w:hAnsi="楷体" w:eastAsia="楷体"/>
          <w:b w:val="0"/>
          <w:bCs w:val="0"/>
          <w:spacing w:val="-4"/>
          <w:sz w:val="32"/>
          <w:szCs w:val="32"/>
        </w:rPr>
        <w:tab/>
      </w:r>
    </w:p>
    <w:p>
      <w:pPr>
        <w:spacing w:line="540" w:lineRule="exact"/>
        <w:ind w:firstLine="567" w:firstLineChars="181"/>
        <w:rPr>
          <w:rStyle w:val="18"/>
          <w:rFonts w:ascii="楷体" w:hAnsi="楷体" w:eastAsia="楷体"/>
          <w:spacing w:val="-4"/>
          <w:sz w:val="32"/>
          <w:szCs w:val="32"/>
        </w:rPr>
      </w:pPr>
      <w:r>
        <w:rPr>
          <w:rFonts w:hint="eastAsia" w:ascii="楷体" w:hAnsi="楷体" w:eastAsia="楷体"/>
          <w:b/>
          <w:spacing w:val="-4"/>
          <w:sz w:val="32"/>
          <w:szCs w:val="32"/>
        </w:rPr>
        <w:t>（二）</w:t>
      </w:r>
      <w:r>
        <w:rPr>
          <w:rStyle w:val="18"/>
          <w:rFonts w:hint="eastAsia" w:ascii="楷体" w:hAnsi="楷体" w:eastAsia="楷体"/>
          <w:spacing w:val="-4"/>
          <w:sz w:val="32"/>
          <w:szCs w:val="32"/>
        </w:rPr>
        <w:t>项目过程情况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本项目预算资金88.8万元，实际到位资金88.8万元，实际支出资金88.8万元，资金到位率为100%，预算执行率为100%。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严格按照预期绩效目标执行预算资金。项目资金使用符合相关的财务管理制度规定，能够反映和考核项目资金的规范运行情况；项目实施单位的财务和业务管理制度健全，能够反映和考核财务和业务管理制度对项目顺利实施的保障情况；资金拨付依照完整的审批程序和手续执行；本项目实施过程中严格遵守相关法律法规和相关管理规定，杜绝截留、挤占、挪用、序列支出等情况发生，杜绝截留、挤占、挪用、序列支出等情况发生。</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（三）</w:t>
      </w:r>
      <w:r>
        <w:rPr>
          <w:rStyle w:val="18"/>
          <w:rFonts w:hint="eastAsia" w:ascii="楷体" w:hAnsi="楷体" w:eastAsia="楷体"/>
          <w:spacing w:val="-4"/>
          <w:sz w:val="32"/>
          <w:szCs w:val="32"/>
        </w:rPr>
        <w:t>项目产出情况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数量指标方面：</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疫情期间民生救助次数:指标值：=1760次，实际完成值：1760次，指标完成率100%；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疫情期间民生救助执行社区:指标值：=11个，实际完成值：11个，指标完成率100%；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质量指标方面：</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辖区居民覆盖率:指标值：&gt;=95%，实际完成值：95%，指标完成率100%；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成本指标方面：</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疫情期间经费成本:指标值：&lt;=88.8万元，实际完成值：88.8万元，指标完成率100%；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补助资金发放标准:指标值：=300元/人，实际完成值：300元/人，指标完成率100%；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时效指标方面：</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资金发放及时率:指标值：&gt;=95%，实际完成值：95%，指标完成率100%；</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（四）</w:t>
      </w:r>
      <w:r>
        <w:rPr>
          <w:rStyle w:val="18"/>
          <w:rFonts w:hint="eastAsia" w:ascii="楷体" w:hAnsi="楷体" w:eastAsia="楷体"/>
          <w:spacing w:val="-4"/>
          <w:sz w:val="32"/>
          <w:szCs w:val="32"/>
        </w:rPr>
        <w:t>项目效益情况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经济效益指标方面：</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我单位无经济效益指标；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社会效益指标方面：</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做好受疫情影响困难人员救助工作:指标值：有效践行，实际完成值：有效开展，指标完成率100%；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保障疫情期间救助工作正常运转:指标值：有效开展，实际完成值：有效开展，指标完成率100%；；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生态效益指标方面：</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   我单位无生态效益指标；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可持续影响指标方面：</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我单位无可持续影响指标；</w:t>
      </w:r>
    </w:p>
    <w:p>
      <w:pPr>
        <w:spacing w:line="540" w:lineRule="exact"/>
        <w:ind w:firstLine="567"/>
        <w:rPr>
          <w:rStyle w:val="18"/>
          <w:rFonts w:ascii="楷体" w:hAnsi="楷体" w:eastAsia="楷体"/>
          <w:b w:val="0"/>
          <w:bCs w:val="0"/>
          <w:spacing w:val="-4"/>
          <w:sz w:val="32"/>
          <w:szCs w:val="32"/>
        </w:rPr>
      </w:pPr>
    </w:p>
    <w:p>
      <w:pPr>
        <w:spacing w:line="540" w:lineRule="exact"/>
        <w:ind w:firstLine="567" w:firstLineChars="181"/>
        <w:rPr>
          <w:rStyle w:val="18"/>
          <w:rFonts w:hint="eastAsia" w:ascii="楷体" w:hAnsi="楷体" w:eastAsia="楷体"/>
          <w:bCs w:val="0"/>
          <w:spacing w:val="-4"/>
          <w:sz w:val="32"/>
          <w:szCs w:val="32"/>
        </w:rPr>
      </w:pPr>
      <w:r>
        <w:rPr>
          <w:rFonts w:hint="eastAsia" w:ascii="楷体" w:hAnsi="楷体" w:eastAsia="楷体"/>
          <w:b/>
          <w:spacing w:val="-4"/>
          <w:sz w:val="32"/>
          <w:szCs w:val="32"/>
        </w:rPr>
        <w:t>（五）满意度指标完成情况分析</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满意度指标方面：</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受益群体满意度:指标值：&gt;=95%，实际完成值：95%，指标完成率100%；</w:t>
      </w:r>
    </w:p>
    <w:p>
      <w:pPr>
        <w:spacing w:line="540" w:lineRule="exact"/>
        <w:ind w:firstLine="567"/>
        <w:rPr>
          <w:rStyle w:val="18"/>
          <w:rFonts w:ascii="楷体" w:hAnsi="楷体" w:eastAsia="楷体"/>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五、预算执行进度与绩效指标偏差</w:t>
      </w:r>
    </w:p>
    <w:p>
      <w:pPr>
        <w:spacing w:line="540" w:lineRule="exact"/>
        <w:ind w:firstLine="567"/>
        <w:rPr>
          <w:rStyle w:val="18"/>
          <w:rFonts w:ascii="楷体" w:hAnsi="楷体" w:eastAsia="楷体"/>
          <w:spacing w:val="-4"/>
          <w:sz w:val="32"/>
          <w:szCs w:val="32"/>
        </w:rPr>
      </w:pPr>
      <w:r>
        <w:rPr>
          <w:rStyle w:val="18"/>
          <w:rFonts w:hint="eastAsia" w:ascii="楷体" w:hAnsi="楷体" w:eastAsia="楷体"/>
          <w:b w:val="0"/>
          <w:bCs w:val="0"/>
          <w:spacing w:val="-4"/>
          <w:sz w:val="32"/>
          <w:szCs w:val="32"/>
        </w:rPr>
        <w:t>受疫情影响生活困难人员一次性救助金项目预算88.8万元，到位88.8万元，实际支出88.8万元，预算执行率为100%，项目绩效指标总体完成率为100%，总体偏差率为0%。</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六、主要经验及做法、存在的问题及原因分析</w:t>
      </w:r>
    </w:p>
    <w:p>
      <w:pPr>
        <w:spacing w:line="540" w:lineRule="exact"/>
        <w:ind w:firstLine="567"/>
        <w:rPr>
          <w:rFonts w:ascii="仿宋_GB2312" w:eastAsia="仿宋_GB2312"/>
          <w:spacing w:val="-4"/>
          <w:sz w:val="32"/>
          <w:szCs w:val="32"/>
        </w:rPr>
      </w:pPr>
      <w:r>
        <w:rPr>
          <w:rStyle w:val="18"/>
          <w:rFonts w:hint="eastAsia" w:ascii="楷体" w:hAnsi="楷体" w:eastAsia="楷体"/>
          <w:b w:val="0"/>
          <w:bCs w:val="0"/>
          <w:spacing w:val="-4"/>
          <w:sz w:val="32"/>
          <w:szCs w:val="32"/>
        </w:rPr>
        <w:t>（一）主要经验及做法</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（二）存在的问题及原因分析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本项目无存在的问题及原因分析。</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七、有关建议</w:t>
      </w:r>
    </w:p>
    <w:p>
      <w:pPr>
        <w:spacing w:line="540" w:lineRule="exact"/>
        <w:ind w:firstLine="567"/>
        <w:rPr>
          <w:rStyle w:val="18"/>
          <w:rFonts w:ascii="楷体" w:hAnsi="楷体" w:eastAsia="楷体"/>
          <w:spacing w:val="-4"/>
          <w:sz w:val="32"/>
          <w:szCs w:val="32"/>
        </w:rPr>
      </w:pPr>
      <w:r>
        <w:rPr>
          <w:rStyle w:val="18"/>
          <w:rFonts w:hint="eastAsia" w:ascii="楷体" w:hAnsi="楷体" w:eastAsia="楷体"/>
          <w:b w:val="0"/>
          <w:bCs w:val="0"/>
          <w:spacing w:val="-4"/>
          <w:sz w:val="32"/>
          <w:szCs w:val="32"/>
        </w:rPr>
        <w:t>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作的学习力度，让“花钱必问效，无效必问责”的理念深入工作每个环节。</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八、其他需要说明的问题</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本项目无其他需说明的问题。</w:t>
      </w: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12"/>
          <w:jc w:val="center"/>
        </w:pPr>
        <w:r>
          <w:fldChar w:fldCharType="begin"/>
        </w:r>
        <w:r>
          <w:instrText xml:space="preserve">PAGE   \* MERGEFORMAT</w:instrText>
        </w:r>
        <w:r>
          <w:fldChar w:fldCharType="separate"/>
        </w:r>
        <w:r>
          <w:rPr>
            <w:lang w:val="zh-CN"/>
          </w:rPr>
          <w:t>1</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57"/>
    <w:rsid w:val="000048AA"/>
    <w:rsid w:val="00056465"/>
    <w:rsid w:val="00102DFF"/>
    <w:rsid w:val="00121AE4"/>
    <w:rsid w:val="00146AAD"/>
    <w:rsid w:val="001B3A40"/>
    <w:rsid w:val="00291BC0"/>
    <w:rsid w:val="00311DBE"/>
    <w:rsid w:val="004366A8"/>
    <w:rsid w:val="00502BA7"/>
    <w:rsid w:val="005162F1"/>
    <w:rsid w:val="00535153"/>
    <w:rsid w:val="00554F82"/>
    <w:rsid w:val="0056390D"/>
    <w:rsid w:val="005719B0"/>
    <w:rsid w:val="005D10D6"/>
    <w:rsid w:val="007E3CE9"/>
    <w:rsid w:val="00855E3A"/>
    <w:rsid w:val="0091457F"/>
    <w:rsid w:val="00922CB9"/>
    <w:rsid w:val="009C229E"/>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18A7EB2"/>
    <w:rsid w:val="07261865"/>
    <w:rsid w:val="0856517C"/>
    <w:rsid w:val="0BFB189F"/>
    <w:rsid w:val="11BD75F7"/>
    <w:rsid w:val="13BE561A"/>
    <w:rsid w:val="15392994"/>
    <w:rsid w:val="18FE139B"/>
    <w:rsid w:val="2A891760"/>
    <w:rsid w:val="3029612C"/>
    <w:rsid w:val="32A221C5"/>
    <w:rsid w:val="33F20F2A"/>
    <w:rsid w:val="34C44675"/>
    <w:rsid w:val="3B5B5607"/>
    <w:rsid w:val="3CE21B3C"/>
    <w:rsid w:val="4D2606A1"/>
    <w:rsid w:val="51830480"/>
    <w:rsid w:val="53A616BE"/>
    <w:rsid w:val="54662BFB"/>
    <w:rsid w:val="62051CA5"/>
    <w:rsid w:val="6C3A69EF"/>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45"/>
    <w:semiHidden/>
    <w:unhideWhenUsed/>
    <w:qFormat/>
    <w:uiPriority w:val="99"/>
    <w:rPr>
      <w:sz w:val="18"/>
      <w:szCs w:val="18"/>
    </w:rPr>
  </w:style>
  <w:style w:type="paragraph" w:styleId="12">
    <w:name w:val="footer"/>
    <w:basedOn w:val="1"/>
    <w:link w:val="44"/>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字符"/>
    <w:basedOn w:val="17"/>
    <w:link w:val="2"/>
    <w:qFormat/>
    <w:uiPriority w:val="9"/>
    <w:rPr>
      <w:rFonts w:asciiTheme="majorHAnsi" w:hAnsiTheme="majorHAnsi" w:eastAsiaTheme="majorEastAsia"/>
      <w:b/>
      <w:bCs/>
      <w:kern w:val="32"/>
      <w:sz w:val="32"/>
      <w:szCs w:val="32"/>
    </w:rPr>
  </w:style>
  <w:style w:type="character" w:customStyle="1" w:styleId="21">
    <w:name w:val="标题 2 字符"/>
    <w:basedOn w:val="17"/>
    <w:link w:val="3"/>
    <w:semiHidden/>
    <w:qFormat/>
    <w:uiPriority w:val="9"/>
    <w:rPr>
      <w:rFonts w:asciiTheme="majorHAnsi" w:hAnsiTheme="majorHAnsi" w:eastAsiaTheme="majorEastAsia"/>
      <w:b/>
      <w:bCs/>
      <w:i/>
      <w:iCs/>
      <w:sz w:val="28"/>
      <w:szCs w:val="28"/>
    </w:rPr>
  </w:style>
  <w:style w:type="character" w:customStyle="1" w:styleId="22">
    <w:name w:val="标题 3 字符"/>
    <w:basedOn w:val="17"/>
    <w:link w:val="4"/>
    <w:semiHidden/>
    <w:qFormat/>
    <w:uiPriority w:val="9"/>
    <w:rPr>
      <w:rFonts w:asciiTheme="majorHAnsi" w:hAnsiTheme="majorHAnsi" w:eastAsiaTheme="majorEastAsia"/>
      <w:b/>
      <w:bCs/>
      <w:sz w:val="26"/>
      <w:szCs w:val="26"/>
    </w:rPr>
  </w:style>
  <w:style w:type="character" w:customStyle="1" w:styleId="23">
    <w:name w:val="标题 4 字符"/>
    <w:basedOn w:val="17"/>
    <w:link w:val="5"/>
    <w:semiHidden/>
    <w:qFormat/>
    <w:uiPriority w:val="9"/>
    <w:rPr>
      <w:b/>
      <w:bCs/>
      <w:sz w:val="28"/>
      <w:szCs w:val="28"/>
    </w:rPr>
  </w:style>
  <w:style w:type="character" w:customStyle="1" w:styleId="24">
    <w:name w:val="标题 5 字符"/>
    <w:basedOn w:val="17"/>
    <w:link w:val="6"/>
    <w:semiHidden/>
    <w:qFormat/>
    <w:uiPriority w:val="9"/>
    <w:rPr>
      <w:b/>
      <w:bCs/>
      <w:i/>
      <w:iCs/>
      <w:sz w:val="26"/>
      <w:szCs w:val="26"/>
    </w:rPr>
  </w:style>
  <w:style w:type="character" w:customStyle="1" w:styleId="25">
    <w:name w:val="标题 6 字符"/>
    <w:basedOn w:val="17"/>
    <w:link w:val="7"/>
    <w:semiHidden/>
    <w:qFormat/>
    <w:uiPriority w:val="9"/>
    <w:rPr>
      <w:b/>
      <w:bCs/>
    </w:rPr>
  </w:style>
  <w:style w:type="character" w:customStyle="1" w:styleId="26">
    <w:name w:val="标题 7 字符"/>
    <w:basedOn w:val="17"/>
    <w:link w:val="8"/>
    <w:semiHidden/>
    <w:qFormat/>
    <w:uiPriority w:val="9"/>
    <w:rPr>
      <w:sz w:val="24"/>
      <w:szCs w:val="24"/>
    </w:rPr>
  </w:style>
  <w:style w:type="character" w:customStyle="1" w:styleId="27">
    <w:name w:val="标题 8 字符"/>
    <w:basedOn w:val="17"/>
    <w:link w:val="9"/>
    <w:semiHidden/>
    <w:qFormat/>
    <w:uiPriority w:val="9"/>
    <w:rPr>
      <w:i/>
      <w:iCs/>
      <w:sz w:val="24"/>
      <w:szCs w:val="24"/>
    </w:rPr>
  </w:style>
  <w:style w:type="character" w:customStyle="1" w:styleId="28">
    <w:name w:val="标题 9 字符"/>
    <w:basedOn w:val="17"/>
    <w:link w:val="10"/>
    <w:semiHidden/>
    <w:qFormat/>
    <w:uiPriority w:val="9"/>
    <w:rPr>
      <w:rFonts w:asciiTheme="majorHAnsi" w:hAnsiTheme="majorHAnsi" w:eastAsiaTheme="majorEastAsia"/>
    </w:rPr>
  </w:style>
  <w:style w:type="character" w:customStyle="1" w:styleId="29">
    <w:name w:val="标题 字符"/>
    <w:basedOn w:val="17"/>
    <w:link w:val="15"/>
    <w:qFormat/>
    <w:uiPriority w:val="10"/>
    <w:rPr>
      <w:rFonts w:asciiTheme="majorHAnsi" w:hAnsiTheme="majorHAnsi" w:eastAsiaTheme="majorEastAsia"/>
      <w:b/>
      <w:bCs/>
      <w:kern w:val="28"/>
      <w:sz w:val="32"/>
      <w:szCs w:val="32"/>
    </w:rPr>
  </w:style>
  <w:style w:type="character" w:customStyle="1" w:styleId="30">
    <w:name w:val="副标题 字符"/>
    <w:basedOn w:val="17"/>
    <w:link w:val="14"/>
    <w:qFormat/>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字符"/>
    <w:basedOn w:val="17"/>
    <w:link w:val="33"/>
    <w:qFormat/>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字符"/>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字符"/>
    <w:basedOn w:val="17"/>
    <w:link w:val="13"/>
    <w:qFormat/>
    <w:uiPriority w:val="99"/>
    <w:rPr>
      <w:rFonts w:ascii="Calibri" w:hAnsi="Calibri" w:eastAsia="宋体"/>
      <w:kern w:val="2"/>
      <w:sz w:val="18"/>
      <w:szCs w:val="18"/>
    </w:rPr>
  </w:style>
  <w:style w:type="character" w:customStyle="1" w:styleId="44">
    <w:name w:val="页脚 字符"/>
    <w:basedOn w:val="17"/>
    <w:link w:val="12"/>
    <w:qFormat/>
    <w:uiPriority w:val="99"/>
    <w:rPr>
      <w:rFonts w:ascii="Calibri" w:hAnsi="Calibri" w:eastAsia="宋体"/>
      <w:kern w:val="2"/>
      <w:sz w:val="18"/>
      <w:szCs w:val="18"/>
    </w:rPr>
  </w:style>
  <w:style w:type="character" w:customStyle="1" w:styleId="45">
    <w:name w:val="批注框文本 字符"/>
    <w:basedOn w:val="17"/>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102</Words>
  <Characters>588</Characters>
  <Lines>4</Lines>
  <Paragraphs>1</Paragraphs>
  <TotalTime>11</TotalTime>
  <ScaleCrop>false</ScaleCrop>
  <LinksUpToDate>false</LinksUpToDate>
  <CharactersWithSpaces>689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恺（预算处）</dc:creator>
  <cp:lastModifiedBy>Administrator</cp:lastModifiedBy>
  <cp:lastPrinted>2018-12-31T10:56:00Z</cp:lastPrinted>
  <dcterms:modified xsi:type="dcterms:W3CDTF">2023-08-22T09:11:58Z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y fmtid="{D5CDD505-2E9C-101B-9397-08002B2CF9AE}" pid="3" name="ICV">
    <vt:lpwstr>C734C92AAAF24344A0E4232D8EB3359B</vt:lpwstr>
  </property>
</Properties>
</file>