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479C">
      <w:pPr>
        <w:spacing w:line="540" w:lineRule="exact"/>
        <w:jc w:val="center"/>
        <w:rPr>
          <w:rFonts w:hint="default" w:ascii="Times New Roman" w:hAnsi="Times New Roman" w:eastAsia="华文中宋" w:cs="Times New Roman"/>
          <w:b/>
          <w:color w:val="auto"/>
          <w:kern w:val="0"/>
          <w:sz w:val="52"/>
          <w:szCs w:val="52"/>
          <w:highlight w:val="none"/>
        </w:rPr>
      </w:pPr>
    </w:p>
    <w:p w14:paraId="7CF53B10">
      <w:pPr>
        <w:spacing w:line="540" w:lineRule="exact"/>
        <w:rPr>
          <w:rFonts w:hint="default" w:ascii="Times New Roman" w:hAnsi="Times New Roman" w:eastAsia="华文中宋" w:cs="Times New Roman"/>
          <w:b/>
          <w:color w:val="auto"/>
          <w:kern w:val="0"/>
          <w:sz w:val="52"/>
          <w:szCs w:val="52"/>
          <w:highlight w:val="none"/>
        </w:rPr>
      </w:pPr>
    </w:p>
    <w:p w14:paraId="7465461C">
      <w:pPr>
        <w:spacing w:line="540" w:lineRule="exact"/>
        <w:jc w:val="center"/>
        <w:rPr>
          <w:rFonts w:hint="default" w:ascii="Times New Roman" w:hAnsi="Times New Roman" w:eastAsia="华文中宋" w:cs="Times New Roman"/>
          <w:b/>
          <w:color w:val="auto"/>
          <w:kern w:val="0"/>
          <w:sz w:val="52"/>
          <w:szCs w:val="52"/>
          <w:highlight w:val="none"/>
        </w:rPr>
      </w:pPr>
    </w:p>
    <w:p w14:paraId="47204D13">
      <w:pPr>
        <w:spacing w:line="540" w:lineRule="exact"/>
        <w:jc w:val="center"/>
        <w:rPr>
          <w:rFonts w:hint="default" w:ascii="Times New Roman" w:hAnsi="Times New Roman" w:eastAsia="华文中宋" w:cs="Times New Roman"/>
          <w:b/>
          <w:color w:val="auto"/>
          <w:kern w:val="0"/>
          <w:sz w:val="52"/>
          <w:szCs w:val="52"/>
          <w:highlight w:val="none"/>
        </w:rPr>
      </w:pPr>
    </w:p>
    <w:p w14:paraId="5E11D5A7">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社区工作经费项目支出绩效评价</w:t>
      </w:r>
    </w:p>
    <w:p w14:paraId="2A66E519">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3435F33D">
      <w:pPr>
        <w:spacing w:line="540" w:lineRule="exact"/>
        <w:jc w:val="center"/>
        <w:rPr>
          <w:rFonts w:hint="default" w:ascii="Times New Roman" w:hAnsi="Times New Roman" w:eastAsia="华文中宋" w:cs="Times New Roman"/>
          <w:b/>
          <w:color w:val="auto"/>
          <w:kern w:val="0"/>
          <w:sz w:val="52"/>
          <w:szCs w:val="52"/>
          <w:highlight w:val="none"/>
        </w:rPr>
      </w:pPr>
    </w:p>
    <w:p w14:paraId="2C28A452">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1BF12FF7">
      <w:pPr>
        <w:spacing w:line="540" w:lineRule="exact"/>
        <w:jc w:val="center"/>
        <w:rPr>
          <w:rFonts w:hint="default" w:ascii="Times New Roman" w:hAnsi="Times New Roman" w:eastAsia="仿宋_GB2312" w:cs="Times New Roman"/>
          <w:color w:val="auto"/>
          <w:kern w:val="0"/>
          <w:sz w:val="30"/>
          <w:szCs w:val="30"/>
          <w:highlight w:val="none"/>
        </w:rPr>
      </w:pPr>
    </w:p>
    <w:p w14:paraId="24846776">
      <w:pPr>
        <w:spacing w:line="540" w:lineRule="exact"/>
        <w:jc w:val="center"/>
        <w:rPr>
          <w:rFonts w:hint="default" w:ascii="Times New Roman" w:hAnsi="Times New Roman" w:eastAsia="仿宋_GB2312" w:cs="Times New Roman"/>
          <w:color w:val="auto"/>
          <w:kern w:val="0"/>
          <w:sz w:val="30"/>
          <w:szCs w:val="30"/>
          <w:highlight w:val="none"/>
        </w:rPr>
      </w:pPr>
    </w:p>
    <w:p w14:paraId="58C16714">
      <w:pPr>
        <w:spacing w:line="540" w:lineRule="exact"/>
        <w:jc w:val="center"/>
        <w:rPr>
          <w:rFonts w:hint="default" w:ascii="Times New Roman" w:hAnsi="Times New Roman" w:eastAsia="仿宋_GB2312" w:cs="Times New Roman"/>
          <w:color w:val="auto"/>
          <w:kern w:val="0"/>
          <w:sz w:val="30"/>
          <w:szCs w:val="30"/>
          <w:highlight w:val="none"/>
        </w:rPr>
      </w:pPr>
    </w:p>
    <w:p w14:paraId="141D8E8F">
      <w:pPr>
        <w:pStyle w:val="10"/>
        <w:rPr>
          <w:rFonts w:hint="default" w:ascii="Times New Roman" w:hAnsi="Times New Roman" w:cs="Times New Roman"/>
          <w:color w:val="auto"/>
          <w:highlight w:val="none"/>
        </w:rPr>
      </w:pPr>
    </w:p>
    <w:p w14:paraId="02360C14">
      <w:pPr>
        <w:spacing w:line="540" w:lineRule="exact"/>
        <w:jc w:val="center"/>
        <w:rPr>
          <w:rFonts w:hint="default" w:ascii="Times New Roman" w:hAnsi="Times New Roman" w:eastAsia="仿宋_GB2312" w:cs="Times New Roman"/>
          <w:color w:val="auto"/>
          <w:kern w:val="0"/>
          <w:sz w:val="30"/>
          <w:szCs w:val="30"/>
          <w:highlight w:val="none"/>
        </w:rPr>
      </w:pPr>
    </w:p>
    <w:p w14:paraId="13AA2476">
      <w:pPr>
        <w:spacing w:line="540" w:lineRule="exact"/>
        <w:rPr>
          <w:rFonts w:hint="default" w:ascii="Times New Roman" w:hAnsi="Times New Roman" w:eastAsia="仿宋_GB2312" w:cs="Times New Roman"/>
          <w:color w:val="auto"/>
          <w:kern w:val="0"/>
          <w:sz w:val="30"/>
          <w:szCs w:val="30"/>
          <w:highlight w:val="none"/>
        </w:rPr>
      </w:pPr>
    </w:p>
    <w:p w14:paraId="2634DF05">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项目名称：社区工作经费</w:t>
      </w:r>
    </w:p>
    <w:p w14:paraId="6CF1E51E">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实施单位（公章）：乌鲁木齐市沙依巴克区长胜南片区管理委员会</w:t>
      </w:r>
    </w:p>
    <w:p w14:paraId="5B928C7A">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主管部门（公章）：乌鲁木齐市沙依巴克区长胜南片区管理委员会</w:t>
      </w:r>
    </w:p>
    <w:p w14:paraId="232611FB">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项目负责人（签章）：刘涛涛</w:t>
      </w:r>
    </w:p>
    <w:p w14:paraId="04A3D850">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6</w:t>
      </w:r>
      <w:r>
        <w:rPr>
          <w:rFonts w:hint="default" w:ascii="Times New Roman" w:hAnsi="Times New Roman" w:eastAsia="仿宋_GB2312" w:cs="Times New Roman"/>
          <w:color w:val="auto"/>
          <w:kern w:val="0"/>
          <w:sz w:val="36"/>
          <w:szCs w:val="36"/>
          <w:highlight w:val="none"/>
        </w:rPr>
        <w:t>日</w:t>
      </w:r>
    </w:p>
    <w:p w14:paraId="17A69604">
      <w:pPr>
        <w:spacing w:line="540" w:lineRule="exact"/>
        <w:jc w:val="center"/>
        <w:rPr>
          <w:rFonts w:hint="default" w:ascii="Times New Roman" w:hAnsi="Times New Roman" w:eastAsia="仿宋_GB2312" w:cs="Times New Roman"/>
          <w:color w:val="auto"/>
          <w:kern w:val="0"/>
          <w:sz w:val="30"/>
          <w:szCs w:val="30"/>
          <w:highlight w:val="none"/>
        </w:rPr>
      </w:pPr>
    </w:p>
    <w:p w14:paraId="7DC9BDB4">
      <w:pPr>
        <w:spacing w:line="540" w:lineRule="exact"/>
        <w:rPr>
          <w:rStyle w:val="16"/>
          <w:rFonts w:hint="default" w:ascii="Times New Roman" w:hAnsi="Times New Roman" w:eastAsia="黑体" w:cs="Times New Roman"/>
          <w:b w:val="0"/>
          <w:color w:val="auto"/>
          <w:spacing w:val="-4"/>
          <w:sz w:val="32"/>
          <w:szCs w:val="32"/>
          <w:highlight w:val="none"/>
        </w:rPr>
      </w:pPr>
    </w:p>
    <w:p w14:paraId="63FE8A21">
      <w:pPr>
        <w:spacing w:line="540" w:lineRule="exact"/>
        <w:ind w:firstLine="640"/>
        <w:rPr>
          <w:rStyle w:val="16"/>
          <w:rFonts w:hint="default" w:ascii="Times New Roman" w:hAnsi="Times New Roman" w:eastAsia="黑体" w:cs="Times New Roman"/>
          <w:b w:val="0"/>
          <w:color w:val="auto"/>
          <w:spacing w:val="-4"/>
          <w:sz w:val="32"/>
          <w:szCs w:val="32"/>
          <w:highlight w:val="none"/>
        </w:rPr>
      </w:pPr>
    </w:p>
    <w:p w14:paraId="27A2E9C7">
      <w:pPr>
        <w:spacing w:line="540" w:lineRule="exact"/>
        <w:rPr>
          <w:rStyle w:val="16"/>
          <w:rFonts w:hint="default" w:ascii="Times New Roman" w:hAnsi="Times New Roman" w:eastAsia="黑体" w:cs="Times New Roman"/>
          <w:b w:val="0"/>
          <w:color w:val="auto"/>
          <w:spacing w:val="-4"/>
          <w:sz w:val="32"/>
          <w:szCs w:val="32"/>
          <w:highlight w:val="none"/>
        </w:rPr>
      </w:pPr>
    </w:p>
    <w:p w14:paraId="16E59755">
      <w:pPr>
        <w:spacing w:line="560" w:lineRule="exact"/>
        <w:ind w:firstLine="640" w:firstLineChars="200"/>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69756A28">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1B940412">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5D721A80">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3E9A9918">
      <w:pPr>
        <w:spacing w:line="560" w:lineRule="exact"/>
        <w:ind w:firstLine="600" w:firstLineChars="200"/>
        <w:rPr>
          <w:rStyle w:val="16"/>
          <w:rFonts w:hint="default" w:ascii="Times New Roman" w:hAnsi="Times New Roman" w:eastAsia="黑体" w:cs="Times New Roman"/>
          <w:b w:val="0"/>
          <w:bCs/>
          <w:color w:val="auto"/>
          <w:spacing w:val="-4"/>
          <w:sz w:val="32"/>
          <w:szCs w:val="32"/>
          <w:highlight w:val="none"/>
          <w:lang w:eastAsia="zh-CN"/>
        </w:rPr>
      </w:pPr>
      <w:r>
        <w:rPr>
          <w:rFonts w:hint="default" w:ascii="Times New Roman" w:hAnsi="Times New Roman" w:eastAsia="仿宋_GB2312" w:cs="Times New Roman"/>
          <w:color w:val="auto"/>
          <w:sz w:val="30"/>
          <w:szCs w:val="30"/>
          <w:highlight w:val="none"/>
          <w:lang w:val="en-US" w:eastAsia="zh-CN"/>
        </w:rPr>
        <w:t>近年来，国家强调“基层治理现代化”，出台《关于加强和完善城乡社区治理的意见》等文件，要求强化社区服务能力，推动资源下沉。“十四五”规划明确提出完善社区公共服务体系，鼓励多元主体参与社区建设。</w:t>
      </w:r>
      <w:r>
        <w:rPr>
          <w:rFonts w:hint="eastAsia" w:ascii="Times New Roman" w:hAnsi="Times New Roman" w:eastAsia="仿宋_GB2312" w:cs="Times New Roman"/>
          <w:color w:val="auto"/>
          <w:sz w:val="30"/>
          <w:szCs w:val="30"/>
          <w:highlight w:val="none"/>
          <w:lang w:val="en-US" w:eastAsia="zh-CN"/>
        </w:rPr>
        <w:t>沙依巴克区人大会议会议通过，2024年年初预算下达，为进一步强化片区综合治理，保障管委会各项工作的顺利开展，特成立该项目，计划为管委会后勤保障工作、城区管理工作、治安巡逻维护稳定工作提供经费保障和支持</w:t>
      </w:r>
      <w:r>
        <w:rPr>
          <w:rStyle w:val="16"/>
          <w:rFonts w:hint="default" w:ascii="Times New Roman" w:hAnsi="Times New Roman" w:eastAsia="黑体" w:cs="Times New Roman"/>
          <w:b w:val="0"/>
          <w:bCs/>
          <w:color w:val="auto"/>
          <w:spacing w:val="-4"/>
          <w:sz w:val="32"/>
          <w:szCs w:val="32"/>
          <w:highlight w:val="none"/>
          <w:lang w:eastAsia="zh-CN"/>
        </w:rPr>
        <w:t>。</w:t>
      </w:r>
    </w:p>
    <w:p w14:paraId="1BC871C8">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2AFB12AA">
      <w:pPr>
        <w:spacing w:line="560" w:lineRule="exact"/>
        <w:ind w:firstLine="600" w:firstLineChars="200"/>
        <w:rPr>
          <w:rFonts w:hint="default" w:ascii="Times New Roman" w:hAnsi="Times New Roman" w:eastAsia="黑体" w:cs="Times New Roman"/>
          <w:color w:val="auto"/>
          <w:highlight w:val="none"/>
          <w:lang w:eastAsia="zh-CN"/>
        </w:rPr>
      </w:pPr>
      <w:r>
        <w:rPr>
          <w:rFonts w:hint="default" w:ascii="Times New Roman" w:hAnsi="Times New Roman" w:eastAsia="仿宋_GB2312" w:cs="Times New Roman"/>
          <w:color w:val="auto"/>
          <w:sz w:val="30"/>
          <w:szCs w:val="30"/>
          <w:highlight w:val="none"/>
          <w:lang w:val="en-US" w:eastAsia="zh-CN"/>
        </w:rPr>
        <w:t>项目主要内容：</w:t>
      </w:r>
      <w:r>
        <w:rPr>
          <w:rFonts w:hint="eastAsia" w:ascii="Times New Roman" w:hAnsi="Times New Roman" w:eastAsia="仿宋_GB2312" w:cs="Times New Roman"/>
          <w:color w:val="auto"/>
          <w:sz w:val="30"/>
          <w:szCs w:val="30"/>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计划生育、社会救助、社会治安、服务群众等基层服务工作，增强社区成员的归属感和凝聚力，促进社会的和谐发展。完善工作人员的工作环境，提升在城市管理综合服务中的能力</w:t>
      </w:r>
      <w:r>
        <w:rPr>
          <w:rStyle w:val="16"/>
          <w:rFonts w:hint="default" w:ascii="Times New Roman" w:hAnsi="Times New Roman" w:eastAsia="黑体" w:cs="Times New Roman"/>
          <w:b w:val="0"/>
          <w:bCs/>
          <w:color w:val="auto"/>
          <w:spacing w:val="-4"/>
          <w:sz w:val="32"/>
          <w:szCs w:val="32"/>
          <w:highlight w:val="none"/>
          <w:lang w:eastAsia="zh-CN"/>
        </w:rPr>
        <w:t>。</w:t>
      </w:r>
    </w:p>
    <w:p w14:paraId="138A63F7">
      <w:pPr>
        <w:spacing w:line="560" w:lineRule="exact"/>
        <w:ind w:firstLine="640" w:firstLineChars="20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项目实施情况：</w:t>
      </w:r>
      <w:r>
        <w:rPr>
          <w:rFonts w:hint="eastAsia" w:ascii="Times New Roman" w:hAnsi="Times New Roman" w:eastAsia="仿宋_GB2312" w:cs="Times New Roman"/>
          <w:color w:val="auto"/>
          <w:sz w:val="32"/>
          <w:szCs w:val="32"/>
          <w:highlight w:val="none"/>
        </w:rPr>
        <w:t>项目目前已经完成实际设立的目标，项目在实施过程中严格按照目标设立的各阶段任务进行开展工作，在前期立项过程中严格把质量关，建立安全防护机制，保证项目实施各阶段安全顺利进行</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截止24年底保障我街道辖区内4个社区正常运转，提升社区服务能力</w:t>
      </w:r>
    </w:p>
    <w:p w14:paraId="7330649E">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64B8E36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4D9D792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该项目年初预算数205.00万元，全年预算数93.01万元，该项目资金已全部落实到位，</w:t>
      </w:r>
      <w:r>
        <w:rPr>
          <w:rFonts w:hint="eastAsia" w:eastAsia="仿宋_GB2312" w:cs="Times New Roman"/>
          <w:color w:val="auto"/>
          <w:sz w:val="32"/>
          <w:szCs w:val="32"/>
          <w:highlight w:val="none"/>
          <w:lang w:val="en-US" w:eastAsia="zh-CN"/>
        </w:rPr>
        <w:t>根据沙财发〔2024〕1号文件批准，项目系本级资金</w:t>
      </w:r>
      <w:r>
        <w:rPr>
          <w:rFonts w:hint="default" w:ascii="Times New Roman" w:hAnsi="Times New Roman" w:eastAsia="仿宋_GB2312" w:cs="Times New Roman"/>
          <w:color w:val="auto"/>
          <w:sz w:val="32"/>
          <w:szCs w:val="32"/>
          <w:highlight w:val="none"/>
          <w:lang w:val="en-US" w:eastAsia="zh-CN"/>
        </w:rPr>
        <w:t>。</w:t>
      </w:r>
    </w:p>
    <w:p w14:paraId="0493974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045742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该项目年初预算数205.00万元，全年预算数93.01万元，全年执行数93.01万元，预算执行率为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我街道4个社区运转经费，平均每个街道23.25万元</w:t>
      </w:r>
      <w:r>
        <w:rPr>
          <w:rFonts w:hint="default" w:ascii="Times New Roman" w:hAnsi="Times New Roman" w:eastAsia="仿宋_GB2312" w:cs="Times New Roman"/>
          <w:color w:val="auto"/>
          <w:sz w:val="32"/>
          <w:szCs w:val="32"/>
          <w:highlight w:val="none"/>
          <w:lang w:val="en-US" w:eastAsia="zh-CN"/>
        </w:rPr>
        <w:t>。</w:t>
      </w:r>
    </w:p>
    <w:p w14:paraId="46100D4F">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60CB924B">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总体目标</w:t>
      </w:r>
    </w:p>
    <w:p w14:paraId="794DBFAF">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根据社区综合治理后勤保障支出需求，保障管委会各社区的用餐支出。保障管委会社区工作人员每日用餐安全,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6"/>
          <w:rFonts w:hint="eastAsia" w:ascii="Times New Roman" w:hAnsi="Times New Roman" w:eastAsia="黑体" w:cs="Times New Roman"/>
          <w:b w:val="0"/>
          <w:bCs/>
          <w:color w:val="auto"/>
          <w:spacing w:val="-4"/>
          <w:sz w:val="32"/>
          <w:szCs w:val="32"/>
          <w:highlight w:val="none"/>
          <w:lang w:eastAsia="zh-CN"/>
        </w:rPr>
        <w:t>。</w:t>
      </w:r>
    </w:p>
    <w:p w14:paraId="16251917">
      <w:pPr>
        <w:spacing w:line="560" w:lineRule="exact"/>
        <w:ind w:firstLine="640" w:firstLineChars="200"/>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阶段性目标</w:t>
      </w:r>
    </w:p>
    <w:p w14:paraId="3A862F7A">
      <w:pPr>
        <w:spacing w:line="560" w:lineRule="exact"/>
        <w:ind w:firstLine="640" w:firstLineChars="200"/>
        <w:rPr>
          <w:rFonts w:hint="default" w:ascii="Times New Roman" w:hAnsi="Times New Roman" w:eastAsia="黑体" w:cs="Times New Roman"/>
          <w:b w:val="0"/>
          <w:bCs/>
          <w:color w:val="auto"/>
          <w:highlight w:val="none"/>
          <w:lang w:eastAsia="zh-CN"/>
        </w:rPr>
      </w:pPr>
      <w:r>
        <w:rPr>
          <w:rFonts w:hint="eastAsia" w:ascii="Times New Roman" w:hAnsi="Times New Roman" w:eastAsia="仿宋_GB2312" w:cs="Times New Roman"/>
          <w:color w:val="auto"/>
          <w:sz w:val="32"/>
          <w:szCs w:val="32"/>
          <w:highlight w:val="none"/>
          <w:lang w:val="en-US" w:eastAsia="zh-CN"/>
        </w:rPr>
        <w:t>保障</w:t>
      </w:r>
      <w:r>
        <w:rPr>
          <w:rFonts w:hint="eastAsia" w:eastAsia="仿宋_GB2312" w:cs="Times New Roman"/>
          <w:color w:val="auto"/>
          <w:sz w:val="32"/>
          <w:szCs w:val="32"/>
          <w:highlight w:val="none"/>
          <w:lang w:val="en-US" w:eastAsia="zh-CN"/>
        </w:rPr>
        <w:t>我街道辖区内4个</w:t>
      </w:r>
      <w:r>
        <w:rPr>
          <w:rFonts w:hint="eastAsia" w:ascii="Times New Roman" w:hAnsi="Times New Roman" w:eastAsia="仿宋_GB2312" w:cs="Times New Roman"/>
          <w:color w:val="auto"/>
          <w:sz w:val="32"/>
          <w:szCs w:val="32"/>
          <w:highlight w:val="none"/>
          <w:lang w:val="en-US" w:eastAsia="zh-CN"/>
        </w:rPr>
        <w:t>社区工作人员每日用餐安全,每月按照食堂实际支出予以补助，为综合整治提供有力的后勤保障。进一步加强城市社区建设，发挥社区的战斗堡垒作用，保障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r>
        <w:rPr>
          <w:rStyle w:val="16"/>
          <w:rFonts w:hint="eastAsia" w:ascii="Times New Roman" w:hAnsi="Times New Roman" w:eastAsia="黑体" w:cs="Times New Roman"/>
          <w:b w:val="0"/>
          <w:bCs/>
          <w:color w:val="auto"/>
          <w:spacing w:val="-4"/>
          <w:sz w:val="32"/>
          <w:szCs w:val="32"/>
          <w:highlight w:val="none"/>
          <w:lang w:eastAsia="zh-CN"/>
        </w:rPr>
        <w:t>。</w:t>
      </w:r>
    </w:p>
    <w:p w14:paraId="4219CEB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25D15507">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5F8BEEC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4E57CD8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4A05E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3187A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通过对项目预算执行情况及各项绩效目标达成程度的系统性分析，全面、客观地评估项目在预定周期内的实施效果，包括社会效益，为项目后续的改进与优化提供科学依据。</w:t>
      </w:r>
    </w:p>
    <w:p w14:paraId="2F4473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753B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4D9115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6E434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21104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64E69A4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本项目预算绩效评价报告的评价对象是社区工作经费及其预算执行情况。该项目由乌鲁木齐市沙依巴克区长胜</w:t>
      </w:r>
      <w:r>
        <w:rPr>
          <w:rFonts w:hint="eastAsia" w:ascii="Times New Roman" w:hAnsi="Times New Roman" w:eastAsia="仿宋_GB2312" w:cs="Times New Roman"/>
          <w:b w:val="0"/>
          <w:bCs w:val="0"/>
          <w:color w:val="auto"/>
          <w:highlight w:val="none"/>
          <w:lang w:val="en-US" w:eastAsia="zh-CN"/>
        </w:rPr>
        <w:t>南</w:t>
      </w:r>
      <w:r>
        <w:rPr>
          <w:rFonts w:hint="default" w:ascii="Times New Roman" w:hAnsi="Times New Roman" w:eastAsia="仿宋_GB2312" w:cs="Times New Roman"/>
          <w:b w:val="0"/>
          <w:bCs w:val="0"/>
          <w:color w:val="auto"/>
          <w:highlight w:val="none"/>
        </w:rPr>
        <w:t>片区管理委员会负责实施，旨在</w:t>
      </w:r>
      <w:r>
        <w:rPr>
          <w:rFonts w:hint="eastAsia" w:ascii="Times New Roman" w:hAnsi="Times New Roman" w:eastAsia="仿宋_GB2312" w:cs="Times New Roman"/>
          <w:b w:val="0"/>
          <w:bCs w:val="0"/>
          <w:color w:val="auto"/>
          <w:highlight w:val="none"/>
          <w:lang w:val="en-US" w:eastAsia="zh-CN"/>
        </w:rPr>
        <w:t>保障我街道4个社区工作正常开展</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2024年1月1日</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93.01</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324B40BD">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3F83EA6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19EB23D8">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267E8AEF">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19E01CD2">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1E59BB39">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07793574">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48E398F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5AC985B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3321091D">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6E20F725">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16346F8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5CDA7C09">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34D246A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3AE91BB1">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1D02F59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3EC09052">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4ADEEF2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74E07D02">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6FA1C4A1">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7CBC3BBF">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23FDC03B">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18CE842B">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具体评价指标体系详情见附件1</w:t>
      </w:r>
    </w:p>
    <w:p w14:paraId="2C736C5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4EF86CD3">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D549DA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192B2D6E">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 xml:space="preserve">（一）成本效益分析法。是指将投入与产出、效益进行关联性分析的方法。 </w:t>
      </w:r>
    </w:p>
    <w:p w14:paraId="4440403D">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（二）比较法。是指将实施情况与绩效目标、历史情况、不同部门和地区同类支出情况进行比较的方法。</w:t>
      </w:r>
    </w:p>
    <w:p w14:paraId="6AFCA54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（三）因素分析法。是指综合分析影响绩效目标实现、实施效果的内外部因素的方法。</w:t>
      </w:r>
    </w:p>
    <w:p w14:paraId="5728647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7355B2F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22653DC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lang w:val="en-US" w:eastAsia="zh-CN"/>
        </w:rPr>
        <w:t>1</w:t>
      </w:r>
      <w:r>
        <w:rPr>
          <w:rFonts w:hint="default"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计划标准。指以预先制定的目标、计划、预算、定额等作为评价标准。</w:t>
      </w:r>
    </w:p>
    <w:p w14:paraId="16A6311D">
      <w:pPr>
        <w:pStyle w:val="10"/>
        <w:numPr>
          <w:ilvl w:val="0"/>
          <w:numId w:val="2"/>
        </w:numPr>
        <w:spacing w:before="0" w:after="0" w:line="560" w:lineRule="exact"/>
        <w:ind w:firstLine="711" w:firstLineChars="20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5C2BE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31FCA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w:t>
      </w:r>
      <w:r>
        <w:rPr>
          <w:rFonts w:hint="eastAsia" w:eastAsia="仿宋_GB2312" w:cs="Times New Roman"/>
          <w:color w:val="auto"/>
          <w:sz w:val="32"/>
          <w:szCs w:val="32"/>
          <w:highlight w:val="none"/>
          <w:lang w:val="en-US" w:eastAsia="zh-CN"/>
        </w:rPr>
        <w:t>社区负责人</w:t>
      </w:r>
      <w:r>
        <w:rPr>
          <w:rFonts w:hint="default" w:ascii="Times New Roman" w:hAnsi="Times New Roman" w:eastAsia="仿宋_GB2312" w:cs="Times New Roman"/>
          <w:color w:val="auto"/>
          <w:sz w:val="32"/>
          <w:szCs w:val="32"/>
          <w:highlight w:val="none"/>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42502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10D60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5A220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51CCA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68B78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5BD08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7B41959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68825DF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本项目的综合评价基于对项目各方面绩效的深入分析与评估。从项目目标的达成情况来看，社区经费在</w:t>
      </w:r>
      <w:r>
        <w:rPr>
          <w:rFonts w:hint="eastAsia" w:eastAsia="仿宋_GB2312" w:cs="Times New Roman"/>
          <w:color w:val="auto"/>
          <w:sz w:val="32"/>
          <w:szCs w:val="32"/>
          <w:highlight w:val="none"/>
          <w:lang w:val="en-US" w:eastAsia="zh-CN"/>
        </w:rPr>
        <w:t>保障社区数量</w:t>
      </w:r>
      <w:r>
        <w:rPr>
          <w:rFonts w:hint="default" w:ascii="Times New Roman" w:hAnsi="Times New Roman" w:eastAsia="仿宋_GB2312" w:cs="Times New Roman"/>
          <w:color w:val="auto"/>
          <w:sz w:val="32"/>
          <w:szCs w:val="32"/>
          <w:highlight w:val="none"/>
        </w:rPr>
        <w:t>、经费支出合理性等方面表现出色，达到了预期的标准与要求。同时，项目也在提供充足的社区经费，用以保障辖区居民生活安全和提升幸福感取得了显著的成效，如经费支出合理性、经费支付及时性等。</w:t>
      </w:r>
    </w:p>
    <w:p w14:paraId="2E9EF15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在项目管理方面，乌鲁木齐市沙依巴克区长胜</w:t>
      </w:r>
      <w:r>
        <w:rPr>
          <w:rFonts w:hint="eastAsia" w:eastAsia="仿宋_GB2312" w:cs="Times New Roman"/>
          <w:color w:val="auto"/>
          <w:sz w:val="32"/>
          <w:szCs w:val="32"/>
          <w:highlight w:val="none"/>
          <w:lang w:val="en-US" w:eastAsia="zh-CN"/>
        </w:rPr>
        <w:t>南</w:t>
      </w:r>
      <w:r>
        <w:rPr>
          <w:rFonts w:hint="default" w:ascii="Times New Roman" w:hAnsi="Times New Roman" w:eastAsia="仿宋_GB2312" w:cs="Times New Roman"/>
          <w:color w:val="auto"/>
          <w:sz w:val="32"/>
          <w:szCs w:val="32"/>
          <w:highlight w:val="none"/>
        </w:rPr>
        <w:t>片区管理委员会通过有效的规划、组织与协调，项目得以顺利实施，并在预算与时间上保持了良好的控制。</w:t>
      </w:r>
    </w:p>
    <w:p w14:paraId="2C57A2A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从项目效益的角度来看，本项目不仅实现了预期的社会效益方面产生了积极的影响。具体而言，提升社区服务能力</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保障社区工作正常运转</w:t>
      </w:r>
      <w:r>
        <w:rPr>
          <w:rFonts w:hint="default" w:ascii="Times New Roman" w:hAnsi="Times New Roman" w:eastAsia="仿宋_GB2312" w:cs="Times New Roman"/>
          <w:color w:val="auto"/>
          <w:sz w:val="32"/>
          <w:szCs w:val="32"/>
          <w:highlight w:val="none"/>
        </w:rPr>
        <w:t>方面的提升，为项目的利益相关者带来了实实在在的利益。</w:t>
      </w:r>
    </w:p>
    <w:p w14:paraId="658712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综上所述，社区工作经费在绩效评价中表现出色，达到了项目的预期目标，并在多个方面取得了显著的成效。</w:t>
      </w:r>
    </w:p>
    <w:p w14:paraId="54598732">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0AD22873">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分，属于“优”。其中，项目决策类指标权重为20分，得分为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0DA8308E">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28F9F1EC">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C69E152">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274679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5E4DA57">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96F2C81">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0F6F05C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7ECC274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099" w:type="pct"/>
            <w:tcBorders>
              <w:top w:val="nil"/>
              <w:left w:val="nil"/>
              <w:bottom w:val="single" w:color="auto" w:sz="4" w:space="0"/>
              <w:right w:val="single" w:color="auto" w:sz="4" w:space="0"/>
            </w:tcBorders>
            <w:shd w:val="clear" w:color="auto" w:fill="auto"/>
            <w:vAlign w:val="center"/>
          </w:tcPr>
          <w:p w14:paraId="2BE7F794">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7BBDC4C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E0E0EDA">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0F91EAE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2891ECBD">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099" w:type="pct"/>
            <w:tcBorders>
              <w:top w:val="nil"/>
              <w:left w:val="nil"/>
              <w:bottom w:val="single" w:color="auto" w:sz="4" w:space="0"/>
              <w:right w:val="single" w:color="auto" w:sz="4" w:space="0"/>
            </w:tcBorders>
            <w:shd w:val="clear" w:color="auto" w:fill="auto"/>
            <w:vAlign w:val="center"/>
          </w:tcPr>
          <w:p w14:paraId="6671F305">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4F78E977">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286F0E6B">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C5E97E9">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5B6ACF1C">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099" w:type="pct"/>
            <w:tcBorders>
              <w:top w:val="nil"/>
              <w:left w:val="nil"/>
              <w:bottom w:val="single" w:color="auto" w:sz="4" w:space="0"/>
              <w:right w:val="single" w:color="auto" w:sz="4" w:space="0"/>
            </w:tcBorders>
            <w:shd w:val="clear" w:color="auto" w:fill="auto"/>
            <w:vAlign w:val="center"/>
          </w:tcPr>
          <w:p w14:paraId="41CBF47B">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F3CC7FC">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1154" w:type="pct"/>
            <w:tcBorders>
              <w:top w:val="nil"/>
              <w:left w:val="nil"/>
              <w:bottom w:val="single" w:color="auto" w:sz="4" w:space="0"/>
              <w:right w:val="single" w:color="auto" w:sz="4" w:space="0"/>
            </w:tcBorders>
            <w:shd w:val="clear" w:color="auto" w:fill="auto"/>
            <w:vAlign w:val="center"/>
          </w:tcPr>
          <w:p w14:paraId="60AC4EC6">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AF0D2B7">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45C36318">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099" w:type="pct"/>
            <w:tcBorders>
              <w:top w:val="nil"/>
              <w:left w:val="nil"/>
              <w:bottom w:val="single" w:color="auto" w:sz="4" w:space="0"/>
              <w:right w:val="single" w:color="auto" w:sz="4" w:space="0"/>
            </w:tcBorders>
            <w:shd w:val="clear" w:color="auto" w:fill="auto"/>
            <w:vAlign w:val="center"/>
          </w:tcPr>
          <w:p w14:paraId="2F0F35F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776DF05">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1154" w:type="pct"/>
            <w:tcBorders>
              <w:top w:val="nil"/>
              <w:left w:val="nil"/>
              <w:bottom w:val="single" w:color="auto" w:sz="4" w:space="0"/>
              <w:right w:val="single" w:color="auto" w:sz="4" w:space="0"/>
            </w:tcBorders>
            <w:shd w:val="clear" w:color="auto" w:fill="auto"/>
            <w:vAlign w:val="center"/>
          </w:tcPr>
          <w:p w14:paraId="1F715460">
            <w:pPr>
              <w:jc w:val="center"/>
              <w:rPr>
                <w:rFonts w:hint="default" w:ascii="Times New Roman" w:hAnsi="Times New Roman" w:eastAsia="仿宋_GB2312" w:cs="Times New Roman"/>
                <w:color w:val="auto"/>
                <w:sz w:val="21"/>
                <w:szCs w:val="21"/>
                <w:highlight w:val="none"/>
              </w:rPr>
            </w:pPr>
            <w:r>
              <w:rPr>
                <w:rFonts w:hint="eastAsia" w:eastAsia="仿宋_GB2312" w:cs="Times New Roman"/>
                <w:color w:val="auto"/>
                <w:sz w:val="21"/>
                <w:szCs w:val="21"/>
                <w:highlight w:val="none"/>
                <w:lang w:val="en-US" w:eastAsia="zh-CN"/>
              </w:rPr>
              <w:t>100%</w:t>
            </w:r>
          </w:p>
        </w:tc>
      </w:tr>
      <w:tr w14:paraId="1E117260">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shd w:val="clear" w:color="auto" w:fill="auto"/>
            <w:vAlign w:val="center"/>
          </w:tcPr>
          <w:p w14:paraId="334A823A">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099" w:type="pct"/>
            <w:tcBorders>
              <w:top w:val="nil"/>
              <w:left w:val="nil"/>
              <w:bottom w:val="single" w:color="auto" w:sz="4" w:space="0"/>
              <w:right w:val="single" w:color="auto" w:sz="4" w:space="0"/>
            </w:tcBorders>
            <w:shd w:val="clear" w:color="auto" w:fill="auto"/>
            <w:vAlign w:val="center"/>
          </w:tcPr>
          <w:p w14:paraId="672AFE79">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49441720">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1154" w:type="pct"/>
            <w:tcBorders>
              <w:top w:val="nil"/>
              <w:left w:val="nil"/>
              <w:bottom w:val="single" w:color="auto" w:sz="4" w:space="0"/>
              <w:right w:val="single" w:color="auto" w:sz="4" w:space="0"/>
            </w:tcBorders>
            <w:shd w:val="clear" w:color="auto" w:fill="auto"/>
            <w:vAlign w:val="center"/>
          </w:tcPr>
          <w:p w14:paraId="69B1C941">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r>
    </w:tbl>
    <w:p w14:paraId="70F62D1C">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0E41E5C">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587CC5E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0D3B82D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546A8D9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497764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6F9EC0D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7050F0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1B562BB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5B123CD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w:t>
      </w:r>
      <w:r>
        <w:rPr>
          <w:rFonts w:hint="eastAsia" w:eastAsia="仿宋_GB2312" w:cs="Times New Roman"/>
          <w:color w:val="auto"/>
          <w:sz w:val="32"/>
          <w:szCs w:val="32"/>
          <w:highlight w:val="none"/>
          <w:lang w:val="en-US" w:eastAsia="zh-CN"/>
        </w:rPr>
        <w:t>数</w:t>
      </w:r>
      <w:r>
        <w:rPr>
          <w:rFonts w:hint="eastAsia" w:ascii="Times New Roman" w:hAnsi="Times New Roman" w:eastAsia="仿宋_GB2312" w:cs="Times New Roman"/>
          <w:color w:val="auto"/>
          <w:sz w:val="32"/>
          <w:szCs w:val="32"/>
          <w:highlight w:val="none"/>
          <w:lang w:val="en-US" w:eastAsia="zh-CN"/>
        </w:rPr>
        <w:t>量指标：所辖资金使用对象社区数量4个。质量指标：经费支出合</w:t>
      </w:r>
      <w:r>
        <w:rPr>
          <w:rFonts w:hint="eastAsia" w:eastAsia="仿宋_GB2312" w:cs="Times New Roman"/>
          <w:color w:val="auto"/>
          <w:sz w:val="32"/>
          <w:szCs w:val="32"/>
          <w:highlight w:val="none"/>
          <w:lang w:val="en-US" w:eastAsia="zh-CN"/>
        </w:rPr>
        <w:t>规</w:t>
      </w:r>
      <w:r>
        <w:rPr>
          <w:rFonts w:hint="eastAsia" w:ascii="Times New Roman" w:hAnsi="Times New Roman" w:eastAsia="仿宋_GB2312" w:cs="Times New Roman"/>
          <w:color w:val="auto"/>
          <w:sz w:val="32"/>
          <w:szCs w:val="32"/>
          <w:highlight w:val="none"/>
          <w:lang w:val="en-US" w:eastAsia="zh-CN"/>
        </w:rPr>
        <w:t>性&gt;=95%。时效指标：经费支付及时性&gt;=95%。经济成本指标：所辖各社区经费平均标准&lt;=23.25万元。社会效益指标：提供充足的社区经费，用以保障辖区居民生活安全和提升幸福感，有效提升。提升社区服务能力，有效提升。满意度指标：辖区居民满意度&gt;=95%。</w:t>
      </w:r>
      <w:r>
        <w:rPr>
          <w:rFonts w:hint="default" w:ascii="Times New Roman" w:hAnsi="Times New Roman" w:eastAsia="仿宋_GB2312" w:cs="Times New Roman"/>
          <w:color w:val="auto"/>
          <w:sz w:val="32"/>
          <w:szCs w:val="32"/>
          <w:highlight w:val="none"/>
          <w:lang w:val="en-US" w:eastAsia="zh-CN"/>
        </w:rPr>
        <w:t>绩效目标与项目目标任务数相对应，绩效目标设定的绩效指标清晰、细化、可衡量。</w:t>
      </w:r>
    </w:p>
    <w:p w14:paraId="33A1147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1C019F4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（1）预算编制科学性</w:t>
      </w:r>
    </w:p>
    <w:p w14:paraId="626E1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在预算编制过程中，</w:t>
      </w:r>
      <w:r>
        <w:rPr>
          <w:rFonts w:hint="default" w:ascii="Times New Roman" w:hAnsi="Times New Roman" w:eastAsia="仿宋_GB2312" w:cs="Times New Roman"/>
          <w:color w:val="auto"/>
          <w:sz w:val="32"/>
          <w:szCs w:val="32"/>
          <w:highlight w:val="none"/>
          <w:lang w:val="en-US" w:eastAsia="zh-CN"/>
        </w:rPr>
        <w:t>还</w:t>
      </w:r>
      <w:r>
        <w:rPr>
          <w:rFonts w:hint="default" w:ascii="Times New Roman" w:hAnsi="Times New Roman" w:eastAsia="仿宋_GB2312" w:cs="Times New Roman"/>
          <w:color w:val="auto"/>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（2）资金分配合理性</w:t>
      </w:r>
    </w:p>
    <w:p w14:paraId="09A0F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217CF8C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48574C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290DB0E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7BEFCB0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本项目总投资93.01万元，财政资金及时足额到位，到位率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于2024年12月全部到位，用于支付我街道辖区内4个社区每月公用经费支出。</w:t>
      </w:r>
    </w:p>
    <w:p w14:paraId="2DFB9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79A1A39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预算编制较为详细，项目资金支出总体能够按照预算执行，预算资金支出93.01万元，预算执行率为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用于支付我街道辖区内4个社区每月公用经费支出。</w:t>
      </w:r>
    </w:p>
    <w:p w14:paraId="68A681F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7F3A7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18A7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264496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60CF8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在制度设计上，我们注重了制度的科学性与可操作性，确保制度能够切实指导项目的执行与管理。</w:t>
      </w:r>
    </w:p>
    <w:p w14:paraId="7AB0C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（2）制度执行有效性</w:t>
      </w:r>
    </w:p>
    <w:p w14:paraId="3C68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336D5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76389D37">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10DDFCB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个三级指标构成，权重分为40分，实际得分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5ACEDBA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5DFFFE1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指标1：所辖资金使用对象社区数量 ，指标值：</w:t>
      </w:r>
      <w:r>
        <w:rPr>
          <w:rFonts w:hint="eastAsia" w:eastAsia="仿宋_GB2312" w:cs="Times New Roman"/>
          <w:color w:val="auto"/>
          <w:sz w:val="32"/>
          <w:szCs w:val="32"/>
          <w:highlight w:val="none"/>
          <w:lang w:val="en-US" w:eastAsia="zh-CN"/>
        </w:rPr>
        <w:t>4个</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4个</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该条指标截止24年底完成较好，无偏差。4个社区分别为安泰社区，薛家槽北社区，荣泽社区，惠达社区。保障四个社区各项工作正常开展。</w:t>
      </w:r>
    </w:p>
    <w:p w14:paraId="0662522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683C5A2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指标1：经费支出合</w:t>
      </w:r>
      <w:r>
        <w:rPr>
          <w:rFonts w:hint="eastAsia" w:eastAsia="仿宋_GB2312" w:cs="Times New Roman"/>
          <w:color w:val="auto"/>
          <w:sz w:val="32"/>
          <w:szCs w:val="32"/>
          <w:highlight w:val="none"/>
          <w:lang w:val="en-US" w:eastAsia="zh-CN"/>
        </w:rPr>
        <w:t>规</w:t>
      </w:r>
      <w:r>
        <w:rPr>
          <w:rFonts w:hint="default" w:ascii="Times New Roman" w:hAnsi="Times New Roman" w:eastAsia="仿宋_GB2312" w:cs="Times New Roman"/>
          <w:color w:val="auto"/>
          <w:sz w:val="32"/>
          <w:szCs w:val="32"/>
          <w:highlight w:val="none"/>
        </w:rPr>
        <w:t>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6B8C846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70AA996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指标1：经费支付及时性 ，指标值：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该条指标截止24年底完成较好，无偏差。按时支付辖区内四个社区所需各项经费。</w:t>
      </w:r>
    </w:p>
    <w:p w14:paraId="2EBC500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61D02E9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指标1：所辖各社区经费平均标准 ，指标值：</w:t>
      </w:r>
      <w:r>
        <w:rPr>
          <w:rFonts w:hint="eastAsia" w:eastAsia="仿宋_GB2312" w:cs="Times New Roman"/>
          <w:color w:val="auto"/>
          <w:sz w:val="32"/>
          <w:szCs w:val="32"/>
          <w:highlight w:val="none"/>
          <w:lang w:val="en-US" w:eastAsia="zh-CN"/>
        </w:rPr>
        <w:t>&lt;=23.25万元</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23.25万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本项目实际支出</w:t>
      </w:r>
      <w:r>
        <w:rPr>
          <w:rFonts w:hint="eastAsia" w:eastAsia="仿宋_GB2312" w:cs="Times New Roman"/>
          <w:color w:val="auto"/>
          <w:sz w:val="32"/>
          <w:szCs w:val="32"/>
          <w:highlight w:val="none"/>
          <w:lang w:val="en-US" w:eastAsia="zh-CN"/>
        </w:rPr>
        <w:t>93.01</w:t>
      </w:r>
      <w:r>
        <w:rPr>
          <w:rFonts w:hint="eastAsia"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平均每个社区23.25万元。</w:t>
      </w:r>
      <w:r>
        <w:rPr>
          <w:rFonts w:hint="eastAsia" w:ascii="Times New Roman" w:hAnsi="Times New Roman" w:eastAsia="仿宋_GB2312" w:cs="Times New Roman"/>
          <w:color w:val="auto"/>
          <w:sz w:val="32"/>
          <w:szCs w:val="32"/>
          <w:highlight w:val="none"/>
          <w:lang w:val="en-US" w:eastAsia="zh-CN"/>
        </w:rPr>
        <w:t>无超支情况，项目资金全部完成</w:t>
      </w:r>
      <w:r>
        <w:rPr>
          <w:rFonts w:hint="eastAsia" w:eastAsia="仿宋_GB2312" w:cs="Times New Roman"/>
          <w:color w:val="auto"/>
          <w:sz w:val="32"/>
          <w:szCs w:val="32"/>
          <w:highlight w:val="none"/>
          <w:lang w:val="en-US" w:eastAsia="zh-CN"/>
        </w:rPr>
        <w:t>。</w:t>
      </w:r>
    </w:p>
    <w:p w14:paraId="02EAEAEB">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7609BB2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个三级指标构成，权重分为20分，实际得分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1B5A52E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1.实施效益</w:t>
      </w:r>
    </w:p>
    <w:p w14:paraId="0548C5C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经济效益指标：</w:t>
      </w:r>
    </w:p>
    <w:p w14:paraId="42215DC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5F42897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②</w:t>
      </w:r>
      <w:r>
        <w:rPr>
          <w:rFonts w:hint="default" w:ascii="Times New Roman" w:hAnsi="Times New Roman" w:eastAsia="仿宋_GB2312" w:cs="Times New Roman"/>
          <w:color w:val="auto"/>
          <w:sz w:val="32"/>
          <w:szCs w:val="32"/>
          <w:highlight w:val="none"/>
        </w:rPr>
        <w:t>社会效益指标：</w:t>
      </w:r>
    </w:p>
    <w:p w14:paraId="0CDA1BBD">
      <w:pPr>
        <w:shd w:val="clear"/>
        <w:spacing w:line="600" w:lineRule="exact"/>
        <w:ind w:firstLine="640" w:firstLineChars="200"/>
        <w:outlineLvl w:val="0"/>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指标1：提供充足的社区经费，用以保障辖区居民生活安全和提升幸福感，指标值：</w:t>
      </w:r>
      <w:r>
        <w:rPr>
          <w:rFonts w:hint="eastAsia" w:eastAsia="仿宋_GB2312" w:cs="Times New Roman"/>
          <w:color w:val="auto"/>
          <w:sz w:val="32"/>
          <w:szCs w:val="32"/>
          <w:highlight w:val="none"/>
          <w:lang w:val="en-US" w:eastAsia="zh-CN"/>
        </w:rPr>
        <w:t>有效提升和保障</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r>
        <w:rPr>
          <w:rFonts w:hint="eastAsia" w:ascii="Times New Roman" w:hAnsi="Times New Roman" w:eastAsia="仿宋_GB2312" w:cs="Times New Roman"/>
          <w:color w:val="auto"/>
          <w:sz w:val="32"/>
          <w:szCs w:val="32"/>
          <w:highlight w:val="none"/>
          <w:lang w:val="en-US" w:eastAsia="zh-CN"/>
        </w:rPr>
        <w:t>有效保障辖区内4个社区为民提供社区服务，供给充足的社区经费，用以保障辖区居民生活安全和提升幸福感</w:t>
      </w:r>
      <w:r>
        <w:rPr>
          <w:rFonts w:hint="eastAsia" w:eastAsia="仿宋_GB2312" w:cs="Times New Roman"/>
          <w:color w:val="auto"/>
          <w:sz w:val="32"/>
          <w:szCs w:val="32"/>
          <w:highlight w:val="none"/>
          <w:lang w:val="en-US" w:eastAsia="zh-CN"/>
        </w:rPr>
        <w:t>。</w:t>
      </w:r>
    </w:p>
    <w:p w14:paraId="7584BBDA">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：提升社区服务能力，指标值：</w:t>
      </w:r>
      <w:r>
        <w:rPr>
          <w:rFonts w:hint="eastAsia" w:eastAsia="仿宋_GB2312" w:cs="Times New Roman"/>
          <w:color w:val="auto"/>
          <w:sz w:val="32"/>
          <w:szCs w:val="32"/>
          <w:highlight w:val="none"/>
          <w:lang w:val="en-US" w:eastAsia="zh-CN"/>
        </w:rPr>
        <w:t>有效提升</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完全达到预期指标</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该条指标截止24年底完成较好，无偏差。通过此项目开展保障全局机构正常运行，提高各</w:t>
      </w:r>
      <w:r>
        <w:rPr>
          <w:rFonts w:hint="default" w:ascii="Times New Roman" w:hAnsi="Times New Roman" w:eastAsia="仿宋_GB2312" w:cs="Times New Roman"/>
          <w:color w:val="auto"/>
          <w:sz w:val="32"/>
          <w:szCs w:val="32"/>
          <w:highlight w:val="none"/>
        </w:rPr>
        <w:t>社区服务能力</w:t>
      </w:r>
      <w:r>
        <w:rPr>
          <w:rFonts w:hint="eastAsia" w:eastAsia="仿宋_GB2312" w:cs="Times New Roman"/>
          <w:color w:val="auto"/>
          <w:sz w:val="32"/>
          <w:szCs w:val="32"/>
          <w:highlight w:val="none"/>
          <w:lang w:eastAsia="zh-CN"/>
        </w:rPr>
        <w:t>。</w:t>
      </w:r>
    </w:p>
    <w:p w14:paraId="0A4F5FE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③生态效益指标：</w:t>
      </w:r>
    </w:p>
    <w:p w14:paraId="05C6A8F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2024年该项目不涉及此条指标</w:t>
      </w:r>
    </w:p>
    <w:p w14:paraId="76ED1F9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2.满意度</w:t>
      </w:r>
    </w:p>
    <w:p w14:paraId="3382C70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指标1：辖区居民满意度</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指标值：</w:t>
      </w:r>
      <w:r>
        <w:rPr>
          <w:rFonts w:hint="eastAsia" w:eastAsia="仿宋_GB2312" w:cs="Times New Roman"/>
          <w:color w:val="auto"/>
          <w:sz w:val="32"/>
          <w:szCs w:val="32"/>
          <w:highlight w:val="none"/>
          <w:lang w:val="en-US" w:eastAsia="zh-CN"/>
        </w:rPr>
        <w:t>&gt;=95%</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该条指标截止24年底完成较好，无偏差</w:t>
      </w:r>
    </w:p>
    <w:p w14:paraId="4E8E84AD">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57CD9149">
      <w:pPr>
        <w:pStyle w:val="19"/>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社区工作经费</w:t>
      </w:r>
      <w:r>
        <w:rPr>
          <w:rFonts w:hint="default" w:ascii="Times New Roman" w:hAnsi="Times New Roman" w:eastAsia="方正仿宋_GBK" w:cs="Times New Roman"/>
          <w:color w:val="auto"/>
          <w:sz w:val="32"/>
          <w:szCs w:val="32"/>
          <w:highlight w:val="none"/>
        </w:rPr>
        <w:t>项目年初预算</w:t>
      </w:r>
      <w:r>
        <w:rPr>
          <w:rFonts w:hint="default" w:ascii="Times New Roman" w:hAnsi="Times New Roman" w:eastAsia="方正仿宋_GBK" w:cs="Times New Roman"/>
          <w:color w:val="auto"/>
          <w:sz w:val="32"/>
          <w:szCs w:val="32"/>
          <w:highlight w:val="none"/>
          <w:lang w:val="en-US" w:eastAsia="zh-CN"/>
        </w:rPr>
        <w:t>205</w:t>
      </w:r>
      <w:r>
        <w:rPr>
          <w:rFonts w:hint="default" w:ascii="Times New Roman" w:hAnsi="Times New Roman" w:eastAsia="方正仿宋_GBK" w:cs="Times New Roman"/>
          <w:color w:val="auto"/>
          <w:sz w:val="32"/>
          <w:szCs w:val="32"/>
          <w:highlight w:val="none"/>
        </w:rPr>
        <w:t>万元，全年预算</w:t>
      </w:r>
      <w:r>
        <w:rPr>
          <w:rFonts w:hint="default" w:ascii="Times New Roman" w:hAnsi="Times New Roman" w:eastAsia="方正仿宋_GBK" w:cs="Times New Roman"/>
          <w:color w:val="auto"/>
          <w:sz w:val="32"/>
          <w:szCs w:val="32"/>
          <w:highlight w:val="none"/>
          <w:lang w:val="en-US" w:eastAsia="zh-CN"/>
        </w:rPr>
        <w:t>93.01</w:t>
      </w:r>
      <w:r>
        <w:rPr>
          <w:rFonts w:hint="default" w:ascii="Times New Roman" w:hAnsi="Times New Roman" w:eastAsia="方正仿宋_GBK" w:cs="Times New Roman"/>
          <w:color w:val="auto"/>
          <w:sz w:val="32"/>
          <w:szCs w:val="32"/>
          <w:highlight w:val="none"/>
        </w:rPr>
        <w:t>万元，实际支出</w:t>
      </w:r>
      <w:r>
        <w:rPr>
          <w:rFonts w:hint="default" w:ascii="Times New Roman" w:hAnsi="Times New Roman" w:eastAsia="方正仿宋_GBK" w:cs="Times New Roman"/>
          <w:color w:val="auto"/>
          <w:sz w:val="32"/>
          <w:szCs w:val="32"/>
          <w:highlight w:val="none"/>
          <w:lang w:val="en-US" w:eastAsia="zh-CN"/>
        </w:rPr>
        <w:t>93.01</w:t>
      </w:r>
      <w:r>
        <w:rPr>
          <w:rFonts w:hint="default" w:ascii="Times New Roman" w:hAnsi="Times New Roman" w:eastAsia="方正仿宋_GBK" w:cs="Times New Roman"/>
          <w:color w:val="auto"/>
          <w:sz w:val="32"/>
          <w:szCs w:val="32"/>
          <w:highlight w:val="none"/>
        </w:rPr>
        <w:t>万元，预算执行率为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%，项目绩效指标总体完成率为</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Hans"/>
        </w:rPr>
        <w:t>总体</w:t>
      </w:r>
      <w:r>
        <w:rPr>
          <w:rFonts w:hint="default" w:ascii="Times New Roman" w:hAnsi="Times New Roman" w:eastAsia="方正仿宋_GBK" w:cs="Times New Roman"/>
          <w:color w:val="auto"/>
          <w:sz w:val="32"/>
          <w:szCs w:val="32"/>
          <w:highlight w:val="none"/>
        </w:rPr>
        <w:t>偏差率为</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r>
        <w:rPr>
          <w:rFonts w:hint="eastAsia" w:ascii="Times New Roman" w:hAnsi="Times New Roman" w:cs="Times New Roman"/>
          <w:color w:val="auto"/>
          <w:highlight w:val="none"/>
          <w:lang w:eastAsia="zh-CN"/>
        </w:rPr>
        <w:t>，</w:t>
      </w:r>
      <w:r>
        <w:rPr>
          <w:rFonts w:hint="eastAsia" w:eastAsia="仿宋_GB2312" w:cs="Times New Roman"/>
          <w:color w:val="auto"/>
          <w:sz w:val="32"/>
          <w:szCs w:val="32"/>
          <w:highlight w:val="none"/>
          <w:lang w:val="en-US" w:eastAsia="zh-CN"/>
        </w:rPr>
        <w:t>该项目截止24年底完成较好，无偏差</w:t>
      </w:r>
      <w:r>
        <w:rPr>
          <w:rFonts w:hint="default" w:ascii="Times New Roman" w:hAnsi="Times New Roman" w:eastAsia="方正仿宋_GBK" w:cs="Times New Roman"/>
          <w:color w:val="auto"/>
          <w:sz w:val="32"/>
          <w:szCs w:val="32"/>
          <w:highlight w:val="none"/>
        </w:rPr>
        <w:t>。</w:t>
      </w:r>
    </w:p>
    <w:p w14:paraId="5DED8768">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5F9FADCA">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5A952AA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default" w:ascii="Times New Roman" w:hAnsi="Times New Roman" w:eastAsia="仿宋_GB2312" w:cs="Times New Roman"/>
          <w:b w:val="0"/>
          <w:bCs w:val="0"/>
          <w:color w:val="auto"/>
          <w:kern w:val="2"/>
          <w:highlight w:val="none"/>
        </w:rPr>
        <w:t>严格坚持先做事、后验收、再拨付的原则，</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pPr>
        <w:keepNext/>
        <w:keepLines/>
        <w:numPr>
          <w:ilvl w:val="0"/>
          <w:numId w:val="5"/>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47643AF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2.因轮岗、调动</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因素使我单位绩效工作人员流动频繁，</w:t>
      </w:r>
      <w:r>
        <w:rPr>
          <w:rFonts w:hint="eastAsia" w:ascii="Times New Roman" w:hAnsi="Times New Roman" w:eastAsia="仿宋_GB2312" w:cs="Times New Roman"/>
          <w:color w:val="auto"/>
          <w:sz w:val="32"/>
          <w:szCs w:val="32"/>
          <w:highlight w:val="none"/>
          <w:lang w:val="en-US" w:eastAsia="zh-CN"/>
        </w:rPr>
        <w:t>造成</w:t>
      </w:r>
      <w:r>
        <w:rPr>
          <w:rFonts w:hint="default" w:ascii="Times New Roman" w:hAnsi="Times New Roman" w:eastAsia="仿宋_GB2312" w:cs="Times New Roman"/>
          <w:color w:val="auto"/>
          <w:sz w:val="32"/>
          <w:szCs w:val="32"/>
          <w:highlight w:val="none"/>
          <w:lang w:val="en-US" w:eastAsia="zh-CN"/>
        </w:rPr>
        <w:t>工作衔接不到位的情况。</w:t>
      </w:r>
    </w:p>
    <w:p w14:paraId="581D1A14">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5E3DE75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1.多进行有关绩效管理工作方面的培训。积极组织第三方开展绩效管理工作培训，进一步夯实业务基础，提高我单位绩效人员水平。</w:t>
      </w:r>
    </w:p>
    <w:p w14:paraId="1697160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2.专门设定对绩效工作人员定职、定岗、定责等相关制度措施，进一步提升我单位绩效管理工作业务水平，扎实做好绩效管理工作。</w:t>
      </w:r>
    </w:p>
    <w:p w14:paraId="387A772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pPr>
        <w:shd w:val="clear"/>
        <w:spacing w:line="600" w:lineRule="exact"/>
        <w:ind w:firstLine="640" w:firstLineChars="200"/>
        <w:outlineLvl w:val="0"/>
        <w:rPr>
          <w:rFonts w:hint="default" w:ascii="Times New Roman" w:hAnsi="Times New Roman" w:cs="Times New Roman"/>
          <w:color w:val="auto"/>
          <w:sz w:val="22"/>
          <w:szCs w:val="28"/>
          <w:highlight w:val="none"/>
        </w:rPr>
      </w:pPr>
      <w:r>
        <w:rPr>
          <w:rFonts w:hint="default" w:ascii="Times New Roman" w:hAnsi="Times New Roman" w:eastAsia="仿宋_GB2312" w:cs="Times New Roman"/>
          <w:color w:val="auto"/>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color w:val="auto"/>
          <w:sz w:val="36"/>
          <w:szCs w:val="32"/>
          <w:highlight w:val="none"/>
        </w:rPr>
        <w:t>。</w:t>
      </w:r>
    </w:p>
    <w:p w14:paraId="3AB05DC2">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0" w:name="page8"/>
      <w:bookmarkEnd w:id="0"/>
      <w:r>
        <w:rPr>
          <w:rFonts w:hint="default" w:ascii="Times New Roman" w:hAnsi="Times New Roman" w:eastAsia="黑体" w:cs="Times New Roman"/>
          <w:color w:val="auto"/>
          <w:sz w:val="32"/>
          <w:szCs w:val="32"/>
          <w:highlight w:val="none"/>
        </w:rPr>
        <w:t>明的问题</w:t>
      </w:r>
    </w:p>
    <w:p w14:paraId="31428C3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项目支出政策和路径设计科学，符合实际需要；</w:t>
      </w:r>
    </w:p>
    <w:p w14:paraId="1FC7687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项目安排准确，未发现背离项目立项初衷的情况；</w:t>
      </w:r>
    </w:p>
    <w:p w14:paraId="3FFEAA8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项目的申报、审核机制完善；</w:t>
      </w:r>
    </w:p>
    <w:p w14:paraId="078F138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30F1D2DC">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3AD50DE0">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168A380C">
      <w:pPr>
        <w:pStyle w:val="13"/>
        <w:spacing w:after="0" w:line="560" w:lineRule="exact"/>
        <w:ind w:left="0" w:leftChars="0" w:firstLine="640"/>
        <w:rPr>
          <w:rFonts w:hint="default" w:ascii="Times New Roman" w:hAnsi="Times New Roman" w:eastAsia="仿宋_GB2312" w:cs="Times New Roman"/>
          <w:color w:val="auto"/>
          <w:sz w:val="32"/>
          <w:szCs w:val="32"/>
          <w:highlight w:val="none"/>
        </w:rPr>
      </w:pPr>
    </w:p>
    <w:p w14:paraId="5AF7B446">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573D47C3">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B939547">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4F6B37B4">
      <w:pPr>
        <w:pStyle w:val="19"/>
        <w:ind w:firstLine="562"/>
        <w:jc w:val="center"/>
        <w:rPr>
          <w:rFonts w:hint="eastAsia" w:ascii="仿宋_GB2312" w:hAnsi="仿宋_GB2312" w:eastAsia="仿宋_GB2312" w:cs="仿宋_GB2312"/>
          <w:color w:val="auto"/>
          <w:sz w:val="28"/>
          <w:szCs w:val="40"/>
          <w:highlight w:val="none"/>
        </w:rPr>
      </w:pPr>
      <w:bookmarkStart w:id="1" w:name="_Toc30064_WPSOffice_Level1"/>
      <w:bookmarkStart w:id="2" w:name="_Toc26499_WPSOffice_Level2"/>
      <w:r>
        <w:rPr>
          <w:rFonts w:hint="eastAsia" w:ascii="仿宋_GB2312" w:hAnsi="仿宋_GB2312" w:eastAsia="仿宋_GB2312" w:cs="仿宋_GB2312"/>
          <w:b/>
          <w:bCs/>
          <w:color w:val="auto"/>
          <w:sz w:val="28"/>
          <w:szCs w:val="40"/>
          <w:highlight w:val="none"/>
          <w:lang w:val="en-US" w:eastAsia="zh-CN"/>
        </w:rPr>
        <w:t>社区工作经费</w:t>
      </w:r>
      <w:r>
        <w:rPr>
          <w:rFonts w:hint="eastAsia" w:ascii="仿宋_GB2312" w:hAnsi="仿宋_GB2312" w:eastAsia="仿宋_GB2312" w:cs="仿宋_GB2312"/>
          <w:b/>
          <w:bCs/>
          <w:color w:val="auto"/>
          <w:sz w:val="28"/>
          <w:szCs w:val="40"/>
          <w:highlight w:val="none"/>
        </w:rPr>
        <w:t>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1000"/>
        <w:gridCol w:w="1071"/>
        <w:gridCol w:w="1725"/>
        <w:gridCol w:w="5216"/>
        <w:gridCol w:w="5"/>
        <w:gridCol w:w="1299"/>
        <w:gridCol w:w="1365"/>
      </w:tblGrid>
      <w:tr w14:paraId="4F10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61AA652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394" w:type="pct"/>
            <w:shd w:val="clear" w:color="auto" w:fill="FFFFFF"/>
            <w:vAlign w:val="center"/>
          </w:tcPr>
          <w:p w14:paraId="3CCC7E8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422" w:type="pct"/>
            <w:shd w:val="clear" w:color="auto" w:fill="FFFFFF"/>
            <w:vAlign w:val="center"/>
          </w:tcPr>
          <w:p w14:paraId="5EABFBA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680" w:type="pct"/>
            <w:shd w:val="clear" w:color="auto" w:fill="FFFFFF"/>
            <w:vAlign w:val="center"/>
          </w:tcPr>
          <w:p w14:paraId="5175A39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2056" w:type="pct"/>
            <w:shd w:val="clear" w:color="auto" w:fill="FFFFFF"/>
            <w:vAlign w:val="center"/>
          </w:tcPr>
          <w:p w14:paraId="130905C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514" w:type="pct"/>
            <w:gridSpan w:val="2"/>
            <w:shd w:val="clear" w:color="auto" w:fill="FFFFFF"/>
            <w:vAlign w:val="center"/>
          </w:tcPr>
          <w:p w14:paraId="43943279">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538" w:type="pct"/>
            <w:shd w:val="clear" w:color="auto" w:fill="FFFFFF"/>
            <w:vAlign w:val="center"/>
          </w:tcPr>
          <w:p w14:paraId="4767584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507B5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30DD2841">
            <w:pPr>
              <w:widowControl/>
              <w:spacing w:line="0" w:lineRule="atLeast"/>
              <w:jc w:val="center"/>
              <w:rPr>
                <w:rFonts w:hint="default" w:ascii="Times New Roman" w:hAnsi="Times New Roman" w:eastAsia="仿宋_GB2312" w:cs="Times New Roman"/>
                <w:color w:val="auto"/>
                <w:kern w:val="0"/>
                <w:sz w:val="18"/>
                <w:szCs w:val="18"/>
                <w:highlight w:val="none"/>
              </w:rPr>
            </w:pPr>
          </w:p>
          <w:p w14:paraId="5C999CB4">
            <w:pPr>
              <w:widowControl/>
              <w:spacing w:line="0" w:lineRule="atLeast"/>
              <w:jc w:val="center"/>
              <w:rPr>
                <w:rFonts w:hint="default" w:ascii="Times New Roman" w:hAnsi="Times New Roman" w:eastAsia="仿宋_GB2312" w:cs="Times New Roman"/>
                <w:color w:val="auto"/>
                <w:kern w:val="0"/>
                <w:sz w:val="18"/>
                <w:szCs w:val="18"/>
                <w:highlight w:val="none"/>
              </w:rPr>
            </w:pPr>
          </w:p>
          <w:p w14:paraId="5F6B9081">
            <w:pPr>
              <w:widowControl/>
              <w:spacing w:line="0" w:lineRule="atLeast"/>
              <w:jc w:val="center"/>
              <w:rPr>
                <w:rFonts w:hint="default" w:ascii="Times New Roman" w:hAnsi="Times New Roman" w:eastAsia="仿宋_GB2312" w:cs="Times New Roman"/>
                <w:color w:val="auto"/>
                <w:kern w:val="0"/>
                <w:sz w:val="18"/>
                <w:szCs w:val="18"/>
                <w:highlight w:val="none"/>
              </w:rPr>
            </w:pPr>
          </w:p>
          <w:p w14:paraId="2928D8E8">
            <w:pPr>
              <w:widowControl/>
              <w:spacing w:line="0" w:lineRule="atLeast"/>
              <w:jc w:val="center"/>
              <w:rPr>
                <w:rFonts w:hint="default" w:ascii="Times New Roman" w:hAnsi="Times New Roman" w:eastAsia="仿宋_GB2312" w:cs="Times New Roman"/>
                <w:color w:val="auto"/>
                <w:kern w:val="0"/>
                <w:sz w:val="18"/>
                <w:szCs w:val="18"/>
                <w:highlight w:val="none"/>
              </w:rPr>
            </w:pPr>
          </w:p>
          <w:p w14:paraId="5B7A878C">
            <w:pPr>
              <w:widowControl/>
              <w:spacing w:line="0" w:lineRule="atLeast"/>
              <w:jc w:val="center"/>
              <w:rPr>
                <w:rFonts w:hint="default" w:ascii="Times New Roman" w:hAnsi="Times New Roman" w:eastAsia="仿宋_GB2312" w:cs="Times New Roman"/>
                <w:color w:val="auto"/>
                <w:kern w:val="0"/>
                <w:sz w:val="18"/>
                <w:szCs w:val="18"/>
                <w:highlight w:val="none"/>
              </w:rPr>
            </w:pPr>
          </w:p>
          <w:p w14:paraId="785F3821">
            <w:pPr>
              <w:widowControl/>
              <w:spacing w:line="0" w:lineRule="atLeast"/>
              <w:jc w:val="center"/>
              <w:rPr>
                <w:rFonts w:hint="default" w:ascii="Times New Roman" w:hAnsi="Times New Roman" w:eastAsia="仿宋_GB2312" w:cs="Times New Roman"/>
                <w:color w:val="auto"/>
                <w:kern w:val="0"/>
                <w:sz w:val="18"/>
                <w:szCs w:val="18"/>
                <w:highlight w:val="none"/>
              </w:rPr>
            </w:pPr>
          </w:p>
          <w:p w14:paraId="59E640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394" w:type="pct"/>
            <w:vMerge w:val="restart"/>
            <w:shd w:val="clear" w:color="auto" w:fill="FFFFFF"/>
            <w:vAlign w:val="center"/>
          </w:tcPr>
          <w:p w14:paraId="2D23D20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422" w:type="pct"/>
            <w:shd w:val="clear" w:color="auto" w:fill="FFFFFF"/>
            <w:vAlign w:val="center"/>
          </w:tcPr>
          <w:p w14:paraId="2B8C228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7ECB52F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680" w:type="pct"/>
            <w:shd w:val="clear" w:color="auto" w:fill="FFFFFF"/>
            <w:vAlign w:val="center"/>
          </w:tcPr>
          <w:p w14:paraId="6F22700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2056" w:type="pct"/>
            <w:shd w:val="clear" w:color="auto" w:fill="FFFFFF"/>
            <w:vAlign w:val="center"/>
          </w:tcPr>
          <w:p w14:paraId="7CA15DF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514" w:type="pct"/>
            <w:gridSpan w:val="2"/>
            <w:shd w:val="clear" w:color="auto" w:fill="FFFFFF"/>
            <w:vAlign w:val="center"/>
          </w:tcPr>
          <w:p w14:paraId="5BD2F43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10DEA741">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2EDD1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6DAC2A7E">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751F725A">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3969873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5D3E465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680" w:type="pct"/>
            <w:shd w:val="clear" w:color="auto" w:fill="FFFFFF"/>
            <w:vAlign w:val="center"/>
          </w:tcPr>
          <w:p w14:paraId="7724E69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2056" w:type="pct"/>
            <w:shd w:val="clear" w:color="auto" w:fill="FFFFFF"/>
            <w:vAlign w:val="center"/>
          </w:tcPr>
          <w:p w14:paraId="53E8B96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514" w:type="pct"/>
            <w:gridSpan w:val="2"/>
            <w:shd w:val="clear" w:color="auto" w:fill="FFFFFF"/>
            <w:vAlign w:val="center"/>
          </w:tcPr>
          <w:p w14:paraId="7241452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auto" w:fill="FFFFFF"/>
            <w:vAlign w:val="center"/>
          </w:tcPr>
          <w:p w14:paraId="46BCF098">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73B3B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1ACA9E2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5FA35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422" w:type="pct"/>
            <w:shd w:val="clear" w:color="auto" w:fill="FFFFFF"/>
            <w:vAlign w:val="center"/>
          </w:tcPr>
          <w:p w14:paraId="5F69D0F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25AD37D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000000" w:fill="FFFFFF"/>
            <w:vAlign w:val="center"/>
          </w:tcPr>
          <w:p w14:paraId="123B668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57C3E388">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514" w:type="pct"/>
            <w:gridSpan w:val="2"/>
            <w:shd w:val="clear" w:color="000000" w:fill="FFFFFF"/>
            <w:vAlign w:val="center"/>
          </w:tcPr>
          <w:p w14:paraId="1B7DE25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170418A3">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1FED1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ED24D4D">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6110931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EECA3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5BD192D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680" w:type="pct"/>
            <w:shd w:val="clear" w:color="000000" w:fill="FFFFFF"/>
            <w:vAlign w:val="center"/>
          </w:tcPr>
          <w:p w14:paraId="791318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2056" w:type="pct"/>
            <w:shd w:val="clear" w:color="000000" w:fill="FFFFFF"/>
            <w:vAlign w:val="center"/>
          </w:tcPr>
          <w:p w14:paraId="56DCA36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514" w:type="pct"/>
            <w:gridSpan w:val="2"/>
            <w:shd w:val="clear" w:color="000000" w:fill="FFFFFF"/>
            <w:vAlign w:val="center"/>
          </w:tcPr>
          <w:p w14:paraId="1FF281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538" w:type="pct"/>
            <w:shd w:val="clear" w:color="000000" w:fill="FFFFFF"/>
            <w:vAlign w:val="center"/>
          </w:tcPr>
          <w:p w14:paraId="51C9508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43B06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1D1B8680">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785CDA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01B842D7">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38345BA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523FA00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680" w:type="pct"/>
            <w:shd w:val="clear" w:color="auto" w:fill="FFFFFF"/>
            <w:vAlign w:val="center"/>
          </w:tcPr>
          <w:p w14:paraId="21B04E7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514" w:type="pct"/>
            <w:gridSpan w:val="2"/>
            <w:shd w:val="clear" w:color="auto" w:fill="FFFFFF"/>
            <w:vAlign w:val="center"/>
          </w:tcPr>
          <w:p w14:paraId="53DE22F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67F1ABA">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50C7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20E93017">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138AC310">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566EAE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154F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680" w:type="pct"/>
            <w:shd w:val="clear" w:color="auto" w:fill="FFFFFF"/>
            <w:vAlign w:val="center"/>
          </w:tcPr>
          <w:p w14:paraId="7C209FC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514" w:type="pct"/>
            <w:gridSpan w:val="2"/>
            <w:shd w:val="clear" w:color="auto" w:fill="FFFFFF"/>
            <w:vAlign w:val="center"/>
          </w:tcPr>
          <w:p w14:paraId="352AC61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631E537E">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1B653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5086FA89">
            <w:pPr>
              <w:spacing w:line="0" w:lineRule="atLeast"/>
              <w:jc w:val="center"/>
              <w:rPr>
                <w:rFonts w:hint="default" w:ascii="Times New Roman" w:hAnsi="Times New Roman" w:eastAsia="仿宋_GB2312" w:cs="Times New Roman"/>
                <w:color w:val="auto"/>
                <w:kern w:val="0"/>
                <w:sz w:val="18"/>
                <w:szCs w:val="18"/>
                <w:highlight w:val="none"/>
              </w:rPr>
            </w:pPr>
          </w:p>
          <w:p w14:paraId="0EFFCD01">
            <w:pPr>
              <w:spacing w:line="0" w:lineRule="atLeast"/>
              <w:jc w:val="center"/>
              <w:rPr>
                <w:rFonts w:hint="default" w:ascii="Times New Roman" w:hAnsi="Times New Roman" w:eastAsia="仿宋_GB2312" w:cs="Times New Roman"/>
                <w:color w:val="auto"/>
                <w:kern w:val="0"/>
                <w:sz w:val="18"/>
                <w:szCs w:val="18"/>
                <w:highlight w:val="none"/>
              </w:rPr>
            </w:pPr>
          </w:p>
          <w:p w14:paraId="351B0E10">
            <w:pPr>
              <w:spacing w:line="0" w:lineRule="atLeast"/>
              <w:jc w:val="center"/>
              <w:rPr>
                <w:rFonts w:hint="default" w:ascii="Times New Roman" w:hAnsi="Times New Roman" w:eastAsia="仿宋_GB2312" w:cs="Times New Roman"/>
                <w:color w:val="auto"/>
                <w:kern w:val="0"/>
                <w:sz w:val="18"/>
                <w:szCs w:val="18"/>
                <w:highlight w:val="none"/>
              </w:rPr>
            </w:pPr>
          </w:p>
          <w:p w14:paraId="5CE21D6B">
            <w:pPr>
              <w:spacing w:line="0" w:lineRule="atLeast"/>
              <w:jc w:val="center"/>
              <w:rPr>
                <w:rFonts w:hint="default" w:ascii="Times New Roman" w:hAnsi="Times New Roman" w:eastAsia="仿宋_GB2312" w:cs="Times New Roman"/>
                <w:color w:val="auto"/>
                <w:kern w:val="0"/>
                <w:sz w:val="18"/>
                <w:szCs w:val="18"/>
                <w:highlight w:val="none"/>
              </w:rPr>
            </w:pPr>
          </w:p>
          <w:p w14:paraId="12D7E55D">
            <w:pPr>
              <w:spacing w:line="0" w:lineRule="atLeast"/>
              <w:jc w:val="center"/>
              <w:rPr>
                <w:rFonts w:hint="default" w:ascii="Times New Roman" w:hAnsi="Times New Roman" w:eastAsia="仿宋_GB2312" w:cs="Times New Roman"/>
                <w:color w:val="auto"/>
                <w:kern w:val="0"/>
                <w:sz w:val="18"/>
                <w:szCs w:val="18"/>
                <w:highlight w:val="none"/>
              </w:rPr>
            </w:pPr>
          </w:p>
          <w:p w14:paraId="696A75A9">
            <w:pPr>
              <w:spacing w:line="0" w:lineRule="atLeast"/>
              <w:jc w:val="center"/>
              <w:rPr>
                <w:rFonts w:hint="default" w:ascii="Times New Roman" w:hAnsi="Times New Roman" w:eastAsia="仿宋_GB2312" w:cs="Times New Roman"/>
                <w:color w:val="auto"/>
                <w:kern w:val="0"/>
                <w:sz w:val="18"/>
                <w:szCs w:val="18"/>
                <w:highlight w:val="none"/>
              </w:rPr>
            </w:pPr>
          </w:p>
          <w:p w14:paraId="3E92393A">
            <w:pPr>
              <w:spacing w:line="0" w:lineRule="atLeast"/>
              <w:jc w:val="center"/>
              <w:rPr>
                <w:rFonts w:hint="default" w:ascii="Times New Roman" w:hAnsi="Times New Roman" w:eastAsia="仿宋_GB2312" w:cs="Times New Roman"/>
                <w:color w:val="auto"/>
                <w:kern w:val="0"/>
                <w:sz w:val="18"/>
                <w:szCs w:val="18"/>
                <w:highlight w:val="none"/>
              </w:rPr>
            </w:pPr>
          </w:p>
          <w:p w14:paraId="73153ECE">
            <w:pPr>
              <w:spacing w:line="0" w:lineRule="atLeast"/>
              <w:jc w:val="center"/>
              <w:rPr>
                <w:rFonts w:hint="default" w:ascii="Times New Roman" w:hAnsi="Times New Roman" w:eastAsia="仿宋_GB2312" w:cs="Times New Roman"/>
                <w:color w:val="auto"/>
                <w:kern w:val="0"/>
                <w:sz w:val="18"/>
                <w:szCs w:val="18"/>
                <w:highlight w:val="none"/>
              </w:rPr>
            </w:pPr>
          </w:p>
          <w:p w14:paraId="715295EE">
            <w:pPr>
              <w:spacing w:line="0" w:lineRule="atLeast"/>
              <w:jc w:val="center"/>
              <w:rPr>
                <w:rFonts w:hint="default" w:ascii="Times New Roman" w:hAnsi="Times New Roman" w:eastAsia="仿宋_GB2312" w:cs="Times New Roman"/>
                <w:color w:val="auto"/>
                <w:kern w:val="0"/>
                <w:sz w:val="18"/>
                <w:szCs w:val="18"/>
                <w:highlight w:val="none"/>
              </w:rPr>
            </w:pPr>
          </w:p>
          <w:p w14:paraId="57A1AECE">
            <w:pPr>
              <w:spacing w:line="0" w:lineRule="atLeast"/>
              <w:jc w:val="center"/>
              <w:rPr>
                <w:rFonts w:hint="default" w:ascii="Times New Roman" w:hAnsi="Times New Roman" w:eastAsia="仿宋_GB2312" w:cs="Times New Roman"/>
                <w:color w:val="auto"/>
                <w:kern w:val="0"/>
                <w:sz w:val="18"/>
                <w:szCs w:val="18"/>
                <w:highlight w:val="none"/>
              </w:rPr>
            </w:pPr>
          </w:p>
          <w:p w14:paraId="0BC307E9">
            <w:pPr>
              <w:spacing w:line="0" w:lineRule="atLeast"/>
              <w:jc w:val="center"/>
              <w:rPr>
                <w:rFonts w:hint="default" w:ascii="Times New Roman" w:hAnsi="Times New Roman" w:eastAsia="仿宋_GB2312" w:cs="Times New Roman"/>
                <w:color w:val="auto"/>
                <w:kern w:val="0"/>
                <w:sz w:val="18"/>
                <w:szCs w:val="18"/>
                <w:highlight w:val="none"/>
              </w:rPr>
            </w:pPr>
          </w:p>
          <w:p w14:paraId="307AE745">
            <w:pPr>
              <w:spacing w:line="0" w:lineRule="atLeast"/>
              <w:jc w:val="center"/>
              <w:rPr>
                <w:rFonts w:hint="default" w:ascii="Times New Roman" w:hAnsi="Times New Roman" w:eastAsia="仿宋_GB2312" w:cs="Times New Roman"/>
                <w:color w:val="auto"/>
                <w:kern w:val="0"/>
                <w:sz w:val="18"/>
                <w:szCs w:val="18"/>
                <w:highlight w:val="none"/>
              </w:rPr>
            </w:pPr>
          </w:p>
          <w:p w14:paraId="620C70B1">
            <w:pPr>
              <w:spacing w:line="0" w:lineRule="atLeast"/>
              <w:jc w:val="center"/>
              <w:rPr>
                <w:rFonts w:hint="default" w:ascii="Times New Roman" w:hAnsi="Times New Roman" w:eastAsia="仿宋_GB2312" w:cs="Times New Roman"/>
                <w:color w:val="auto"/>
                <w:kern w:val="0"/>
                <w:sz w:val="18"/>
                <w:szCs w:val="18"/>
                <w:highlight w:val="none"/>
              </w:rPr>
            </w:pPr>
          </w:p>
          <w:p w14:paraId="5945B673">
            <w:pPr>
              <w:spacing w:line="0" w:lineRule="atLeast"/>
              <w:jc w:val="center"/>
              <w:rPr>
                <w:rFonts w:hint="default" w:ascii="Times New Roman" w:hAnsi="Times New Roman" w:eastAsia="仿宋_GB2312" w:cs="Times New Roman"/>
                <w:color w:val="auto"/>
                <w:kern w:val="0"/>
                <w:sz w:val="18"/>
                <w:szCs w:val="18"/>
                <w:highlight w:val="none"/>
              </w:rPr>
            </w:pPr>
          </w:p>
          <w:p w14:paraId="6AC00744">
            <w:pPr>
              <w:spacing w:line="0" w:lineRule="atLeast"/>
              <w:jc w:val="center"/>
              <w:rPr>
                <w:rFonts w:hint="default" w:ascii="Times New Roman" w:hAnsi="Times New Roman" w:eastAsia="仿宋_GB2312" w:cs="Times New Roman"/>
                <w:color w:val="auto"/>
                <w:kern w:val="0"/>
                <w:sz w:val="18"/>
                <w:szCs w:val="18"/>
                <w:highlight w:val="none"/>
              </w:rPr>
            </w:pPr>
          </w:p>
          <w:p w14:paraId="4A359D7C">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6062CAA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394" w:type="pct"/>
            <w:vMerge w:val="restart"/>
            <w:shd w:val="clear" w:color="auto" w:fill="FFFFFF"/>
            <w:vAlign w:val="center"/>
          </w:tcPr>
          <w:p w14:paraId="7892CED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574EAE1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680" w:type="pct"/>
            <w:shd w:val="clear" w:color="000000" w:fill="FFFFFF"/>
            <w:vAlign w:val="center"/>
          </w:tcPr>
          <w:p w14:paraId="59E8DB5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2056" w:type="pct"/>
            <w:shd w:val="clear" w:color="000000" w:fill="FFFFFF"/>
            <w:vAlign w:val="center"/>
          </w:tcPr>
          <w:p w14:paraId="0B93489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29283E9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7800605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514" w:type="pct"/>
            <w:gridSpan w:val="2"/>
            <w:shd w:val="clear" w:color="000000" w:fill="FFFFFF"/>
            <w:vAlign w:val="center"/>
          </w:tcPr>
          <w:p w14:paraId="3228ACE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7217C38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3A45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402EF96D">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BA5293B">
            <w:pPr>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6D40755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680" w:type="pct"/>
            <w:shd w:val="clear" w:color="auto" w:fill="FFFFFF"/>
            <w:vAlign w:val="center"/>
          </w:tcPr>
          <w:p w14:paraId="6DF35DE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2056" w:type="pct"/>
            <w:shd w:val="clear" w:color="auto" w:fill="FFFFFF"/>
            <w:vAlign w:val="center"/>
          </w:tcPr>
          <w:p w14:paraId="35021E1A">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514" w:type="pct"/>
            <w:gridSpan w:val="2"/>
            <w:shd w:val="clear" w:color="auto" w:fill="FFFFFF"/>
            <w:vAlign w:val="center"/>
          </w:tcPr>
          <w:p w14:paraId="52B8CC4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auto" w:fill="FFFFFF"/>
            <w:vAlign w:val="center"/>
          </w:tcPr>
          <w:p w14:paraId="484B400F">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B490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2869390A">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7CC51FF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422" w:type="pct"/>
            <w:shd w:val="clear" w:color="auto" w:fill="FFFFFF"/>
            <w:vAlign w:val="center"/>
          </w:tcPr>
          <w:p w14:paraId="670AE4C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7975A12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680" w:type="pct"/>
            <w:shd w:val="clear" w:color="000000" w:fill="FFFFFF"/>
            <w:vAlign w:val="center"/>
          </w:tcPr>
          <w:p w14:paraId="069274A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2056" w:type="pct"/>
            <w:shd w:val="clear" w:color="000000" w:fill="FFFFFF"/>
            <w:vAlign w:val="center"/>
          </w:tcPr>
          <w:p w14:paraId="49620DF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514" w:type="pct"/>
            <w:gridSpan w:val="2"/>
            <w:shd w:val="clear" w:color="000000" w:fill="FFFFFF"/>
            <w:vAlign w:val="center"/>
          </w:tcPr>
          <w:p w14:paraId="0BA0E7B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5E002BF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654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7F0405EC">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restart"/>
            <w:shd w:val="clear" w:color="auto" w:fill="FFFFFF"/>
            <w:vAlign w:val="center"/>
          </w:tcPr>
          <w:p w14:paraId="50D4377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2C974B31">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422" w:type="pct"/>
            <w:shd w:val="clear" w:color="auto" w:fill="FFFFFF"/>
            <w:vAlign w:val="center"/>
          </w:tcPr>
          <w:p w14:paraId="085DC7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103AEC3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680" w:type="pct"/>
            <w:shd w:val="clear" w:color="000000" w:fill="FFFFFF"/>
            <w:vAlign w:val="center"/>
          </w:tcPr>
          <w:p w14:paraId="412502E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514" w:type="pct"/>
            <w:gridSpan w:val="2"/>
            <w:shd w:val="clear" w:color="000000" w:fill="FFFFFF"/>
            <w:vAlign w:val="center"/>
          </w:tcPr>
          <w:p w14:paraId="1746194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44EE3A3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7FBD3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57B7FCD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213D0B1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5A773C7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2979A8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680" w:type="pct"/>
            <w:shd w:val="clear" w:color="000000" w:fill="FFFFFF"/>
            <w:vAlign w:val="center"/>
          </w:tcPr>
          <w:p w14:paraId="433DAE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2056" w:type="pct"/>
            <w:shd w:val="clear" w:color="000000" w:fill="FFFFFF"/>
            <w:vAlign w:val="center"/>
          </w:tcPr>
          <w:p w14:paraId="100C31E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514" w:type="pct"/>
            <w:gridSpan w:val="2"/>
            <w:shd w:val="clear" w:color="000000" w:fill="FFFFFF"/>
            <w:vAlign w:val="center"/>
          </w:tcPr>
          <w:p w14:paraId="44473D5E">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538" w:type="pct"/>
            <w:shd w:val="clear" w:color="000000" w:fill="FFFFFF"/>
            <w:vAlign w:val="center"/>
          </w:tcPr>
          <w:p w14:paraId="60E30355">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2E647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76E2C5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394" w:type="pct"/>
            <w:shd w:val="clear" w:color="auto" w:fill="FFFFFF"/>
            <w:vAlign w:val="center"/>
          </w:tcPr>
          <w:p w14:paraId="13C7B96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422" w:type="pct"/>
            <w:shd w:val="clear" w:color="auto" w:fill="FFFFFF"/>
            <w:vAlign w:val="center"/>
          </w:tcPr>
          <w:p w14:paraId="1792043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680" w:type="pct"/>
            <w:shd w:val="clear" w:color="000000" w:fill="FFFFFF"/>
            <w:vAlign w:val="center"/>
          </w:tcPr>
          <w:p w14:paraId="1A4BCC2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2056" w:type="pct"/>
            <w:shd w:val="clear" w:color="000000" w:fill="FFFFFF"/>
            <w:vAlign w:val="center"/>
          </w:tcPr>
          <w:p w14:paraId="766B5F2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514" w:type="pct"/>
            <w:gridSpan w:val="2"/>
            <w:shd w:val="clear" w:color="000000" w:fill="FFFFFF"/>
            <w:vAlign w:val="center"/>
          </w:tcPr>
          <w:p w14:paraId="7A502BD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3205D48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93EF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07FF60FF">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C3B563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422" w:type="pct"/>
            <w:shd w:val="clear" w:color="auto" w:fill="FFFFFF"/>
            <w:vAlign w:val="center"/>
          </w:tcPr>
          <w:p w14:paraId="6DC841E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680" w:type="pct"/>
            <w:shd w:val="clear" w:color="000000" w:fill="FFFFFF"/>
            <w:vAlign w:val="center"/>
          </w:tcPr>
          <w:p w14:paraId="61CF5FD6">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2056" w:type="pct"/>
            <w:shd w:val="clear" w:color="000000" w:fill="FFFFFF"/>
            <w:vAlign w:val="center"/>
          </w:tcPr>
          <w:p w14:paraId="5D59636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7C3CBBD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gridSpan w:val="2"/>
            <w:shd w:val="clear" w:color="000000" w:fill="FFFFFF"/>
            <w:vAlign w:val="center"/>
          </w:tcPr>
          <w:p w14:paraId="19C6B3B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7619615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B600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27B1A842">
            <w:pPr>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27A049C5">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422" w:type="pct"/>
            <w:shd w:val="clear" w:color="auto" w:fill="FFFFFF"/>
            <w:vAlign w:val="center"/>
          </w:tcPr>
          <w:p w14:paraId="5574CF4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680" w:type="pct"/>
            <w:shd w:val="clear" w:color="000000" w:fill="FFFFFF"/>
            <w:vAlign w:val="center"/>
          </w:tcPr>
          <w:p w14:paraId="3B490CE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2056" w:type="pct"/>
            <w:shd w:val="clear" w:color="000000" w:fill="FFFFFF"/>
            <w:vAlign w:val="center"/>
          </w:tcPr>
          <w:p w14:paraId="31F6D27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514" w:type="pct"/>
            <w:gridSpan w:val="2"/>
            <w:shd w:val="clear" w:color="000000" w:fill="FFFFFF"/>
            <w:vAlign w:val="center"/>
          </w:tcPr>
          <w:p w14:paraId="7CE7449B">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41DAC46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5C1B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7978218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shd w:val="clear" w:color="auto" w:fill="FFFFFF"/>
            <w:vAlign w:val="center"/>
          </w:tcPr>
          <w:p w14:paraId="6333D6A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422" w:type="pct"/>
            <w:shd w:val="clear" w:color="auto" w:fill="FFFFFF"/>
            <w:vAlign w:val="center"/>
          </w:tcPr>
          <w:p w14:paraId="617EB94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680" w:type="pct"/>
            <w:shd w:val="clear" w:color="000000" w:fill="FFFFFF"/>
            <w:vAlign w:val="center"/>
          </w:tcPr>
          <w:p w14:paraId="088B19F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2056" w:type="pct"/>
            <w:shd w:val="clear" w:color="000000" w:fill="FFFFFF"/>
            <w:vAlign w:val="center"/>
          </w:tcPr>
          <w:p w14:paraId="58A313F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514" w:type="pct"/>
            <w:gridSpan w:val="2"/>
            <w:shd w:val="clear" w:color="000000" w:fill="FFFFFF"/>
            <w:vAlign w:val="center"/>
          </w:tcPr>
          <w:p w14:paraId="1AA6671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5AA989E3">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D57D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407A843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394" w:type="pct"/>
            <w:vMerge w:val="restart"/>
            <w:shd w:val="clear" w:color="auto" w:fill="FFFFFF"/>
            <w:vAlign w:val="center"/>
          </w:tcPr>
          <w:p w14:paraId="21FCFCD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422" w:type="pct"/>
            <w:shd w:val="clear" w:color="auto" w:fill="FFFFFF"/>
            <w:vAlign w:val="center"/>
          </w:tcPr>
          <w:p w14:paraId="6E48256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680" w:type="pct"/>
            <w:shd w:val="clear" w:color="auto" w:fill="FFFFFF"/>
            <w:vAlign w:val="center"/>
          </w:tcPr>
          <w:p w14:paraId="795E0B36">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2056" w:type="pct"/>
            <w:shd w:val="clear" w:color="auto" w:fill="FFFFFF"/>
            <w:vAlign w:val="center"/>
          </w:tcPr>
          <w:p w14:paraId="153D9E8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514" w:type="pct"/>
            <w:gridSpan w:val="2"/>
            <w:shd w:val="clear" w:color="auto" w:fill="FFFFFF"/>
            <w:vAlign w:val="center"/>
          </w:tcPr>
          <w:p w14:paraId="7EAE660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auto" w:fill="FFFFFF"/>
            <w:vAlign w:val="center"/>
          </w:tcPr>
          <w:p w14:paraId="0267F851">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0CDD7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122E626">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394" w:type="pct"/>
            <w:vMerge w:val="continue"/>
            <w:shd w:val="clear" w:color="auto" w:fill="FFFFFF"/>
            <w:vAlign w:val="center"/>
          </w:tcPr>
          <w:p w14:paraId="4981F3CC">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422" w:type="pct"/>
            <w:shd w:val="clear" w:color="auto" w:fill="FFFFFF"/>
            <w:vAlign w:val="center"/>
          </w:tcPr>
          <w:p w14:paraId="44F2D30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680" w:type="pct"/>
            <w:shd w:val="clear" w:color="000000" w:fill="FFFFFF"/>
            <w:vAlign w:val="center"/>
          </w:tcPr>
          <w:p w14:paraId="47FAA55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2056" w:type="pct"/>
            <w:shd w:val="clear" w:color="000000" w:fill="FFFFFF"/>
            <w:vAlign w:val="center"/>
          </w:tcPr>
          <w:p w14:paraId="00C88B8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514" w:type="pct"/>
            <w:gridSpan w:val="2"/>
            <w:shd w:val="clear" w:color="000000" w:fill="FFFFFF"/>
            <w:vAlign w:val="center"/>
          </w:tcPr>
          <w:p w14:paraId="40EDE37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538" w:type="pct"/>
            <w:shd w:val="clear" w:color="000000" w:fill="FFFFFF"/>
            <w:vAlign w:val="center"/>
          </w:tcPr>
          <w:p w14:paraId="6EF7EC98">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2F2D7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6"/>
            <w:shd w:val="clear" w:color="auto" w:fill="FFFFFF"/>
            <w:vAlign w:val="center"/>
          </w:tcPr>
          <w:p w14:paraId="2B863E0F">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512" w:type="pct"/>
            <w:shd w:val="clear" w:color="000000" w:fill="FFFFFF"/>
            <w:vAlign w:val="center"/>
          </w:tcPr>
          <w:p w14:paraId="4E95BD9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538" w:type="pct"/>
            <w:shd w:val="clear" w:color="000000" w:fill="FFFFFF"/>
            <w:vAlign w:val="center"/>
          </w:tcPr>
          <w:p w14:paraId="33BB8A15">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6D728D58">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p w14:paraId="32B738E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2"/>
        <w:gridCol w:w="963"/>
        <w:gridCol w:w="2344"/>
        <w:gridCol w:w="3472"/>
        <w:gridCol w:w="1400"/>
        <w:gridCol w:w="1341"/>
        <w:gridCol w:w="242"/>
        <w:gridCol w:w="392"/>
        <w:gridCol w:w="357"/>
        <w:gridCol w:w="480"/>
        <w:gridCol w:w="603"/>
        <w:gridCol w:w="867"/>
      </w:tblGrid>
      <w:tr w14:paraId="44D2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748FA4F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2A26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3CEBA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7B4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745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20AD7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社区工作经费</w:t>
            </w:r>
          </w:p>
        </w:tc>
      </w:tr>
      <w:tr w14:paraId="4A71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3D1B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4B9B9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乌鲁木齐市沙依巴克区长胜南片区管理委员会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88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4D6A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乌鲁木齐市沙依巴克区长胜南片区管理委员会</w:t>
            </w:r>
          </w:p>
        </w:tc>
      </w:tr>
      <w:tr w14:paraId="75A3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EFB8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D539850">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3BA7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59C4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7D6D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D1D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5D8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9068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F5F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D0E7D1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28F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E78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8456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93.01</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2B4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93.01</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8DAA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D26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42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C4C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2710E39">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55D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6E24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1E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93.01</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3957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93.01</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78A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299F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F1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11E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E6A16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5D6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DB72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EB2A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1017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DAB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068E7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640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02C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7E2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2327D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8637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3ED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45ADF9">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6544E8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577FFF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该项目全年预算93.01万元，截止24年底该项目已全部完成。用于我街道4个社区各项工作经费。通过此项目开展保障全局机构正常运行。</w:t>
            </w:r>
          </w:p>
        </w:tc>
      </w:tr>
      <w:tr w14:paraId="09FE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F3A42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08C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8A8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AF7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6C9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C2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134A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249E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C197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453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DBDCD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BE401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12AF4D">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981F13A">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DFA431">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46696">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FB5F7E7">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1E8612F">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638643">
            <w:pPr>
              <w:jc w:val="center"/>
              <w:rPr>
                <w:rFonts w:hint="eastAsia" w:ascii="宋体" w:hAnsi="宋体" w:eastAsia="宋体" w:cs="宋体"/>
                <w:i w:val="0"/>
                <w:iCs w:val="0"/>
                <w:color w:val="000000"/>
                <w:sz w:val="20"/>
                <w:szCs w:val="20"/>
                <w:u w:val="none"/>
              </w:rPr>
            </w:pPr>
          </w:p>
        </w:tc>
      </w:tr>
      <w:tr w14:paraId="5CC7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8FC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60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1A91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FDA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DC83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&gt;=4个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1AC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6CBE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7F25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6857DC5">
            <w:pPr>
              <w:jc w:val="center"/>
              <w:rPr>
                <w:rFonts w:hint="eastAsia" w:ascii="宋体" w:hAnsi="宋体" w:eastAsia="宋体" w:cs="宋体"/>
                <w:i w:val="0"/>
                <w:iCs w:val="0"/>
                <w:color w:val="000000"/>
                <w:sz w:val="20"/>
                <w:szCs w:val="20"/>
                <w:u w:val="none"/>
              </w:rPr>
            </w:pPr>
          </w:p>
        </w:tc>
      </w:tr>
      <w:tr w14:paraId="009E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F25C1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81AF9">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0AAB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4B0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A4FF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9F8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56C7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8C55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FA8BB61">
            <w:pPr>
              <w:jc w:val="center"/>
              <w:rPr>
                <w:rFonts w:hint="eastAsia" w:ascii="宋体" w:hAnsi="宋体" w:eastAsia="宋体" w:cs="宋体"/>
                <w:i w:val="0"/>
                <w:iCs w:val="0"/>
                <w:color w:val="000000"/>
                <w:sz w:val="20"/>
                <w:szCs w:val="20"/>
                <w:u w:val="none"/>
              </w:rPr>
            </w:pPr>
          </w:p>
        </w:tc>
      </w:tr>
      <w:tr w14:paraId="23AA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3A5B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BD11D0">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0EE0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81CB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7D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3C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63E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EBDF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7C1E291">
            <w:pPr>
              <w:jc w:val="center"/>
              <w:rPr>
                <w:rFonts w:hint="eastAsia" w:ascii="宋体" w:hAnsi="宋体" w:eastAsia="宋体" w:cs="宋体"/>
                <w:i w:val="0"/>
                <w:iCs w:val="0"/>
                <w:color w:val="000000"/>
                <w:sz w:val="20"/>
                <w:szCs w:val="20"/>
                <w:u w:val="none"/>
              </w:rPr>
            </w:pPr>
          </w:p>
        </w:tc>
      </w:tr>
      <w:tr w14:paraId="70F2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EACE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1D5E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CCA0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1988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13E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&lt;=23.25万元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F20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5DA8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516C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0EE0B2C">
            <w:pPr>
              <w:jc w:val="center"/>
              <w:rPr>
                <w:rFonts w:hint="eastAsia" w:ascii="宋体" w:hAnsi="宋体" w:eastAsia="宋体" w:cs="宋体"/>
                <w:i w:val="0"/>
                <w:iCs w:val="0"/>
                <w:color w:val="000000"/>
                <w:sz w:val="20"/>
                <w:szCs w:val="20"/>
                <w:u w:val="none"/>
              </w:rPr>
            </w:pPr>
          </w:p>
        </w:tc>
      </w:tr>
      <w:tr w14:paraId="2360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D07CD">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8EE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C68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94B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308D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C51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E4C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1EBA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E2EF300">
            <w:pPr>
              <w:jc w:val="center"/>
              <w:rPr>
                <w:rFonts w:hint="eastAsia" w:ascii="宋体" w:hAnsi="宋体" w:eastAsia="宋体" w:cs="宋体"/>
                <w:i w:val="0"/>
                <w:iCs w:val="0"/>
                <w:color w:val="000000"/>
                <w:sz w:val="20"/>
                <w:szCs w:val="20"/>
                <w:u w:val="none"/>
              </w:rPr>
            </w:pPr>
          </w:p>
        </w:tc>
      </w:tr>
      <w:tr w14:paraId="451F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58E2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FF50E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6B3E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CBF0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6B6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92E7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19E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81D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25FAA1A">
            <w:pPr>
              <w:jc w:val="center"/>
              <w:rPr>
                <w:rFonts w:hint="eastAsia" w:ascii="宋体" w:hAnsi="宋体" w:eastAsia="宋体" w:cs="宋体"/>
                <w:i w:val="0"/>
                <w:iCs w:val="0"/>
                <w:color w:val="000000"/>
                <w:sz w:val="20"/>
                <w:szCs w:val="20"/>
                <w:u w:val="none"/>
              </w:rPr>
            </w:pPr>
          </w:p>
        </w:tc>
      </w:tr>
      <w:tr w14:paraId="0E1F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FD49E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2B4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3B0FD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78D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52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9E24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2E81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82D2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5A9D992">
            <w:pPr>
              <w:jc w:val="center"/>
              <w:rPr>
                <w:rFonts w:hint="eastAsia" w:ascii="宋体" w:hAnsi="宋体" w:eastAsia="宋体" w:cs="宋体"/>
                <w:i w:val="0"/>
                <w:iCs w:val="0"/>
                <w:color w:val="000000"/>
                <w:sz w:val="20"/>
                <w:szCs w:val="20"/>
                <w:u w:val="none"/>
              </w:rPr>
            </w:pPr>
          </w:p>
        </w:tc>
      </w:tr>
      <w:tr w14:paraId="5168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3BA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3052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7945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C0EBD95">
            <w:pPr>
              <w:jc w:val="center"/>
              <w:rPr>
                <w:rFonts w:hint="eastAsia" w:ascii="宋体" w:hAnsi="宋体" w:eastAsia="宋体" w:cs="宋体"/>
                <w:i w:val="0"/>
                <w:iCs w:val="0"/>
                <w:color w:val="000000"/>
                <w:sz w:val="20"/>
                <w:szCs w:val="20"/>
                <w:u w:val="none"/>
              </w:rPr>
            </w:pPr>
          </w:p>
        </w:tc>
      </w:tr>
    </w:tbl>
    <w:p w14:paraId="22593E3A">
      <w:pPr>
        <w:rPr>
          <w:rFonts w:hint="default" w:ascii="Times New Roman" w:hAnsi="Times New Roman" w:cs="Times New Roman"/>
          <w:color w:val="auto"/>
          <w:highlight w:val="none"/>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E9D485D">
        <w:pPr>
          <w:pStyle w:val="7"/>
          <w:jc w:val="center"/>
        </w:pPr>
        <w:r>
          <w:fldChar w:fldCharType="begin"/>
        </w:r>
        <w:r>
          <w:instrText xml:space="preserve">PAGE   \* MERGEFORMAT</w:instrText>
        </w:r>
        <w:r>
          <w:fldChar w:fldCharType="separate"/>
        </w:r>
        <w:r>
          <w:rPr>
            <w:lang w:val="zh-CN"/>
          </w:rPr>
          <w:t>13</w:t>
        </w:r>
        <w:r>
          <w:fldChar w:fldCharType="end"/>
        </w:r>
      </w:p>
    </w:sdtContent>
  </w:sdt>
  <w:p w14:paraId="049FE44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7397B77"/>
    <w:rsid w:val="0AD007F3"/>
    <w:rsid w:val="0E3C619F"/>
    <w:rsid w:val="0EA855E3"/>
    <w:rsid w:val="0F6273CA"/>
    <w:rsid w:val="100F38EC"/>
    <w:rsid w:val="11170296"/>
    <w:rsid w:val="12C66037"/>
    <w:rsid w:val="12CD1ABC"/>
    <w:rsid w:val="13471461"/>
    <w:rsid w:val="13B90F01"/>
    <w:rsid w:val="155E4C4D"/>
    <w:rsid w:val="181066D2"/>
    <w:rsid w:val="1C671E73"/>
    <w:rsid w:val="1D322C47"/>
    <w:rsid w:val="23616034"/>
    <w:rsid w:val="23696C97"/>
    <w:rsid w:val="24480FA2"/>
    <w:rsid w:val="25227A45"/>
    <w:rsid w:val="26AC3A6A"/>
    <w:rsid w:val="2B9D7E25"/>
    <w:rsid w:val="2BFD6A4C"/>
    <w:rsid w:val="2C7C7A3B"/>
    <w:rsid w:val="2F084421"/>
    <w:rsid w:val="2F364819"/>
    <w:rsid w:val="2FD63906"/>
    <w:rsid w:val="37215DAE"/>
    <w:rsid w:val="38CA40DD"/>
    <w:rsid w:val="395F2B56"/>
    <w:rsid w:val="3B482032"/>
    <w:rsid w:val="3BBA0580"/>
    <w:rsid w:val="3BECE841"/>
    <w:rsid w:val="3CDE204C"/>
    <w:rsid w:val="3D363C36"/>
    <w:rsid w:val="3E9C3F6D"/>
    <w:rsid w:val="3FF7797D"/>
    <w:rsid w:val="45472827"/>
    <w:rsid w:val="46690BD8"/>
    <w:rsid w:val="49792371"/>
    <w:rsid w:val="49F70BF1"/>
    <w:rsid w:val="4A11777B"/>
    <w:rsid w:val="4B4340EE"/>
    <w:rsid w:val="4C2515F7"/>
    <w:rsid w:val="503D507A"/>
    <w:rsid w:val="51FA74D0"/>
    <w:rsid w:val="52AA4A52"/>
    <w:rsid w:val="533269B7"/>
    <w:rsid w:val="539D3AD1"/>
    <w:rsid w:val="59943D66"/>
    <w:rsid w:val="59E051FD"/>
    <w:rsid w:val="59E6355E"/>
    <w:rsid w:val="5B821531"/>
    <w:rsid w:val="5BFF6039"/>
    <w:rsid w:val="5D76A616"/>
    <w:rsid w:val="5D7F20B9"/>
    <w:rsid w:val="5DAC7D0E"/>
    <w:rsid w:val="5DDF1807"/>
    <w:rsid w:val="5F98B5AF"/>
    <w:rsid w:val="5F990C0C"/>
    <w:rsid w:val="5FFE8511"/>
    <w:rsid w:val="5FFEACE2"/>
    <w:rsid w:val="609D5BF6"/>
    <w:rsid w:val="61073070"/>
    <w:rsid w:val="61B9080E"/>
    <w:rsid w:val="61DF3FED"/>
    <w:rsid w:val="62606CE8"/>
    <w:rsid w:val="642B176B"/>
    <w:rsid w:val="643EE26D"/>
    <w:rsid w:val="656019A0"/>
    <w:rsid w:val="65F242EE"/>
    <w:rsid w:val="666D7E19"/>
    <w:rsid w:val="68376930"/>
    <w:rsid w:val="68F91E38"/>
    <w:rsid w:val="6A2F3737"/>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10381</Words>
  <Characters>10679</Characters>
  <Lines>58</Lines>
  <Paragraphs>16</Paragraphs>
  <TotalTime>0</TotalTime>
  <ScaleCrop>false</ScaleCrop>
  <LinksUpToDate>false</LinksUpToDate>
  <CharactersWithSpaces>10686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