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hint="default" w:ascii="Times New Roman" w:hAnsi="Times New Roman" w:eastAsia="华文中宋" w:cs="Times New Roman"/>
          <w:b/>
          <w:color w:val="auto"/>
          <w:kern w:val="0"/>
          <w:sz w:val="52"/>
          <w:szCs w:val="52"/>
          <w:highlight w:val="none"/>
        </w:rPr>
      </w:pPr>
    </w:p>
    <w:p w14:paraId="7CF53B10">
      <w:pPr>
        <w:spacing w:line="540" w:lineRule="exact"/>
        <w:rPr>
          <w:rFonts w:hint="default" w:ascii="Times New Roman" w:hAnsi="Times New Roman" w:eastAsia="华文中宋" w:cs="Times New Roman"/>
          <w:b/>
          <w:color w:val="auto"/>
          <w:kern w:val="0"/>
          <w:sz w:val="52"/>
          <w:szCs w:val="52"/>
          <w:highlight w:val="none"/>
        </w:rPr>
      </w:pPr>
    </w:p>
    <w:p w14:paraId="7465461C">
      <w:pPr>
        <w:spacing w:line="540" w:lineRule="exact"/>
        <w:jc w:val="center"/>
        <w:rPr>
          <w:rFonts w:hint="default" w:ascii="Times New Roman" w:hAnsi="Times New Roman" w:eastAsia="华文中宋" w:cs="Times New Roman"/>
          <w:b/>
          <w:color w:val="auto"/>
          <w:kern w:val="0"/>
          <w:sz w:val="52"/>
          <w:szCs w:val="52"/>
          <w:highlight w:val="none"/>
        </w:rPr>
      </w:pPr>
    </w:p>
    <w:p w14:paraId="47204D13">
      <w:pPr>
        <w:spacing w:line="540" w:lineRule="exact"/>
        <w:jc w:val="center"/>
        <w:rPr>
          <w:rFonts w:hint="default" w:ascii="Times New Roman" w:hAnsi="Times New Roman" w:eastAsia="华文中宋" w:cs="Times New Roman"/>
          <w:b/>
          <w:color w:val="auto"/>
          <w:kern w:val="0"/>
          <w:sz w:val="52"/>
          <w:szCs w:val="52"/>
          <w:highlight w:val="none"/>
        </w:rPr>
      </w:pPr>
    </w:p>
    <w:p w14:paraId="5E11D5A7">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社区经费项目支出绩效评价</w:t>
      </w:r>
    </w:p>
    <w:p w14:paraId="2A66E519">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3435F33D">
      <w:pPr>
        <w:spacing w:line="540" w:lineRule="exact"/>
        <w:jc w:val="center"/>
        <w:rPr>
          <w:rFonts w:hint="default" w:ascii="Times New Roman" w:hAnsi="Times New Roman" w:eastAsia="华文中宋" w:cs="Times New Roman"/>
          <w:b/>
          <w:color w:val="auto"/>
          <w:kern w:val="0"/>
          <w:sz w:val="52"/>
          <w:szCs w:val="52"/>
          <w:highlight w:val="none"/>
        </w:rPr>
      </w:pPr>
    </w:p>
    <w:p w14:paraId="2C28A452">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1BF12FF7">
      <w:pPr>
        <w:spacing w:line="540" w:lineRule="exact"/>
        <w:jc w:val="center"/>
        <w:rPr>
          <w:rFonts w:hint="default" w:ascii="Times New Roman" w:hAnsi="Times New Roman" w:eastAsia="仿宋_GB2312" w:cs="Times New Roman"/>
          <w:color w:val="auto"/>
          <w:kern w:val="0"/>
          <w:sz w:val="30"/>
          <w:szCs w:val="30"/>
          <w:highlight w:val="none"/>
        </w:rPr>
      </w:pPr>
    </w:p>
    <w:p w14:paraId="24846776">
      <w:pPr>
        <w:spacing w:line="540" w:lineRule="exact"/>
        <w:jc w:val="center"/>
        <w:rPr>
          <w:rFonts w:hint="default" w:ascii="Times New Roman" w:hAnsi="Times New Roman" w:eastAsia="仿宋_GB2312" w:cs="Times New Roman"/>
          <w:color w:val="auto"/>
          <w:kern w:val="0"/>
          <w:sz w:val="30"/>
          <w:szCs w:val="30"/>
          <w:highlight w:val="none"/>
        </w:rPr>
      </w:pPr>
    </w:p>
    <w:p w14:paraId="58C16714">
      <w:pPr>
        <w:spacing w:line="540" w:lineRule="exact"/>
        <w:jc w:val="center"/>
        <w:rPr>
          <w:rFonts w:hint="default" w:ascii="Times New Roman" w:hAnsi="Times New Roman" w:eastAsia="仿宋_GB2312" w:cs="Times New Roman"/>
          <w:color w:val="auto"/>
          <w:kern w:val="0"/>
          <w:sz w:val="30"/>
          <w:szCs w:val="30"/>
          <w:highlight w:val="none"/>
        </w:rPr>
      </w:pPr>
    </w:p>
    <w:p w14:paraId="141D8E8F">
      <w:pPr>
        <w:pStyle w:val="10"/>
        <w:rPr>
          <w:rFonts w:hint="default" w:ascii="Times New Roman" w:hAnsi="Times New Roman" w:cs="Times New Roman"/>
          <w:color w:val="auto"/>
          <w:highlight w:val="none"/>
        </w:rPr>
      </w:pPr>
    </w:p>
    <w:p w14:paraId="02360C14">
      <w:pPr>
        <w:spacing w:line="540" w:lineRule="exact"/>
        <w:jc w:val="center"/>
        <w:rPr>
          <w:rFonts w:hint="default" w:ascii="Times New Roman" w:hAnsi="Times New Roman" w:eastAsia="仿宋_GB2312" w:cs="Times New Roman"/>
          <w:color w:val="auto"/>
          <w:kern w:val="0"/>
          <w:sz w:val="30"/>
          <w:szCs w:val="30"/>
          <w:highlight w:val="none"/>
        </w:rPr>
      </w:pPr>
    </w:p>
    <w:p w14:paraId="13AA2476">
      <w:pPr>
        <w:spacing w:line="540" w:lineRule="exact"/>
        <w:rPr>
          <w:rFonts w:hint="default" w:ascii="Times New Roman" w:hAnsi="Times New Roman" w:eastAsia="仿宋_GB2312" w:cs="Times New Roman"/>
          <w:color w:val="auto"/>
          <w:kern w:val="0"/>
          <w:sz w:val="30"/>
          <w:szCs w:val="30"/>
          <w:highlight w:val="none"/>
        </w:rPr>
      </w:pPr>
    </w:p>
    <w:p w14:paraId="2634DF05">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项目名称：社区经费</w:t>
      </w:r>
    </w:p>
    <w:p w14:paraId="6CF1E51E">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实施单位（公章）：乌鲁木齐市沙依巴克区红庙子片区管理委员会</w:t>
      </w:r>
    </w:p>
    <w:p w14:paraId="5B928C7A">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主管部门（公章）：乌鲁木齐市沙依巴克区红庙子片区管理委员会</w:t>
      </w:r>
    </w:p>
    <w:p w14:paraId="232611FB">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项目负责人（签章）：张淑霞</w:t>
      </w:r>
    </w:p>
    <w:p w14:paraId="04A3D850">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1</w:t>
      </w:r>
      <w:r>
        <w:rPr>
          <w:rFonts w:hint="default" w:ascii="Times New Roman" w:hAnsi="Times New Roman" w:eastAsia="仿宋_GB2312" w:cs="Times New Roman"/>
          <w:color w:val="auto"/>
          <w:kern w:val="0"/>
          <w:sz w:val="36"/>
          <w:szCs w:val="36"/>
          <w:highlight w:val="none"/>
        </w:rPr>
        <w:t>日</w:t>
      </w:r>
    </w:p>
    <w:p w14:paraId="17A69604">
      <w:pPr>
        <w:spacing w:line="540" w:lineRule="exact"/>
        <w:jc w:val="center"/>
        <w:rPr>
          <w:rFonts w:hint="default" w:ascii="Times New Roman" w:hAnsi="Times New Roman" w:eastAsia="仿宋_GB2312" w:cs="Times New Roman"/>
          <w:color w:val="auto"/>
          <w:kern w:val="0"/>
          <w:sz w:val="30"/>
          <w:szCs w:val="30"/>
          <w:highlight w:val="none"/>
        </w:rPr>
      </w:pPr>
    </w:p>
    <w:p w14:paraId="7DC9BDB4">
      <w:pPr>
        <w:spacing w:line="540" w:lineRule="exact"/>
        <w:rPr>
          <w:rStyle w:val="16"/>
          <w:rFonts w:hint="default" w:ascii="Times New Roman" w:hAnsi="Times New Roman" w:eastAsia="黑体" w:cs="Times New Roman"/>
          <w:b w:val="0"/>
          <w:color w:val="auto"/>
          <w:spacing w:val="-4"/>
          <w:sz w:val="32"/>
          <w:szCs w:val="32"/>
          <w:highlight w:val="none"/>
        </w:rPr>
      </w:pPr>
    </w:p>
    <w:p w14:paraId="63FE8A21">
      <w:pPr>
        <w:spacing w:line="540" w:lineRule="exact"/>
        <w:ind w:firstLine="640"/>
        <w:rPr>
          <w:rStyle w:val="16"/>
          <w:rFonts w:hint="default" w:ascii="Times New Roman" w:hAnsi="Times New Roman" w:eastAsia="黑体" w:cs="Times New Roman"/>
          <w:b w:val="0"/>
          <w:color w:val="auto"/>
          <w:spacing w:val="-4"/>
          <w:sz w:val="32"/>
          <w:szCs w:val="32"/>
          <w:highlight w:val="none"/>
        </w:rPr>
      </w:pPr>
    </w:p>
    <w:p w14:paraId="27A2E9C7">
      <w:pPr>
        <w:spacing w:line="540" w:lineRule="exact"/>
        <w:rPr>
          <w:rStyle w:val="16"/>
          <w:rFonts w:hint="default" w:ascii="Times New Roman" w:hAnsi="Times New Roman" w:eastAsia="黑体" w:cs="Times New Roman"/>
          <w:b w:val="0"/>
          <w:color w:val="auto"/>
          <w:spacing w:val="-4"/>
          <w:sz w:val="32"/>
          <w:szCs w:val="32"/>
          <w:highlight w:val="none"/>
        </w:rPr>
      </w:pPr>
    </w:p>
    <w:p w14:paraId="16E59755">
      <w:pPr>
        <w:spacing w:line="560" w:lineRule="exact"/>
        <w:ind w:firstLine="640" w:firstLineChars="200"/>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1B940412">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5D721A80">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3E9A9918">
      <w:pPr>
        <w:spacing w:line="560" w:lineRule="exact"/>
        <w:ind w:firstLine="600" w:firstLineChars="200"/>
        <w:rPr>
          <w:rStyle w:val="16"/>
          <w:rFonts w:hint="default" w:ascii="Times New Roman" w:hAnsi="Times New Roman" w:eastAsia="黑体" w:cs="Times New Roman"/>
          <w:b w:val="0"/>
          <w:bCs/>
          <w:color w:val="auto"/>
          <w:spacing w:val="-4"/>
          <w:sz w:val="32"/>
          <w:szCs w:val="32"/>
          <w:highlight w:val="none"/>
          <w:lang w:eastAsia="zh-CN"/>
        </w:rPr>
      </w:pPr>
      <w:r>
        <w:rPr>
          <w:rFonts w:hint="default" w:ascii="Times New Roman" w:hAnsi="Times New Roman" w:eastAsia="仿宋_GB2312" w:cs="Times New Roman"/>
          <w:color w:val="auto"/>
          <w:sz w:val="30"/>
          <w:szCs w:val="30"/>
          <w:highlight w:val="none"/>
          <w:lang w:val="en-US" w:eastAsia="zh-CN"/>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ascii="Times New Roman" w:hAnsi="Times New Roman" w:eastAsia="仿宋_GB2312" w:cs="Times New Roman"/>
          <w:color w:val="auto"/>
          <w:sz w:val="30"/>
          <w:szCs w:val="30"/>
          <w:highlight w:val="none"/>
          <w:lang w:val="en-US" w:eastAsia="zh-CN"/>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r>
        <w:rPr>
          <w:rStyle w:val="16"/>
          <w:rFonts w:hint="default" w:ascii="Times New Roman" w:hAnsi="Times New Roman" w:eastAsia="黑体" w:cs="Times New Roman"/>
          <w:b w:val="0"/>
          <w:bCs/>
          <w:color w:val="auto"/>
          <w:spacing w:val="-4"/>
          <w:sz w:val="32"/>
          <w:szCs w:val="32"/>
          <w:highlight w:val="none"/>
          <w:lang w:eastAsia="zh-CN"/>
        </w:rPr>
        <w:t>。</w:t>
      </w:r>
    </w:p>
    <w:p w14:paraId="1BC871C8">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0EFEE99E">
      <w:pPr>
        <w:spacing w:line="560" w:lineRule="exact"/>
        <w:ind w:firstLine="600" w:firstLineChars="200"/>
        <w:rPr>
          <w:rFonts w:hint="default" w:ascii="Times New Roman" w:hAnsi="Times New Roman" w:eastAsia="黑体" w:cs="Times New Roman"/>
          <w:color w:val="auto"/>
          <w:highlight w:val="none"/>
          <w:lang w:eastAsia="zh-CN"/>
        </w:rPr>
      </w:pPr>
      <w:r>
        <w:rPr>
          <w:rFonts w:hint="default" w:ascii="Times New Roman" w:hAnsi="Times New Roman" w:eastAsia="仿宋_GB2312" w:cs="Times New Roman"/>
          <w:color w:val="auto"/>
          <w:sz w:val="30"/>
          <w:szCs w:val="30"/>
          <w:highlight w:val="none"/>
          <w:lang w:val="en-US" w:eastAsia="zh-CN"/>
        </w:rPr>
        <w:t>项目主要内容：</w:t>
      </w:r>
      <w:r>
        <w:rPr>
          <w:rFonts w:hint="eastAsia" w:ascii="Times New Roman" w:hAnsi="Times New Roman" w:eastAsia="仿宋_GB2312" w:cs="Times New Roman"/>
          <w:color w:val="auto"/>
          <w:sz w:val="30"/>
          <w:szCs w:val="30"/>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7E4F063A">
      <w:pPr>
        <w:spacing w:line="56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项目实施情况：</w:t>
      </w:r>
      <w:r>
        <w:rPr>
          <w:rFonts w:hint="eastAsia" w:ascii="Times New Roman" w:hAnsi="Times New Roman" w:eastAsia="仿宋_GB2312" w:cs="Times New Roman"/>
          <w:color w:val="auto"/>
          <w:sz w:val="32"/>
          <w:szCs w:val="32"/>
          <w:highlight w:val="none"/>
        </w:rPr>
        <w:t>项目目前已经完成实际设立的目标，项目在实施过程中严格按照目标设立的各阶段任务进行开展工作，在前期立项过程中严格把质量关，建立安全防护机制，保证项目实施各阶段安全顺利进行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截止24年底保障我辖区内16个社区正常运转，提升社区服务能力。</w:t>
      </w:r>
    </w:p>
    <w:p w14:paraId="7330649E">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64B8E3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4D9D792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0493974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045742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万元，全年执行数</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我街道16个社区运转经费，平均每个社区52.5万元</w:t>
      </w:r>
      <w:r>
        <w:rPr>
          <w:rFonts w:hint="default" w:ascii="Times New Roman" w:hAnsi="Times New Roman" w:eastAsia="仿宋_GB2312" w:cs="Times New Roman"/>
          <w:color w:val="auto"/>
          <w:sz w:val="32"/>
          <w:szCs w:val="32"/>
          <w:highlight w:val="none"/>
          <w:lang w:val="en-US" w:eastAsia="zh-CN"/>
        </w:rPr>
        <w:t>。</w:t>
      </w:r>
    </w:p>
    <w:p w14:paraId="46100D4F">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648A60A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p>
    <w:p w14:paraId="08B62E62">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248BA190">
      <w:pPr>
        <w:spacing w:line="560" w:lineRule="exact"/>
        <w:ind w:firstLine="64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p>
    <w:p w14:paraId="2BFDACDE">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保障</w:t>
      </w:r>
      <w:r>
        <w:rPr>
          <w:rFonts w:hint="eastAsia" w:eastAsia="仿宋_GB2312" w:cs="Times New Roman"/>
          <w:color w:val="auto"/>
          <w:sz w:val="32"/>
          <w:szCs w:val="32"/>
          <w:highlight w:val="none"/>
          <w:lang w:val="en-US" w:eastAsia="zh-CN"/>
        </w:rPr>
        <w:t>我街道辖区内16个</w:t>
      </w:r>
      <w:r>
        <w:rPr>
          <w:rFonts w:hint="eastAsia" w:ascii="Times New Roman" w:hAnsi="Times New Roman" w:eastAsia="仿宋_GB2312" w:cs="Times New Roman"/>
          <w:color w:val="auto"/>
          <w:sz w:val="32"/>
          <w:szCs w:val="32"/>
          <w:highlight w:val="none"/>
          <w:lang w:val="en-US" w:eastAsia="zh-CN"/>
        </w:rPr>
        <w:t>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4219CEB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25D15507">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5F8BEEC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4E57CD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4A05E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3187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通过对项目预算执行情况及各项绩效目标达成程度的系统性分析，全面、客观地评估项目在预定周期内的实施效果，包括社会效益，为项目后续的改进与优化提供科学依据。</w:t>
      </w:r>
    </w:p>
    <w:p w14:paraId="2F447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753B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4D91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6E434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2110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64E69A4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本项目预算绩效评价报告的评价对象是社区经费及其预算执行情况。该项目由乌鲁木齐市沙依巴克区红庙子片区管理委员会负责实施，旨在</w:t>
      </w:r>
      <w:r>
        <w:rPr>
          <w:rFonts w:hint="eastAsia" w:ascii="Times New Roman" w:hAnsi="Times New Roman" w:eastAsia="仿宋_GB2312" w:cs="Times New Roman"/>
          <w:b w:val="0"/>
          <w:bCs w:val="0"/>
          <w:color w:val="auto"/>
          <w:highlight w:val="none"/>
          <w:lang w:val="en-US" w:eastAsia="zh-CN"/>
        </w:rPr>
        <w:t>保障我街道16个社区工作正常开展</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2024年1月1日</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84</w:t>
      </w:r>
      <w:r>
        <w:rPr>
          <w:rFonts w:hint="default" w:ascii="Times New Roman" w:hAnsi="Times New Roman" w:eastAsia="仿宋_GB2312" w:cs="Times New Roman"/>
          <w:b w:val="0"/>
          <w:bCs w:val="0"/>
          <w:color w:val="auto"/>
          <w:highlight w:val="none"/>
        </w:rPr>
        <w:t>0</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324B40B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3F83EA6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7793574">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5AC985B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3321091D">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3AE91BB1">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3EC09052">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74E07D02">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7CBC3BBF">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2C736C5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4EF86CD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 xml:space="preserve">（一）成本效益分析法。是指将投入与产出、效益进行关联性分析的方法。 </w:t>
      </w:r>
    </w:p>
    <w:p w14:paraId="4440403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（二）比较法。是指将实施情况与绩效目标、历史情况、不同部门和地区同类支出情况进行比较的方法。</w:t>
      </w:r>
    </w:p>
    <w:p w14:paraId="6AFCA54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（三）因素分析法。是指综合分析影响绩效目标实现、实施效果的内外部因素的方法。</w:t>
      </w:r>
    </w:p>
    <w:p w14:paraId="5728647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7355B2F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22653DC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5C2BE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31FC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w:t>
      </w:r>
      <w:r>
        <w:rPr>
          <w:rFonts w:hint="eastAsia" w:eastAsia="仿宋_GB2312" w:cs="Times New Roman"/>
          <w:color w:val="auto"/>
          <w:sz w:val="32"/>
          <w:szCs w:val="32"/>
          <w:highlight w:val="none"/>
          <w:lang w:val="en-US" w:eastAsia="zh-CN"/>
        </w:rPr>
        <w:t>社区负责人</w:t>
      </w:r>
      <w:r>
        <w:rPr>
          <w:rFonts w:hint="default" w:ascii="Times New Roman" w:hAnsi="Times New Roman" w:eastAsia="仿宋_GB2312" w:cs="Times New Roman"/>
          <w:color w:val="auto"/>
          <w:sz w:val="32"/>
          <w:szCs w:val="32"/>
          <w:highlight w:val="none"/>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42502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10D6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5A220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51CC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68B78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5BD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B41959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06C1B7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本项目的综合评价基于对项目各方面绩效的深入分析与评估。从项目目标的达成情况来看，社区经费在</w:t>
      </w:r>
      <w:r>
        <w:rPr>
          <w:rFonts w:hint="eastAsia" w:eastAsia="仿宋_GB2312" w:cs="Times New Roman"/>
          <w:color w:val="auto"/>
          <w:sz w:val="32"/>
          <w:szCs w:val="32"/>
          <w:highlight w:val="none"/>
          <w:lang w:val="en-US" w:eastAsia="zh-CN"/>
        </w:rPr>
        <w:t>保障社区数量</w:t>
      </w:r>
      <w:r>
        <w:rPr>
          <w:rFonts w:hint="default" w:ascii="Times New Roman" w:hAnsi="Times New Roman" w:eastAsia="仿宋_GB2312" w:cs="Times New Roman"/>
          <w:color w:val="auto"/>
          <w:sz w:val="32"/>
          <w:szCs w:val="32"/>
          <w:highlight w:val="none"/>
        </w:rPr>
        <w:t>、经费支出合理性等方面表现出色，达到了预期的标准与要求。同时，项目也在提供充足的社区经费，用以保障辖区居民生活安全和提升幸福感取得了显著的成效，如经费支出合理性、经费支付及时性等。</w:t>
      </w:r>
    </w:p>
    <w:p w14:paraId="017B90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在项目管理方面，乌鲁木齐市沙依巴克区红庙子片区管理委员会通过有效的规划、组织与协调，项目得以顺利实施，并在预算与时间上保持了良好的控制。</w:t>
      </w:r>
    </w:p>
    <w:p w14:paraId="302BD9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从项目效益的角度来看，本项目不仅实现了预期的社会效益方面产生了积极的影响。具体而言，提升社区服务能力</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保障社区工作正常运转</w:t>
      </w:r>
      <w:r>
        <w:rPr>
          <w:rFonts w:hint="default" w:ascii="Times New Roman" w:hAnsi="Times New Roman" w:eastAsia="仿宋_GB2312" w:cs="Times New Roman"/>
          <w:color w:val="auto"/>
          <w:sz w:val="32"/>
          <w:szCs w:val="32"/>
          <w:highlight w:val="none"/>
        </w:rPr>
        <w:t>方面的提升，为项目的利益相关者带来了实实在在的利益。</w:t>
      </w:r>
    </w:p>
    <w:p w14:paraId="658712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综上所述，社区经费在绩效评价中表现出色，达到了项目的预期目标，并在多个方面取得了显著的成效。</w:t>
      </w:r>
    </w:p>
    <w:p w14:paraId="54598732">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0AD2287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分，属于“优”。其中，项目决策类指标权重为20分，得分为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0DA8308E">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70F62D1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0E41E5C">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587CC5E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0D3B82D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546A8D9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497764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6F9EC0D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7050F0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1B562BB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5B123CD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eastAsia" w:ascii="Times New Roman" w:hAnsi="Times New Roman" w:eastAsia="仿宋_GB2312" w:cs="Times New Roman"/>
          <w:color w:val="auto"/>
          <w:sz w:val="32"/>
          <w:szCs w:val="32"/>
          <w:highlight w:val="none"/>
          <w:lang w:val="en-US" w:eastAsia="zh-CN"/>
        </w:rPr>
        <w:t>数量指标：所辖资金使用对象社区数量16个。质量指标：经费支出合理性&gt;=95%。时效指标：经费支付及时性&gt;=95%。经济成本指标：所辖各社区经费平均标准&lt;=52.5万元。社会效益指标：提供充足的社区经费，用以保障辖区居民生活安全和提升幸福感，有效提升。提升社区服务能力，有效提高。满意度指标：辖区居民满意度&gt;=95%。</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33A1147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1C019F4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626E1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09A0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217CF8C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48574C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290DB0E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7BEFCB0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本项目总投资840万元，财政资金及时足额到位，到位率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于2024年12月全部到位，用于支付我街道辖区内16个社区每月经费支出。</w:t>
      </w:r>
    </w:p>
    <w:p w14:paraId="2DFB9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79A1A39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w:t>
      </w:r>
      <w:r>
        <w:rPr>
          <w:rFonts w:hint="eastAsia"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用于支付我街道辖区内16个社区每月经费支出。</w:t>
      </w:r>
    </w:p>
    <w:p w14:paraId="68A681F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7F3A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18A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264496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60CF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在制度设计上，我们注重了制度的科学性与可操作性，确保制度能够切实指导项目的执行与管理。</w:t>
      </w:r>
    </w:p>
    <w:p w14:paraId="7AB0C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3C68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336D5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356548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个三级指标构成，权重分为40分，实际得分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03A1C3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7201F4F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指标1：所辖资金使用对象社区数量 ，指标值：</w:t>
      </w:r>
      <w:r>
        <w:rPr>
          <w:rFonts w:hint="eastAsia" w:eastAsia="仿宋_GB2312" w:cs="Times New Roman"/>
          <w:color w:val="auto"/>
          <w:sz w:val="32"/>
          <w:szCs w:val="32"/>
          <w:highlight w:val="none"/>
          <w:lang w:val="en-US" w:eastAsia="zh-CN"/>
        </w:rPr>
        <w:t>16个</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16个</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16个社区分别福星社区、福地社区、康悦社区、新居社区、天海社区、金泰社区、嘉和园社区、金地社区、新乐社区、汇珊园社区、西城街北社区、新通社区、西城街西社区、西环中路东社区、汇芙园社区、泰琇社区。保障16个社区各项工作正常开展。</w:t>
      </w:r>
    </w:p>
    <w:p w14:paraId="0EBFE09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36267BB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指标1：经费支出合理性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2551139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7F87E27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指标1：经费支付及时性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该条指标截止24年底完成较好，无偏差。按时支付辖区内16个社区所需各项经费。</w:t>
      </w:r>
    </w:p>
    <w:p w14:paraId="474D674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6E40F18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指标1：所辖各社区经费平均标准 ，指标值：</w:t>
      </w:r>
      <w:r>
        <w:rPr>
          <w:rFonts w:hint="eastAsia" w:eastAsia="仿宋_GB2312" w:cs="Times New Roman"/>
          <w:color w:val="auto"/>
          <w:sz w:val="32"/>
          <w:szCs w:val="32"/>
          <w:highlight w:val="none"/>
          <w:lang w:val="en-US" w:eastAsia="zh-CN"/>
        </w:rPr>
        <w:t>&lt;=52.50万元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52.50万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840</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平均每个社区52.5万元。</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p>
    <w:p w14:paraId="39216528">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7D7A850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个三级指标构成，权重分为20分，实际得分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3B6BEF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1.实施效益</w:t>
      </w:r>
    </w:p>
    <w:p w14:paraId="28F259D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经济效益指标：</w:t>
      </w:r>
    </w:p>
    <w:p w14:paraId="0B49B21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4F06D70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②</w:t>
      </w:r>
      <w:r>
        <w:rPr>
          <w:rFonts w:hint="default" w:ascii="Times New Roman" w:hAnsi="Times New Roman" w:eastAsia="仿宋_GB2312" w:cs="Times New Roman"/>
          <w:color w:val="auto"/>
          <w:sz w:val="32"/>
          <w:szCs w:val="32"/>
          <w:highlight w:val="none"/>
        </w:rPr>
        <w:t>社会效益指标：</w:t>
      </w:r>
    </w:p>
    <w:p w14:paraId="0CDA1BBD">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指标1：提供充足的社区经费，用以保障辖区居民生活安全和提升幸福感，指标值：</w:t>
      </w:r>
      <w:r>
        <w:rPr>
          <w:rFonts w:hint="eastAsia" w:eastAsia="仿宋_GB2312" w:cs="Times New Roman"/>
          <w:color w:val="auto"/>
          <w:sz w:val="32"/>
          <w:szCs w:val="32"/>
          <w:highlight w:val="none"/>
          <w:lang w:val="en-US" w:eastAsia="zh-CN"/>
        </w:rPr>
        <w:t>有效提升和保障</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有效保障辖区内</w:t>
      </w:r>
      <w:r>
        <w:rPr>
          <w:rFonts w:hint="eastAsia" w:eastAsia="仿宋_GB2312" w:cs="Times New Roman"/>
          <w:color w:val="auto"/>
          <w:sz w:val="32"/>
          <w:szCs w:val="32"/>
          <w:highlight w:val="none"/>
          <w:lang w:val="en-US" w:eastAsia="zh-CN"/>
        </w:rPr>
        <w:t>16</w:t>
      </w:r>
      <w:r>
        <w:rPr>
          <w:rFonts w:hint="eastAsia" w:ascii="Times New Roman" w:hAnsi="Times New Roman" w:eastAsia="仿宋_GB2312" w:cs="Times New Roman"/>
          <w:color w:val="auto"/>
          <w:sz w:val="32"/>
          <w:szCs w:val="32"/>
          <w:highlight w:val="none"/>
          <w:lang w:val="en-US" w:eastAsia="zh-CN"/>
        </w:rPr>
        <w:t>个社区为民提供社区服务，供给充足的社区经费，用以保障辖区居民生活安全和提升幸福感</w:t>
      </w:r>
      <w:r>
        <w:rPr>
          <w:rFonts w:hint="eastAsia" w:eastAsia="仿宋_GB2312" w:cs="Times New Roman"/>
          <w:color w:val="auto"/>
          <w:sz w:val="32"/>
          <w:szCs w:val="32"/>
          <w:highlight w:val="none"/>
          <w:lang w:val="en-US" w:eastAsia="zh-CN"/>
        </w:rPr>
        <w:t>。</w:t>
      </w:r>
    </w:p>
    <w:p w14:paraId="4F1914D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：提升社区服务能力，指标值：</w:t>
      </w:r>
      <w:r>
        <w:rPr>
          <w:rFonts w:hint="eastAsia" w:eastAsia="仿宋_GB2312" w:cs="Times New Roman"/>
          <w:color w:val="auto"/>
          <w:sz w:val="32"/>
          <w:szCs w:val="32"/>
          <w:highlight w:val="none"/>
          <w:lang w:val="en-US" w:eastAsia="zh-CN"/>
        </w:rPr>
        <w:t>有效提升</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该条指标截止24年底完成较好，无偏差。通过此项目开展保障全局机构正常运行，提高各</w:t>
      </w:r>
      <w:r>
        <w:rPr>
          <w:rFonts w:hint="default" w:ascii="Times New Roman" w:hAnsi="Times New Roman" w:eastAsia="仿宋_GB2312" w:cs="Times New Roman"/>
          <w:color w:val="auto"/>
          <w:sz w:val="32"/>
          <w:szCs w:val="32"/>
          <w:highlight w:val="none"/>
        </w:rPr>
        <w:t>社区服务能力</w:t>
      </w:r>
      <w:r>
        <w:rPr>
          <w:rFonts w:hint="eastAsia" w:eastAsia="仿宋_GB2312" w:cs="Times New Roman"/>
          <w:color w:val="auto"/>
          <w:sz w:val="32"/>
          <w:szCs w:val="32"/>
          <w:highlight w:val="none"/>
          <w:lang w:eastAsia="zh-CN"/>
        </w:rPr>
        <w:t>。</w:t>
      </w:r>
    </w:p>
    <w:p w14:paraId="682FC4D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③生态效益指标：</w:t>
      </w:r>
    </w:p>
    <w:p w14:paraId="6A1996C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25A0CB5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2.满意度</w:t>
      </w:r>
    </w:p>
    <w:p w14:paraId="35BD532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指标1：辖区居民满意度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p>
    <w:p w14:paraId="4E8E84AD">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57CD9149">
      <w:pPr>
        <w:pStyle w:val="19"/>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社区经费</w:t>
      </w:r>
      <w:r>
        <w:rPr>
          <w:rFonts w:hint="default" w:ascii="Times New Roman" w:hAnsi="Times New Roman" w:eastAsia="方正仿宋_GBK" w:cs="Times New Roman"/>
          <w:color w:val="auto"/>
          <w:sz w:val="32"/>
          <w:szCs w:val="32"/>
          <w:highlight w:val="none"/>
        </w:rPr>
        <w:t>项目年初预算</w:t>
      </w:r>
      <w:r>
        <w:rPr>
          <w:rFonts w:hint="default" w:ascii="Times New Roman" w:hAnsi="Times New Roman" w:eastAsia="方正仿宋_GBK" w:cs="Times New Roman"/>
          <w:color w:val="auto"/>
          <w:sz w:val="32"/>
          <w:szCs w:val="32"/>
          <w:highlight w:val="none"/>
          <w:lang w:val="en-US" w:eastAsia="zh-CN"/>
        </w:rPr>
        <w:t>840</w:t>
      </w:r>
      <w:r>
        <w:rPr>
          <w:rFonts w:hint="default" w:ascii="Times New Roman" w:hAnsi="Times New Roman" w:eastAsia="方正仿宋_GBK" w:cs="Times New Roman"/>
          <w:color w:val="auto"/>
          <w:sz w:val="32"/>
          <w:szCs w:val="32"/>
          <w:highlight w:val="none"/>
        </w:rPr>
        <w:t>万元，全年预算</w:t>
      </w:r>
      <w:r>
        <w:rPr>
          <w:rFonts w:hint="default" w:ascii="Times New Roman" w:hAnsi="Times New Roman" w:eastAsia="方正仿宋_GBK" w:cs="Times New Roman"/>
          <w:color w:val="auto"/>
          <w:sz w:val="32"/>
          <w:szCs w:val="32"/>
          <w:highlight w:val="none"/>
          <w:lang w:val="en-US" w:eastAsia="zh-CN"/>
        </w:rPr>
        <w:t>840</w:t>
      </w:r>
      <w:r>
        <w:rPr>
          <w:rFonts w:hint="default" w:ascii="Times New Roman" w:hAnsi="Times New Roman" w:eastAsia="方正仿宋_GBK" w:cs="Times New Roman"/>
          <w:color w:val="auto"/>
          <w:sz w:val="32"/>
          <w:szCs w:val="32"/>
          <w:highlight w:val="none"/>
        </w:rPr>
        <w:t>万元，实际支出</w:t>
      </w:r>
      <w:r>
        <w:rPr>
          <w:rFonts w:hint="default" w:ascii="Times New Roman" w:hAnsi="Times New Roman" w:eastAsia="方正仿宋_GBK" w:cs="Times New Roman"/>
          <w:color w:val="auto"/>
          <w:sz w:val="32"/>
          <w:szCs w:val="32"/>
          <w:highlight w:val="none"/>
          <w:lang w:val="en-US" w:eastAsia="zh-CN"/>
        </w:rPr>
        <w:t>840</w:t>
      </w:r>
      <w:r>
        <w:rPr>
          <w:rFonts w:hint="default" w:ascii="Times New Roman" w:hAnsi="Times New Roman" w:eastAsia="方正仿宋_GBK" w:cs="Times New Roman"/>
          <w:color w:val="auto"/>
          <w:sz w:val="32"/>
          <w:szCs w:val="32"/>
          <w:highlight w:val="none"/>
        </w:rPr>
        <w:t>万元，预算执行率为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%，项目绩效指标总体完成率为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Hans"/>
        </w:rPr>
        <w:t>总体</w:t>
      </w:r>
      <w:r>
        <w:rPr>
          <w:rFonts w:hint="default" w:ascii="Times New Roman" w:hAnsi="Times New Roman" w:eastAsia="方正仿宋_GBK" w:cs="Times New Roman"/>
          <w:color w:val="auto"/>
          <w:sz w:val="32"/>
          <w:szCs w:val="32"/>
          <w:highlight w:val="none"/>
        </w:rPr>
        <w:t>偏差率为</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cs="Times New Roman"/>
          <w:color w:val="auto"/>
          <w:highlight w:val="none"/>
          <w:lang w:eastAsia="zh-CN"/>
        </w:rPr>
        <w:t>，</w:t>
      </w:r>
      <w:r>
        <w:rPr>
          <w:rFonts w:hint="eastAsia" w:eastAsia="仿宋_GB2312" w:cs="Times New Roman"/>
          <w:color w:val="auto"/>
          <w:sz w:val="32"/>
          <w:szCs w:val="32"/>
          <w:highlight w:val="none"/>
          <w:lang w:val="en-US" w:eastAsia="zh-CN"/>
        </w:rPr>
        <w:t>该项目截止24年底完成较好，无偏差</w:t>
      </w:r>
      <w:r>
        <w:rPr>
          <w:rFonts w:hint="default" w:ascii="Times New Roman" w:hAnsi="Times New Roman" w:eastAsia="方正仿宋_GBK" w:cs="Times New Roman"/>
          <w:color w:val="auto"/>
          <w:sz w:val="32"/>
          <w:szCs w:val="32"/>
          <w:highlight w:val="none"/>
        </w:rPr>
        <w:t>。</w:t>
      </w:r>
    </w:p>
    <w:p w14:paraId="5DED8768">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5F9FADCA">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5A952AA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default" w:ascii="Times New Roman" w:hAnsi="Times New Roman" w:eastAsia="仿宋_GB2312" w:cs="Times New Roman"/>
          <w:b w:val="0"/>
          <w:bCs w:val="0"/>
          <w:color w:val="auto"/>
          <w:kern w:val="2"/>
          <w:highlight w:val="none"/>
        </w:rPr>
        <w:t>严格坚持先做事、后验收、再拨付的原则，</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47643AF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2.因轮岗、调动</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因素使我单位绩效工作人员流动频繁，</w:t>
      </w:r>
      <w:r>
        <w:rPr>
          <w:rFonts w:hint="eastAsia" w:ascii="Times New Roman" w:hAnsi="Times New Roman" w:eastAsia="仿宋_GB2312" w:cs="Times New Roman"/>
          <w:color w:val="auto"/>
          <w:sz w:val="32"/>
          <w:szCs w:val="32"/>
          <w:highlight w:val="none"/>
          <w:lang w:val="en-US" w:eastAsia="zh-CN"/>
        </w:rPr>
        <w:t>造成</w:t>
      </w:r>
      <w:r>
        <w:rPr>
          <w:rFonts w:hint="default" w:ascii="Times New Roman" w:hAnsi="Times New Roman" w:eastAsia="仿宋_GB2312" w:cs="Times New Roman"/>
          <w:color w:val="auto"/>
          <w:sz w:val="32"/>
          <w:szCs w:val="32"/>
          <w:highlight w:val="none"/>
          <w:lang w:val="en-US" w:eastAsia="zh-CN"/>
        </w:rPr>
        <w:t>工作衔接不到位的情况。</w:t>
      </w:r>
    </w:p>
    <w:p w14:paraId="581D1A14">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5E3DE75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1.多进行有关绩效管理工作方面的培训。积极组织第三方开展绩效管理工作培训，进一步夯实业务基础，提高我单位绩效人员水平。</w:t>
      </w:r>
    </w:p>
    <w:p w14:paraId="1697160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2.专门设定对绩效工作人员定职、定岗、定责等相关制度措施，进一步提升我单位绩效管理工作业务水平，扎实做好绩效管理工作。</w:t>
      </w:r>
    </w:p>
    <w:p w14:paraId="3AB05DC2">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0" w:name="page8"/>
      <w:bookmarkEnd w:id="0"/>
      <w:r>
        <w:rPr>
          <w:rFonts w:hint="default" w:ascii="Times New Roman" w:hAnsi="Times New Roman" w:eastAsia="黑体" w:cs="Times New Roman"/>
          <w:color w:val="auto"/>
          <w:sz w:val="32"/>
          <w:szCs w:val="32"/>
          <w:highlight w:val="none"/>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078F1386">
      <w:pPr>
        <w:pStyle w:val="13"/>
        <w:spacing w:after="0" w:line="560" w:lineRule="exact"/>
        <w:ind w:left="0" w:leftChars="0"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30F1D2DC">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3AD50DE0">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168A380C">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5AF7B446">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573D47C3">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4F6B37B4">
      <w:pPr>
        <w:pStyle w:val="19"/>
        <w:ind w:firstLine="562"/>
        <w:jc w:val="center"/>
        <w:rPr>
          <w:rFonts w:hint="eastAsia" w:ascii="仿宋_GB2312" w:hAnsi="仿宋_GB2312" w:eastAsia="仿宋_GB2312" w:cs="仿宋_GB2312"/>
          <w:color w:val="auto"/>
          <w:sz w:val="28"/>
          <w:szCs w:val="40"/>
          <w:highlight w:val="none"/>
        </w:rPr>
      </w:pPr>
      <w:bookmarkStart w:id="1" w:name="_Toc30064_WPSOffice_Level1"/>
      <w:bookmarkStart w:id="2" w:name="_Toc26499_WPSOffice_Level2"/>
      <w:r>
        <w:rPr>
          <w:rFonts w:hint="eastAsia" w:ascii="仿宋_GB2312" w:hAnsi="仿宋_GB2312" w:eastAsia="仿宋_GB2312" w:cs="仿宋_GB2312"/>
          <w:b/>
          <w:bCs/>
          <w:color w:val="auto"/>
          <w:sz w:val="28"/>
          <w:szCs w:val="40"/>
          <w:highlight w:val="none"/>
          <w:lang w:val="en-US" w:eastAsia="zh-CN"/>
        </w:rPr>
        <w:t>社区经费</w:t>
      </w:r>
      <w:r>
        <w:rPr>
          <w:rFonts w:hint="eastAsia" w:ascii="仿宋_GB2312" w:hAnsi="仿宋_GB2312" w:eastAsia="仿宋_GB2312" w:cs="仿宋_GB2312"/>
          <w:b/>
          <w:bCs/>
          <w:color w:val="auto"/>
          <w:sz w:val="28"/>
          <w:szCs w:val="40"/>
          <w:highlight w:val="none"/>
        </w:rPr>
        <w:t>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1000"/>
        <w:gridCol w:w="1071"/>
        <w:gridCol w:w="1725"/>
        <w:gridCol w:w="5216"/>
        <w:gridCol w:w="5"/>
        <w:gridCol w:w="1299"/>
        <w:gridCol w:w="1365"/>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394" w:type="pct"/>
            <w:shd w:val="clear" w:color="auto" w:fill="FFFFFF"/>
            <w:vAlign w:val="center"/>
          </w:tcPr>
          <w:p w14:paraId="3CCC7E8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422" w:type="pct"/>
            <w:shd w:val="clear" w:color="auto" w:fill="FFFFFF"/>
            <w:vAlign w:val="center"/>
          </w:tcPr>
          <w:p w14:paraId="5EABFBA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680" w:type="pct"/>
            <w:shd w:val="clear" w:color="auto" w:fill="FFFFFF"/>
            <w:vAlign w:val="center"/>
          </w:tcPr>
          <w:p w14:paraId="5175A39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2056" w:type="pct"/>
            <w:shd w:val="clear" w:color="auto" w:fill="FFFFFF"/>
            <w:vAlign w:val="center"/>
          </w:tcPr>
          <w:p w14:paraId="130905C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514" w:type="pct"/>
            <w:gridSpan w:val="2"/>
            <w:shd w:val="clear" w:color="auto" w:fill="FFFFFF"/>
            <w:vAlign w:val="center"/>
          </w:tcPr>
          <w:p w14:paraId="4394327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538" w:type="pct"/>
            <w:shd w:val="clear" w:color="auto" w:fill="FFFFFF"/>
            <w:vAlign w:val="center"/>
          </w:tcPr>
          <w:p w14:paraId="4767584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hint="default" w:ascii="Times New Roman" w:hAnsi="Times New Roman" w:eastAsia="仿宋_GB2312" w:cs="Times New Roman"/>
                <w:color w:val="auto"/>
                <w:kern w:val="0"/>
                <w:sz w:val="18"/>
                <w:szCs w:val="18"/>
                <w:highlight w:val="none"/>
              </w:rPr>
            </w:pPr>
          </w:p>
          <w:p w14:paraId="5C999CB4">
            <w:pPr>
              <w:widowControl/>
              <w:spacing w:line="0" w:lineRule="atLeast"/>
              <w:jc w:val="center"/>
              <w:rPr>
                <w:rFonts w:hint="default" w:ascii="Times New Roman" w:hAnsi="Times New Roman" w:eastAsia="仿宋_GB2312" w:cs="Times New Roman"/>
                <w:color w:val="auto"/>
                <w:kern w:val="0"/>
                <w:sz w:val="18"/>
                <w:szCs w:val="18"/>
                <w:highlight w:val="none"/>
              </w:rPr>
            </w:pPr>
          </w:p>
          <w:p w14:paraId="5F6B9081">
            <w:pPr>
              <w:widowControl/>
              <w:spacing w:line="0" w:lineRule="atLeast"/>
              <w:jc w:val="center"/>
              <w:rPr>
                <w:rFonts w:hint="default" w:ascii="Times New Roman" w:hAnsi="Times New Roman" w:eastAsia="仿宋_GB2312" w:cs="Times New Roman"/>
                <w:color w:val="auto"/>
                <w:kern w:val="0"/>
                <w:sz w:val="18"/>
                <w:szCs w:val="18"/>
                <w:highlight w:val="none"/>
              </w:rPr>
            </w:pPr>
          </w:p>
          <w:p w14:paraId="2928D8E8">
            <w:pPr>
              <w:widowControl/>
              <w:spacing w:line="0" w:lineRule="atLeast"/>
              <w:jc w:val="center"/>
              <w:rPr>
                <w:rFonts w:hint="default" w:ascii="Times New Roman" w:hAnsi="Times New Roman" w:eastAsia="仿宋_GB2312" w:cs="Times New Roman"/>
                <w:color w:val="auto"/>
                <w:kern w:val="0"/>
                <w:sz w:val="18"/>
                <w:szCs w:val="18"/>
                <w:highlight w:val="none"/>
              </w:rPr>
            </w:pPr>
          </w:p>
          <w:p w14:paraId="5B7A878C">
            <w:pPr>
              <w:widowControl/>
              <w:spacing w:line="0" w:lineRule="atLeast"/>
              <w:jc w:val="center"/>
              <w:rPr>
                <w:rFonts w:hint="default" w:ascii="Times New Roman" w:hAnsi="Times New Roman" w:eastAsia="仿宋_GB2312" w:cs="Times New Roman"/>
                <w:color w:val="auto"/>
                <w:kern w:val="0"/>
                <w:sz w:val="18"/>
                <w:szCs w:val="18"/>
                <w:highlight w:val="none"/>
              </w:rPr>
            </w:pPr>
          </w:p>
          <w:p w14:paraId="785F3821">
            <w:pPr>
              <w:widowControl/>
              <w:spacing w:line="0" w:lineRule="atLeast"/>
              <w:jc w:val="center"/>
              <w:rPr>
                <w:rFonts w:hint="default" w:ascii="Times New Roman" w:hAnsi="Times New Roman" w:eastAsia="仿宋_GB2312" w:cs="Times New Roman"/>
                <w:color w:val="auto"/>
                <w:kern w:val="0"/>
                <w:sz w:val="18"/>
                <w:szCs w:val="18"/>
                <w:highlight w:val="none"/>
              </w:rPr>
            </w:pPr>
          </w:p>
          <w:p w14:paraId="59E640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394" w:type="pct"/>
            <w:vMerge w:val="restart"/>
            <w:shd w:val="clear" w:color="auto" w:fill="FFFFFF"/>
            <w:vAlign w:val="center"/>
          </w:tcPr>
          <w:p w14:paraId="2D23D20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422" w:type="pct"/>
            <w:shd w:val="clear" w:color="auto" w:fill="FFFFFF"/>
            <w:vAlign w:val="center"/>
          </w:tcPr>
          <w:p w14:paraId="2B8C228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7ECB52F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680" w:type="pct"/>
            <w:shd w:val="clear" w:color="auto" w:fill="FFFFFF"/>
            <w:vAlign w:val="center"/>
          </w:tcPr>
          <w:p w14:paraId="6F22700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514" w:type="pct"/>
            <w:gridSpan w:val="2"/>
            <w:shd w:val="clear" w:color="auto" w:fill="FFFFFF"/>
            <w:vAlign w:val="center"/>
          </w:tcPr>
          <w:p w14:paraId="5BD2F43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10DEA74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751F725A">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3969873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5D3E465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680" w:type="pct"/>
            <w:shd w:val="clear" w:color="auto" w:fill="FFFFFF"/>
            <w:vAlign w:val="center"/>
          </w:tcPr>
          <w:p w14:paraId="7724E69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514" w:type="pct"/>
            <w:gridSpan w:val="2"/>
            <w:shd w:val="clear" w:color="auto" w:fill="FFFFFF"/>
            <w:vAlign w:val="center"/>
          </w:tcPr>
          <w:p w14:paraId="7241452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46BCF098">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5FA35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422" w:type="pct"/>
            <w:shd w:val="clear" w:color="auto" w:fill="FFFFFF"/>
            <w:vAlign w:val="center"/>
          </w:tcPr>
          <w:p w14:paraId="5F69D0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25AD37D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000000" w:fill="FFFFFF"/>
            <w:vAlign w:val="center"/>
          </w:tcPr>
          <w:p w14:paraId="123B668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57C3E38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514" w:type="pct"/>
            <w:gridSpan w:val="2"/>
            <w:shd w:val="clear" w:color="000000" w:fill="FFFFFF"/>
            <w:vAlign w:val="center"/>
          </w:tcPr>
          <w:p w14:paraId="1B7DE25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170418A3">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6110931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EECA3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5BD192D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680" w:type="pct"/>
            <w:shd w:val="clear" w:color="000000" w:fill="FFFFFF"/>
            <w:vAlign w:val="center"/>
          </w:tcPr>
          <w:p w14:paraId="791318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514" w:type="pct"/>
            <w:gridSpan w:val="2"/>
            <w:shd w:val="clear" w:color="000000" w:fill="FFFFFF"/>
            <w:vAlign w:val="center"/>
          </w:tcPr>
          <w:p w14:paraId="1FF281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51C9508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85CDA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01B842D7">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38345BA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523FA00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680" w:type="pct"/>
            <w:shd w:val="clear" w:color="auto" w:fill="FFFFFF"/>
            <w:vAlign w:val="center"/>
          </w:tcPr>
          <w:p w14:paraId="21B04E7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514" w:type="pct"/>
            <w:gridSpan w:val="2"/>
            <w:shd w:val="clear" w:color="auto" w:fill="FFFFFF"/>
            <w:vAlign w:val="center"/>
          </w:tcPr>
          <w:p w14:paraId="53DE22F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67F1ABA">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138AC310">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566EAE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154F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auto" w:fill="FFFFFF"/>
            <w:vAlign w:val="center"/>
          </w:tcPr>
          <w:p w14:paraId="7C209FC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514" w:type="pct"/>
            <w:gridSpan w:val="2"/>
            <w:shd w:val="clear" w:color="auto" w:fill="FFFFFF"/>
            <w:vAlign w:val="center"/>
          </w:tcPr>
          <w:p w14:paraId="352AC61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31E537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hint="default" w:ascii="Times New Roman" w:hAnsi="Times New Roman" w:eastAsia="仿宋_GB2312" w:cs="Times New Roman"/>
                <w:color w:val="auto"/>
                <w:kern w:val="0"/>
                <w:sz w:val="18"/>
                <w:szCs w:val="18"/>
                <w:highlight w:val="none"/>
              </w:rPr>
            </w:pPr>
          </w:p>
          <w:p w14:paraId="0EFFCD01">
            <w:pPr>
              <w:spacing w:line="0" w:lineRule="atLeast"/>
              <w:jc w:val="center"/>
              <w:rPr>
                <w:rFonts w:hint="default" w:ascii="Times New Roman" w:hAnsi="Times New Roman" w:eastAsia="仿宋_GB2312" w:cs="Times New Roman"/>
                <w:color w:val="auto"/>
                <w:kern w:val="0"/>
                <w:sz w:val="18"/>
                <w:szCs w:val="18"/>
                <w:highlight w:val="none"/>
              </w:rPr>
            </w:pPr>
          </w:p>
          <w:p w14:paraId="351B0E10">
            <w:pPr>
              <w:spacing w:line="0" w:lineRule="atLeast"/>
              <w:jc w:val="center"/>
              <w:rPr>
                <w:rFonts w:hint="default" w:ascii="Times New Roman" w:hAnsi="Times New Roman" w:eastAsia="仿宋_GB2312" w:cs="Times New Roman"/>
                <w:color w:val="auto"/>
                <w:kern w:val="0"/>
                <w:sz w:val="18"/>
                <w:szCs w:val="18"/>
                <w:highlight w:val="none"/>
              </w:rPr>
            </w:pPr>
          </w:p>
          <w:p w14:paraId="5CE21D6B">
            <w:pPr>
              <w:spacing w:line="0" w:lineRule="atLeast"/>
              <w:jc w:val="center"/>
              <w:rPr>
                <w:rFonts w:hint="default" w:ascii="Times New Roman" w:hAnsi="Times New Roman" w:eastAsia="仿宋_GB2312" w:cs="Times New Roman"/>
                <w:color w:val="auto"/>
                <w:kern w:val="0"/>
                <w:sz w:val="18"/>
                <w:szCs w:val="18"/>
                <w:highlight w:val="none"/>
              </w:rPr>
            </w:pPr>
          </w:p>
          <w:p w14:paraId="12D7E55D">
            <w:pPr>
              <w:spacing w:line="0" w:lineRule="atLeast"/>
              <w:jc w:val="center"/>
              <w:rPr>
                <w:rFonts w:hint="default" w:ascii="Times New Roman" w:hAnsi="Times New Roman" w:eastAsia="仿宋_GB2312" w:cs="Times New Roman"/>
                <w:color w:val="auto"/>
                <w:kern w:val="0"/>
                <w:sz w:val="18"/>
                <w:szCs w:val="18"/>
                <w:highlight w:val="none"/>
              </w:rPr>
            </w:pPr>
          </w:p>
          <w:p w14:paraId="696A75A9">
            <w:pPr>
              <w:spacing w:line="0" w:lineRule="atLeast"/>
              <w:jc w:val="center"/>
              <w:rPr>
                <w:rFonts w:hint="default" w:ascii="Times New Roman" w:hAnsi="Times New Roman" w:eastAsia="仿宋_GB2312" w:cs="Times New Roman"/>
                <w:color w:val="auto"/>
                <w:kern w:val="0"/>
                <w:sz w:val="18"/>
                <w:szCs w:val="18"/>
                <w:highlight w:val="none"/>
              </w:rPr>
            </w:pPr>
          </w:p>
          <w:p w14:paraId="3E92393A">
            <w:pPr>
              <w:spacing w:line="0" w:lineRule="atLeast"/>
              <w:jc w:val="center"/>
              <w:rPr>
                <w:rFonts w:hint="default" w:ascii="Times New Roman" w:hAnsi="Times New Roman" w:eastAsia="仿宋_GB2312" w:cs="Times New Roman"/>
                <w:color w:val="auto"/>
                <w:kern w:val="0"/>
                <w:sz w:val="18"/>
                <w:szCs w:val="18"/>
                <w:highlight w:val="none"/>
              </w:rPr>
            </w:pPr>
          </w:p>
          <w:p w14:paraId="73153ECE">
            <w:pPr>
              <w:spacing w:line="0" w:lineRule="atLeast"/>
              <w:jc w:val="center"/>
              <w:rPr>
                <w:rFonts w:hint="default" w:ascii="Times New Roman" w:hAnsi="Times New Roman" w:eastAsia="仿宋_GB2312" w:cs="Times New Roman"/>
                <w:color w:val="auto"/>
                <w:kern w:val="0"/>
                <w:sz w:val="18"/>
                <w:szCs w:val="18"/>
                <w:highlight w:val="none"/>
              </w:rPr>
            </w:pPr>
          </w:p>
          <w:p w14:paraId="715295EE">
            <w:pPr>
              <w:spacing w:line="0" w:lineRule="atLeast"/>
              <w:jc w:val="center"/>
              <w:rPr>
                <w:rFonts w:hint="default" w:ascii="Times New Roman" w:hAnsi="Times New Roman" w:eastAsia="仿宋_GB2312" w:cs="Times New Roman"/>
                <w:color w:val="auto"/>
                <w:kern w:val="0"/>
                <w:sz w:val="18"/>
                <w:szCs w:val="18"/>
                <w:highlight w:val="none"/>
              </w:rPr>
            </w:pPr>
          </w:p>
          <w:p w14:paraId="57A1AECE">
            <w:pPr>
              <w:spacing w:line="0" w:lineRule="atLeast"/>
              <w:jc w:val="center"/>
              <w:rPr>
                <w:rFonts w:hint="default" w:ascii="Times New Roman" w:hAnsi="Times New Roman" w:eastAsia="仿宋_GB2312" w:cs="Times New Roman"/>
                <w:color w:val="auto"/>
                <w:kern w:val="0"/>
                <w:sz w:val="18"/>
                <w:szCs w:val="18"/>
                <w:highlight w:val="none"/>
              </w:rPr>
            </w:pPr>
          </w:p>
          <w:p w14:paraId="0BC307E9">
            <w:pPr>
              <w:spacing w:line="0" w:lineRule="atLeast"/>
              <w:jc w:val="center"/>
              <w:rPr>
                <w:rFonts w:hint="default" w:ascii="Times New Roman" w:hAnsi="Times New Roman" w:eastAsia="仿宋_GB2312" w:cs="Times New Roman"/>
                <w:color w:val="auto"/>
                <w:kern w:val="0"/>
                <w:sz w:val="18"/>
                <w:szCs w:val="18"/>
                <w:highlight w:val="none"/>
              </w:rPr>
            </w:pPr>
          </w:p>
          <w:p w14:paraId="307AE745">
            <w:pPr>
              <w:spacing w:line="0" w:lineRule="atLeast"/>
              <w:jc w:val="center"/>
              <w:rPr>
                <w:rFonts w:hint="default" w:ascii="Times New Roman" w:hAnsi="Times New Roman" w:eastAsia="仿宋_GB2312" w:cs="Times New Roman"/>
                <w:color w:val="auto"/>
                <w:kern w:val="0"/>
                <w:sz w:val="18"/>
                <w:szCs w:val="18"/>
                <w:highlight w:val="none"/>
              </w:rPr>
            </w:pPr>
          </w:p>
          <w:p w14:paraId="620C70B1">
            <w:pPr>
              <w:spacing w:line="0" w:lineRule="atLeast"/>
              <w:jc w:val="center"/>
              <w:rPr>
                <w:rFonts w:hint="default" w:ascii="Times New Roman" w:hAnsi="Times New Roman" w:eastAsia="仿宋_GB2312" w:cs="Times New Roman"/>
                <w:color w:val="auto"/>
                <w:kern w:val="0"/>
                <w:sz w:val="18"/>
                <w:szCs w:val="18"/>
                <w:highlight w:val="none"/>
              </w:rPr>
            </w:pPr>
          </w:p>
          <w:p w14:paraId="5945B673">
            <w:pPr>
              <w:spacing w:line="0" w:lineRule="atLeast"/>
              <w:jc w:val="center"/>
              <w:rPr>
                <w:rFonts w:hint="default" w:ascii="Times New Roman" w:hAnsi="Times New Roman" w:eastAsia="仿宋_GB2312" w:cs="Times New Roman"/>
                <w:color w:val="auto"/>
                <w:kern w:val="0"/>
                <w:sz w:val="18"/>
                <w:szCs w:val="18"/>
                <w:highlight w:val="none"/>
              </w:rPr>
            </w:pPr>
          </w:p>
          <w:p w14:paraId="6AC00744">
            <w:pPr>
              <w:spacing w:line="0" w:lineRule="atLeast"/>
              <w:jc w:val="center"/>
              <w:rPr>
                <w:rFonts w:hint="default" w:ascii="Times New Roman" w:hAnsi="Times New Roman" w:eastAsia="仿宋_GB2312" w:cs="Times New Roman"/>
                <w:color w:val="auto"/>
                <w:kern w:val="0"/>
                <w:sz w:val="18"/>
                <w:szCs w:val="18"/>
                <w:highlight w:val="none"/>
              </w:rPr>
            </w:pPr>
          </w:p>
          <w:p w14:paraId="4A359D7C">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6062CAA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394" w:type="pct"/>
            <w:vMerge w:val="restart"/>
            <w:shd w:val="clear" w:color="auto" w:fill="FFFFFF"/>
            <w:vAlign w:val="center"/>
          </w:tcPr>
          <w:p w14:paraId="7892CED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574EAE1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680" w:type="pct"/>
            <w:shd w:val="clear" w:color="000000" w:fill="FFFFFF"/>
            <w:vAlign w:val="center"/>
          </w:tcPr>
          <w:p w14:paraId="59E8DB5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29283E9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7800605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514" w:type="pct"/>
            <w:gridSpan w:val="2"/>
            <w:shd w:val="clear" w:color="000000" w:fill="FFFFFF"/>
            <w:vAlign w:val="center"/>
          </w:tcPr>
          <w:p w14:paraId="3228ACE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7217C38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BA5293B">
            <w:pPr>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D40755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680" w:type="pct"/>
            <w:shd w:val="clear" w:color="auto" w:fill="FFFFFF"/>
            <w:vAlign w:val="center"/>
          </w:tcPr>
          <w:p w14:paraId="6DF35DE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514" w:type="pct"/>
            <w:gridSpan w:val="2"/>
            <w:shd w:val="clear" w:color="auto" w:fill="FFFFFF"/>
            <w:vAlign w:val="center"/>
          </w:tcPr>
          <w:p w14:paraId="52B8CC4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484B400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7CC51FF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670AE4C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7975A12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680" w:type="pct"/>
            <w:shd w:val="clear" w:color="000000" w:fill="FFFFFF"/>
            <w:vAlign w:val="center"/>
          </w:tcPr>
          <w:p w14:paraId="069274A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514" w:type="pct"/>
            <w:gridSpan w:val="2"/>
            <w:shd w:val="clear" w:color="000000" w:fill="FFFFFF"/>
            <w:vAlign w:val="center"/>
          </w:tcPr>
          <w:p w14:paraId="0BA0E7B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5E002BF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50D4377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2C974B31">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085DC7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103A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680" w:type="pct"/>
            <w:shd w:val="clear" w:color="000000" w:fill="FFFFFF"/>
            <w:vAlign w:val="center"/>
          </w:tcPr>
          <w:p w14:paraId="412502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514" w:type="pct"/>
            <w:gridSpan w:val="2"/>
            <w:shd w:val="clear" w:color="000000" w:fill="FFFFFF"/>
            <w:vAlign w:val="center"/>
          </w:tcPr>
          <w:p w14:paraId="174619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44EE3A3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13D0B1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5A773C7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2979A8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680" w:type="pct"/>
            <w:shd w:val="clear" w:color="000000" w:fill="FFFFFF"/>
            <w:vAlign w:val="center"/>
          </w:tcPr>
          <w:p w14:paraId="433DAE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514" w:type="pct"/>
            <w:gridSpan w:val="2"/>
            <w:shd w:val="clear" w:color="000000" w:fill="FFFFFF"/>
            <w:vAlign w:val="center"/>
          </w:tcPr>
          <w:p w14:paraId="44473D5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60E30355">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394" w:type="pct"/>
            <w:shd w:val="clear" w:color="auto" w:fill="FFFFFF"/>
            <w:vAlign w:val="center"/>
          </w:tcPr>
          <w:p w14:paraId="13C7B96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422" w:type="pct"/>
            <w:shd w:val="clear" w:color="auto" w:fill="FFFFFF"/>
            <w:vAlign w:val="center"/>
          </w:tcPr>
          <w:p w14:paraId="1792043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680" w:type="pct"/>
            <w:shd w:val="clear" w:color="000000" w:fill="FFFFFF"/>
            <w:vAlign w:val="center"/>
          </w:tcPr>
          <w:p w14:paraId="1A4BCC2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514" w:type="pct"/>
            <w:gridSpan w:val="2"/>
            <w:shd w:val="clear" w:color="000000" w:fill="FFFFFF"/>
            <w:vAlign w:val="center"/>
          </w:tcPr>
          <w:p w14:paraId="7A502BD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3205D48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C3B563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422" w:type="pct"/>
            <w:shd w:val="clear" w:color="auto" w:fill="FFFFFF"/>
            <w:vAlign w:val="center"/>
          </w:tcPr>
          <w:p w14:paraId="6DC841E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680" w:type="pct"/>
            <w:shd w:val="clear" w:color="000000" w:fill="FFFFFF"/>
            <w:vAlign w:val="center"/>
          </w:tcPr>
          <w:p w14:paraId="61CF5FD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7C3CBBD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gridSpan w:val="2"/>
            <w:shd w:val="clear" w:color="000000" w:fill="FFFFFF"/>
            <w:vAlign w:val="center"/>
          </w:tcPr>
          <w:p w14:paraId="19C6B3B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7619615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27A049C5">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422" w:type="pct"/>
            <w:shd w:val="clear" w:color="auto" w:fill="FFFFFF"/>
            <w:vAlign w:val="center"/>
          </w:tcPr>
          <w:p w14:paraId="5574CF4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680" w:type="pct"/>
            <w:shd w:val="clear" w:color="000000" w:fill="FFFFFF"/>
            <w:vAlign w:val="center"/>
          </w:tcPr>
          <w:p w14:paraId="3B490CE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514" w:type="pct"/>
            <w:gridSpan w:val="2"/>
            <w:shd w:val="clear" w:color="000000" w:fill="FFFFFF"/>
            <w:vAlign w:val="center"/>
          </w:tcPr>
          <w:p w14:paraId="7CE7449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41DAC46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333D6A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422" w:type="pct"/>
            <w:shd w:val="clear" w:color="auto" w:fill="FFFFFF"/>
            <w:vAlign w:val="center"/>
          </w:tcPr>
          <w:p w14:paraId="617EB94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680" w:type="pct"/>
            <w:shd w:val="clear" w:color="000000" w:fill="FFFFFF"/>
            <w:vAlign w:val="center"/>
          </w:tcPr>
          <w:p w14:paraId="088B19F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514" w:type="pct"/>
            <w:gridSpan w:val="2"/>
            <w:shd w:val="clear" w:color="000000" w:fill="FFFFFF"/>
            <w:vAlign w:val="center"/>
          </w:tcPr>
          <w:p w14:paraId="1AA6671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5AA989E3">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394" w:type="pct"/>
            <w:vMerge w:val="restart"/>
            <w:shd w:val="clear" w:color="auto" w:fill="FFFFFF"/>
            <w:vAlign w:val="center"/>
          </w:tcPr>
          <w:p w14:paraId="21FCFCD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422" w:type="pct"/>
            <w:shd w:val="clear" w:color="auto" w:fill="FFFFFF"/>
            <w:vAlign w:val="center"/>
          </w:tcPr>
          <w:p w14:paraId="6E48256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680" w:type="pct"/>
            <w:shd w:val="clear" w:color="auto" w:fill="FFFFFF"/>
            <w:vAlign w:val="center"/>
          </w:tcPr>
          <w:p w14:paraId="795E0B3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2056" w:type="pct"/>
            <w:shd w:val="clear" w:color="auto" w:fill="FFFFFF"/>
            <w:vAlign w:val="center"/>
          </w:tcPr>
          <w:p w14:paraId="153D9E8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514" w:type="pct"/>
            <w:gridSpan w:val="2"/>
            <w:shd w:val="clear" w:color="auto" w:fill="FFFFFF"/>
            <w:vAlign w:val="center"/>
          </w:tcPr>
          <w:p w14:paraId="7EAE660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auto" w:fill="FFFFFF"/>
            <w:vAlign w:val="center"/>
          </w:tcPr>
          <w:p w14:paraId="0267F85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4981F3CC">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4F2D30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680" w:type="pct"/>
            <w:shd w:val="clear" w:color="000000" w:fill="FFFFFF"/>
            <w:vAlign w:val="center"/>
          </w:tcPr>
          <w:p w14:paraId="47FAA55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2056" w:type="pct"/>
            <w:shd w:val="clear" w:color="000000" w:fill="FFFFFF"/>
            <w:vAlign w:val="center"/>
          </w:tcPr>
          <w:p w14:paraId="00C88B8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514" w:type="pct"/>
            <w:gridSpan w:val="2"/>
            <w:shd w:val="clear" w:color="000000" w:fill="FFFFFF"/>
            <w:vAlign w:val="center"/>
          </w:tcPr>
          <w:p w14:paraId="40EDE37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6EF7EC9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6"/>
            <w:shd w:val="clear" w:color="auto" w:fill="FFFFFF"/>
            <w:vAlign w:val="center"/>
          </w:tcPr>
          <w:p w14:paraId="2B863E0F">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512" w:type="pct"/>
            <w:shd w:val="clear" w:color="000000" w:fill="FFFFFF"/>
            <w:vAlign w:val="center"/>
          </w:tcPr>
          <w:p w14:paraId="4E95BD9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538" w:type="pct"/>
            <w:shd w:val="clear" w:color="000000" w:fill="FFFFFF"/>
            <w:vAlign w:val="center"/>
          </w:tcPr>
          <w:p w14:paraId="33BB8A1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6D728D58">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3"/>
        <w:gridCol w:w="963"/>
        <w:gridCol w:w="2344"/>
        <w:gridCol w:w="3472"/>
        <w:gridCol w:w="1401"/>
        <w:gridCol w:w="1338"/>
        <w:gridCol w:w="244"/>
        <w:gridCol w:w="390"/>
        <w:gridCol w:w="357"/>
        <w:gridCol w:w="480"/>
        <w:gridCol w:w="603"/>
        <w:gridCol w:w="868"/>
      </w:tblGrid>
      <w:tr w14:paraId="6BD0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46F333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C25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0930E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089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4974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0A86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社区经费</w:t>
            </w:r>
          </w:p>
        </w:tc>
      </w:tr>
      <w:tr w14:paraId="7D25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3A9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4C7AB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乌鲁木齐市沙依巴克区红庙子片区管理委员会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61E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7646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乌鲁木齐市沙依巴克区红庙子片区管理委员会</w:t>
            </w:r>
          </w:p>
        </w:tc>
      </w:tr>
      <w:tr w14:paraId="0A66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7A75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DEB4CD9">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ED52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366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CBF7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A39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7671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89D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4E8B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C9F5A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13C6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43F7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6A4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E48B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62B2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EA68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DA4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68B9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0918A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14AE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77FF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8D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FB1C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2BCC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5C7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B95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02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FC90FD">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C8FC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A8F1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176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17A6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624A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C7F8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359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319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6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B71C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45042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EF0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E63C4">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7F3842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20360C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该项目总预算840万元，截止24年已全部完成，主要用于我街道16个社区工作经费。通过此项目开展保障全局机构正常运行。</w:t>
            </w:r>
          </w:p>
        </w:tc>
      </w:tr>
      <w:tr w14:paraId="2C29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24A54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50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731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0E23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11A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DF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DAD1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7BFF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D7F1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0FC3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E0F8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3664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9FF9D5">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A046E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7C40CF">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CAA5A2">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EB8E07">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25AC91">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E3465D">
            <w:pPr>
              <w:jc w:val="center"/>
              <w:rPr>
                <w:rFonts w:hint="eastAsia" w:ascii="宋体" w:hAnsi="宋体" w:eastAsia="宋体" w:cs="宋体"/>
                <w:i w:val="0"/>
                <w:iCs w:val="0"/>
                <w:color w:val="000000"/>
                <w:sz w:val="20"/>
                <w:szCs w:val="20"/>
                <w:u w:val="none"/>
              </w:rPr>
            </w:pPr>
          </w:p>
        </w:tc>
      </w:tr>
      <w:tr w14:paraId="3B98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7B2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181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5875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5AA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31EE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0E1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FB7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C525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7670DF1">
            <w:pPr>
              <w:jc w:val="center"/>
              <w:rPr>
                <w:rFonts w:hint="eastAsia" w:ascii="宋体" w:hAnsi="宋体" w:eastAsia="宋体" w:cs="宋体"/>
                <w:i w:val="0"/>
                <w:iCs w:val="0"/>
                <w:color w:val="000000"/>
                <w:sz w:val="20"/>
                <w:szCs w:val="20"/>
                <w:u w:val="none"/>
              </w:rPr>
            </w:pPr>
          </w:p>
        </w:tc>
      </w:tr>
      <w:tr w14:paraId="04D9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29087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8AEAB">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67F7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1D7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002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5E5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31FB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5F96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30E41F5">
            <w:pPr>
              <w:jc w:val="center"/>
              <w:rPr>
                <w:rFonts w:hint="eastAsia" w:ascii="宋体" w:hAnsi="宋体" w:eastAsia="宋体" w:cs="宋体"/>
                <w:i w:val="0"/>
                <w:iCs w:val="0"/>
                <w:color w:val="000000"/>
                <w:sz w:val="20"/>
                <w:szCs w:val="20"/>
                <w:u w:val="none"/>
              </w:rPr>
            </w:pPr>
          </w:p>
        </w:tc>
      </w:tr>
      <w:tr w14:paraId="15B0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3A6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7EC5A1">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0EE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7FB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B0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31B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5803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F80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03BAFF6">
            <w:pPr>
              <w:jc w:val="center"/>
              <w:rPr>
                <w:rFonts w:hint="eastAsia" w:ascii="宋体" w:hAnsi="宋体" w:eastAsia="宋体" w:cs="宋体"/>
                <w:i w:val="0"/>
                <w:iCs w:val="0"/>
                <w:color w:val="000000"/>
                <w:sz w:val="20"/>
                <w:szCs w:val="20"/>
                <w:u w:val="none"/>
              </w:rPr>
            </w:pPr>
          </w:p>
        </w:tc>
      </w:tr>
      <w:tr w14:paraId="11B7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D0DBC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8A9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ABD7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344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710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&lt;=52.50万元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E3A1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2B5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A3C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C890CD6">
            <w:pPr>
              <w:jc w:val="center"/>
              <w:rPr>
                <w:rFonts w:hint="eastAsia" w:ascii="宋体" w:hAnsi="宋体" w:eastAsia="宋体" w:cs="宋体"/>
                <w:i w:val="0"/>
                <w:iCs w:val="0"/>
                <w:color w:val="000000"/>
                <w:sz w:val="20"/>
                <w:szCs w:val="20"/>
                <w:u w:val="none"/>
              </w:rPr>
            </w:pPr>
          </w:p>
        </w:tc>
      </w:tr>
      <w:tr w14:paraId="1105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C1210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166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5C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69C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187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6D7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986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31D4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E29B69B">
            <w:pPr>
              <w:jc w:val="center"/>
              <w:rPr>
                <w:rFonts w:hint="eastAsia" w:ascii="宋体" w:hAnsi="宋体" w:eastAsia="宋体" w:cs="宋体"/>
                <w:i w:val="0"/>
                <w:iCs w:val="0"/>
                <w:color w:val="000000"/>
                <w:sz w:val="20"/>
                <w:szCs w:val="20"/>
                <w:u w:val="none"/>
              </w:rPr>
            </w:pPr>
          </w:p>
        </w:tc>
      </w:tr>
      <w:tr w14:paraId="5CEB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DEC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1FBAF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8CBA3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E26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83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F5C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AF6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7B1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13CBF8E">
            <w:pPr>
              <w:jc w:val="center"/>
              <w:rPr>
                <w:rFonts w:hint="eastAsia" w:ascii="宋体" w:hAnsi="宋体" w:eastAsia="宋体" w:cs="宋体"/>
                <w:i w:val="0"/>
                <w:iCs w:val="0"/>
                <w:color w:val="000000"/>
                <w:sz w:val="20"/>
                <w:szCs w:val="20"/>
                <w:u w:val="none"/>
              </w:rPr>
            </w:pPr>
          </w:p>
        </w:tc>
      </w:tr>
      <w:tr w14:paraId="2134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FA840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E99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AFF6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163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B95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B45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3FE3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A5F1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CB2D1E8">
            <w:pPr>
              <w:jc w:val="center"/>
              <w:rPr>
                <w:rFonts w:hint="eastAsia" w:ascii="宋体" w:hAnsi="宋体" w:eastAsia="宋体" w:cs="宋体"/>
                <w:i w:val="0"/>
                <w:iCs w:val="0"/>
                <w:color w:val="000000"/>
                <w:sz w:val="20"/>
                <w:szCs w:val="20"/>
                <w:u w:val="none"/>
              </w:rPr>
            </w:pPr>
          </w:p>
        </w:tc>
      </w:tr>
      <w:tr w14:paraId="3FB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E04B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CA4F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2727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0AA38B0">
            <w:pPr>
              <w:jc w:val="center"/>
              <w:rPr>
                <w:rFonts w:hint="eastAsia" w:ascii="宋体" w:hAnsi="宋体" w:eastAsia="宋体" w:cs="宋体"/>
                <w:i w:val="0"/>
                <w:iCs w:val="0"/>
                <w:color w:val="000000"/>
                <w:sz w:val="20"/>
                <w:szCs w:val="20"/>
                <w:u w:val="none"/>
              </w:rPr>
            </w:pPr>
          </w:p>
        </w:tc>
      </w:tr>
    </w:tbl>
    <w:p w14:paraId="22593E3A">
      <w:pPr>
        <w:rPr>
          <w:rFonts w:hint="default" w:ascii="Times New Roman" w:hAnsi="Times New Roman" w:cs="Times New Roman"/>
          <w:color w:val="auto"/>
          <w:highlight w:val="none"/>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75BF03-E20B-4F7E-9C78-D71F4E06B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E1BFD76-1C82-40AF-8298-5DCDC8690CF8}"/>
  </w:font>
  <w:font w:name="华文中宋">
    <w:panose1 w:val="02010600040101010101"/>
    <w:charset w:val="86"/>
    <w:family w:val="auto"/>
    <w:pitch w:val="default"/>
    <w:sig w:usb0="00000287" w:usb1="080F0000" w:usb2="00000000" w:usb3="00000000" w:csb0="0004009F" w:csb1="DFD70000"/>
    <w:embedRegular r:id="rId3" w:fontKey="{91BB874F-342B-4593-A929-14A365895B44}"/>
  </w:font>
  <w:font w:name="方正小标宋_GBK">
    <w:panose1 w:val="03000509000000000000"/>
    <w:charset w:val="86"/>
    <w:family w:val="script"/>
    <w:pitch w:val="default"/>
    <w:sig w:usb0="00000001" w:usb1="080E0000" w:usb2="00000000" w:usb3="00000000" w:csb0="00040000" w:csb1="00000000"/>
    <w:embedRegular r:id="rId4" w:fontKey="{E4BCD9F8-5FF0-42DF-9E60-167E5B3D1FC0}"/>
  </w:font>
  <w:font w:name="楷体_GB2312">
    <w:altName w:val="楷体"/>
    <w:panose1 w:val="02010609030101010101"/>
    <w:charset w:val="86"/>
    <w:family w:val="auto"/>
    <w:pitch w:val="default"/>
    <w:sig w:usb0="00000000" w:usb1="00000000" w:usb2="00000000" w:usb3="00000000" w:csb0="00040000" w:csb1="00000000"/>
    <w:embedRegular r:id="rId5" w:fontKey="{C55AC603-C210-481E-BFC7-805D92879D21}"/>
  </w:font>
  <w:font w:name="楷体">
    <w:panose1 w:val="02010609060101010101"/>
    <w:charset w:val="86"/>
    <w:family w:val="modern"/>
    <w:pitch w:val="default"/>
    <w:sig w:usb0="800002BF" w:usb1="38CF7CFA" w:usb2="00000016" w:usb3="00000000" w:csb0="00040001" w:csb1="00000000"/>
    <w:embedRegular r:id="rId6" w:fontKey="{99A337E8-3661-4E23-8D9C-4EEFDA5ED7BA}"/>
  </w:font>
  <w:font w:name="方正仿宋_GBK">
    <w:panose1 w:val="03000509000000000000"/>
    <w:charset w:val="86"/>
    <w:family w:val="auto"/>
    <w:pitch w:val="default"/>
    <w:sig w:usb0="00000001" w:usb1="080E0000" w:usb2="00000000" w:usb3="00000000" w:csb0="00040000" w:csb1="00000000"/>
    <w:embedRegular r:id="rId7" w:fontKey="{C0FEF278-A7F1-45EB-B60D-67722B776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42F10F5"/>
    <w:rsid w:val="05A73203"/>
    <w:rsid w:val="07397B77"/>
    <w:rsid w:val="0AD007F3"/>
    <w:rsid w:val="0CCD54C3"/>
    <w:rsid w:val="0E3C619F"/>
    <w:rsid w:val="0F6273CA"/>
    <w:rsid w:val="100F38EC"/>
    <w:rsid w:val="11170296"/>
    <w:rsid w:val="12C66037"/>
    <w:rsid w:val="12CD1ABC"/>
    <w:rsid w:val="13471461"/>
    <w:rsid w:val="13B90F01"/>
    <w:rsid w:val="155E4C4D"/>
    <w:rsid w:val="181066D2"/>
    <w:rsid w:val="1C671E73"/>
    <w:rsid w:val="1D322C47"/>
    <w:rsid w:val="23616034"/>
    <w:rsid w:val="23696C97"/>
    <w:rsid w:val="24480FA2"/>
    <w:rsid w:val="24910391"/>
    <w:rsid w:val="25227A45"/>
    <w:rsid w:val="26AC3A6A"/>
    <w:rsid w:val="2B9D7E25"/>
    <w:rsid w:val="2BFD6A4C"/>
    <w:rsid w:val="2C7C7A3B"/>
    <w:rsid w:val="2F364819"/>
    <w:rsid w:val="2FD63906"/>
    <w:rsid w:val="37215DAE"/>
    <w:rsid w:val="38CA40DD"/>
    <w:rsid w:val="38D82494"/>
    <w:rsid w:val="395F2B56"/>
    <w:rsid w:val="3AA05225"/>
    <w:rsid w:val="3B482032"/>
    <w:rsid w:val="3BBA0580"/>
    <w:rsid w:val="3BECE841"/>
    <w:rsid w:val="3CDE204C"/>
    <w:rsid w:val="3D363C36"/>
    <w:rsid w:val="3E9C3F6D"/>
    <w:rsid w:val="3EB808B7"/>
    <w:rsid w:val="3FF7797D"/>
    <w:rsid w:val="42CD744A"/>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34C3387"/>
    <w:rsid w:val="642B176B"/>
    <w:rsid w:val="643EE26D"/>
    <w:rsid w:val="6555686C"/>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10230</Words>
  <Characters>10512</Characters>
  <Lines>58</Lines>
  <Paragraphs>16</Paragraphs>
  <TotalTime>4</TotalTime>
  <ScaleCrop>false</ScaleCrop>
  <LinksUpToDate>false</LinksUpToDate>
  <CharactersWithSpaces>10519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3E4A2D25B0944B30A5519A01E5B6AD61_13</vt:lpwstr>
  </property>
  <property fmtid="{D5CDD505-2E9C-101B-9397-08002B2CF9AE}" pid="4" name="KSOTemplateDocerSaveRecord">
    <vt:lpwstr>eyJoZGlkIjoiOGFkNmZiY2VjMDdjZjNhYjcxMzg2NTlkY2FmMDAzYzIiLCJ1c2VySWQiOiIzMTEwOTcwNTkifQ==</vt:lpwstr>
  </property>
</Properties>
</file>