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79C">
      <w:pPr>
        <w:spacing w:line="540" w:lineRule="exact"/>
        <w:jc w:val="center"/>
        <w:rPr>
          <w:rFonts w:hint="default" w:ascii="Times New Roman" w:hAnsi="Times New Roman" w:eastAsia="华文中宋" w:cs="Times New Roman"/>
          <w:b/>
          <w:color w:val="auto"/>
          <w:kern w:val="0"/>
          <w:sz w:val="52"/>
          <w:szCs w:val="52"/>
          <w:highlight w:val="none"/>
        </w:rPr>
      </w:pPr>
    </w:p>
    <w:p w14:paraId="7CF53B10">
      <w:pPr>
        <w:spacing w:line="540" w:lineRule="exact"/>
        <w:rPr>
          <w:rFonts w:hint="default" w:ascii="Times New Roman" w:hAnsi="Times New Roman" w:eastAsia="华文中宋" w:cs="Times New Roman"/>
          <w:b/>
          <w:color w:val="auto"/>
          <w:kern w:val="0"/>
          <w:sz w:val="52"/>
          <w:szCs w:val="52"/>
          <w:highlight w:val="none"/>
        </w:rPr>
      </w:pPr>
    </w:p>
    <w:p w14:paraId="7465461C">
      <w:pPr>
        <w:spacing w:line="540" w:lineRule="exact"/>
        <w:jc w:val="center"/>
        <w:rPr>
          <w:rFonts w:hint="default" w:ascii="Times New Roman" w:hAnsi="Times New Roman" w:eastAsia="华文中宋" w:cs="Times New Roman"/>
          <w:b/>
          <w:color w:val="auto"/>
          <w:kern w:val="0"/>
          <w:sz w:val="52"/>
          <w:szCs w:val="52"/>
          <w:highlight w:val="none"/>
        </w:rPr>
      </w:pPr>
    </w:p>
    <w:p w14:paraId="47204D13">
      <w:pPr>
        <w:spacing w:line="540" w:lineRule="exact"/>
        <w:jc w:val="center"/>
        <w:rPr>
          <w:rFonts w:hint="default" w:ascii="Times New Roman" w:hAnsi="Times New Roman" w:eastAsia="华文中宋" w:cs="Times New Roman"/>
          <w:b/>
          <w:color w:val="auto"/>
          <w:kern w:val="0"/>
          <w:sz w:val="52"/>
          <w:szCs w:val="52"/>
          <w:highlight w:val="none"/>
        </w:rPr>
      </w:pPr>
    </w:p>
    <w:p w14:paraId="5E11D5A7">
      <w:pPr>
        <w:spacing w:line="540" w:lineRule="exact"/>
        <w:jc w:val="center"/>
        <w:rPr>
          <w:rFonts w:hint="default" w:ascii="Times New Roman" w:hAnsi="Times New Roman" w:eastAsia="方正小标宋_GBK" w:cs="Times New Roman"/>
          <w:color w:val="auto"/>
          <w:kern w:val="0"/>
          <w:sz w:val="48"/>
          <w:szCs w:val="48"/>
          <w:highlight w:val="none"/>
        </w:rPr>
      </w:pPr>
      <w:r>
        <w:rPr>
          <w:rFonts w:hint="default" w:ascii="Times New Roman" w:hAnsi="Times New Roman" w:eastAsia="方正小标宋_GBK" w:cs="Times New Roman"/>
          <w:color w:val="auto"/>
          <w:kern w:val="0"/>
          <w:sz w:val="48"/>
          <w:szCs w:val="48"/>
          <w:highlight w:val="none"/>
        </w:rPr>
        <w:t>社区经费项目支出绩效评价</w:t>
      </w:r>
    </w:p>
    <w:p w14:paraId="2A66E519">
      <w:pPr>
        <w:spacing w:line="540" w:lineRule="exact"/>
        <w:jc w:val="center"/>
        <w:rPr>
          <w:rFonts w:hint="default" w:ascii="Times New Roman" w:hAnsi="Times New Roman" w:eastAsia="方正小标宋_GBK" w:cs="Times New Roman"/>
          <w:color w:val="auto"/>
          <w:kern w:val="0"/>
          <w:sz w:val="48"/>
          <w:szCs w:val="48"/>
          <w:highlight w:val="none"/>
        </w:rPr>
      </w:pPr>
      <w:r>
        <w:rPr>
          <w:rFonts w:hint="default" w:ascii="Times New Roman" w:hAnsi="Times New Roman" w:eastAsia="方正小标宋_GBK" w:cs="Times New Roman"/>
          <w:color w:val="auto"/>
          <w:kern w:val="0"/>
          <w:sz w:val="48"/>
          <w:szCs w:val="48"/>
          <w:highlight w:val="none"/>
        </w:rPr>
        <w:t>报告</w:t>
      </w:r>
    </w:p>
    <w:p w14:paraId="3435F33D">
      <w:pPr>
        <w:spacing w:line="540" w:lineRule="exact"/>
        <w:jc w:val="center"/>
        <w:rPr>
          <w:rFonts w:hint="default" w:ascii="Times New Roman" w:hAnsi="Times New Roman" w:eastAsia="华文中宋" w:cs="Times New Roman"/>
          <w:b/>
          <w:color w:val="auto"/>
          <w:kern w:val="0"/>
          <w:sz w:val="52"/>
          <w:szCs w:val="52"/>
          <w:highlight w:val="none"/>
        </w:rPr>
      </w:pPr>
    </w:p>
    <w:p w14:paraId="2C28A452">
      <w:pPr>
        <w:spacing w:line="540" w:lineRule="exact"/>
        <w:jc w:val="center"/>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（202</w:t>
      </w:r>
      <w:r>
        <w:rPr>
          <w:rFonts w:hint="default" w:ascii="Times New Roman" w:hAnsi="Times New Roman"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年度）</w:t>
      </w:r>
    </w:p>
    <w:p w14:paraId="1BF12FF7">
      <w:pPr>
        <w:spacing w:line="540" w:lineRule="exact"/>
        <w:jc w:val="center"/>
        <w:rPr>
          <w:rFonts w:hint="default" w:ascii="Times New Roman" w:hAnsi="Times New Roman" w:eastAsia="仿宋_GB2312" w:cs="Times New Roman"/>
          <w:color w:val="auto"/>
          <w:kern w:val="0"/>
          <w:sz w:val="30"/>
          <w:szCs w:val="30"/>
          <w:highlight w:val="none"/>
        </w:rPr>
      </w:pPr>
    </w:p>
    <w:p w14:paraId="24846776">
      <w:pPr>
        <w:spacing w:line="540" w:lineRule="exact"/>
        <w:jc w:val="center"/>
        <w:rPr>
          <w:rFonts w:hint="default" w:ascii="Times New Roman" w:hAnsi="Times New Roman" w:eastAsia="仿宋_GB2312" w:cs="Times New Roman"/>
          <w:color w:val="auto"/>
          <w:kern w:val="0"/>
          <w:sz w:val="30"/>
          <w:szCs w:val="30"/>
          <w:highlight w:val="none"/>
        </w:rPr>
      </w:pPr>
    </w:p>
    <w:p w14:paraId="58C16714">
      <w:pPr>
        <w:spacing w:line="540" w:lineRule="exact"/>
        <w:jc w:val="center"/>
        <w:rPr>
          <w:rFonts w:hint="default" w:ascii="Times New Roman" w:hAnsi="Times New Roman" w:eastAsia="仿宋_GB2312" w:cs="Times New Roman"/>
          <w:color w:val="auto"/>
          <w:kern w:val="0"/>
          <w:sz w:val="30"/>
          <w:szCs w:val="30"/>
          <w:highlight w:val="none"/>
        </w:rPr>
      </w:pPr>
    </w:p>
    <w:p w14:paraId="141D8E8F">
      <w:pPr>
        <w:pStyle w:val="11"/>
        <w:rPr>
          <w:rFonts w:hint="default" w:ascii="Times New Roman" w:hAnsi="Times New Roman" w:cs="Times New Roman"/>
          <w:color w:val="auto"/>
          <w:highlight w:val="none"/>
        </w:rPr>
      </w:pPr>
    </w:p>
    <w:p w14:paraId="02360C14">
      <w:pPr>
        <w:spacing w:line="540" w:lineRule="exact"/>
        <w:jc w:val="center"/>
        <w:rPr>
          <w:rFonts w:hint="default" w:ascii="Times New Roman" w:hAnsi="Times New Roman" w:eastAsia="仿宋_GB2312" w:cs="Times New Roman"/>
          <w:color w:val="auto"/>
          <w:kern w:val="0"/>
          <w:sz w:val="30"/>
          <w:szCs w:val="30"/>
          <w:highlight w:val="none"/>
        </w:rPr>
      </w:pPr>
    </w:p>
    <w:p w14:paraId="13AA2476">
      <w:pPr>
        <w:spacing w:line="540" w:lineRule="exact"/>
        <w:rPr>
          <w:rFonts w:hint="default" w:ascii="Times New Roman" w:hAnsi="Times New Roman" w:eastAsia="仿宋_GB2312" w:cs="Times New Roman"/>
          <w:color w:val="auto"/>
          <w:kern w:val="0"/>
          <w:sz w:val="30"/>
          <w:szCs w:val="30"/>
          <w:highlight w:val="none"/>
        </w:rPr>
      </w:pPr>
    </w:p>
    <w:p w14:paraId="2634DF05">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项目名称：社区经费</w:t>
      </w:r>
    </w:p>
    <w:p w14:paraId="6CF1E51E">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实施单位（公章）：乌鲁木齐市沙依巴克区友好北路片区管理委员会</w:t>
      </w:r>
    </w:p>
    <w:p w14:paraId="5B928C7A">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主管部门（公章）：乌鲁木齐市沙依巴克区友好北路片区管理委员会</w:t>
      </w:r>
    </w:p>
    <w:p w14:paraId="232611FB">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项目负责人（签章）：李新玲</w:t>
      </w:r>
    </w:p>
    <w:p w14:paraId="04A3D850">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填报时间：</w:t>
      </w:r>
      <w:r>
        <w:rPr>
          <w:rFonts w:hint="eastAsia" w:eastAsia="仿宋_GB2312" w:cs="Times New Roman"/>
          <w:color w:val="auto"/>
          <w:kern w:val="0"/>
          <w:sz w:val="36"/>
          <w:szCs w:val="36"/>
          <w:highlight w:val="none"/>
          <w:lang w:val="en-US" w:eastAsia="zh-CN"/>
        </w:rPr>
        <w:t>2025</w:t>
      </w:r>
      <w:r>
        <w:rPr>
          <w:rFonts w:hint="default" w:ascii="Times New Roman" w:hAnsi="Times New Roman" w:eastAsia="仿宋_GB2312" w:cs="Times New Roman"/>
          <w:color w:val="auto"/>
          <w:kern w:val="0"/>
          <w:sz w:val="36"/>
          <w:szCs w:val="36"/>
          <w:highlight w:val="none"/>
        </w:rPr>
        <w:t>年</w:t>
      </w:r>
      <w:r>
        <w:rPr>
          <w:rFonts w:hint="eastAsia"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月</w:t>
      </w:r>
      <w:r>
        <w:rPr>
          <w:rFonts w:hint="eastAsia" w:eastAsia="仿宋_GB2312" w:cs="Times New Roman"/>
          <w:color w:val="auto"/>
          <w:kern w:val="0"/>
          <w:sz w:val="36"/>
          <w:szCs w:val="36"/>
          <w:highlight w:val="none"/>
          <w:lang w:val="en-US" w:eastAsia="zh-CN"/>
        </w:rPr>
        <w:t>1</w:t>
      </w:r>
      <w:r>
        <w:rPr>
          <w:rFonts w:hint="default" w:ascii="Times New Roman" w:hAnsi="Times New Roman" w:eastAsia="仿宋_GB2312" w:cs="Times New Roman"/>
          <w:color w:val="auto"/>
          <w:kern w:val="0"/>
          <w:sz w:val="36"/>
          <w:szCs w:val="36"/>
          <w:highlight w:val="none"/>
        </w:rPr>
        <w:t>日</w:t>
      </w:r>
    </w:p>
    <w:p w14:paraId="17A69604">
      <w:pPr>
        <w:spacing w:line="540" w:lineRule="exact"/>
        <w:jc w:val="center"/>
        <w:rPr>
          <w:rFonts w:hint="default" w:ascii="Times New Roman" w:hAnsi="Times New Roman" w:eastAsia="仿宋_GB2312" w:cs="Times New Roman"/>
          <w:color w:val="auto"/>
          <w:kern w:val="0"/>
          <w:sz w:val="30"/>
          <w:szCs w:val="30"/>
          <w:highlight w:val="none"/>
        </w:rPr>
      </w:pPr>
    </w:p>
    <w:p w14:paraId="7DC9BDB4">
      <w:pPr>
        <w:spacing w:line="540" w:lineRule="exact"/>
        <w:rPr>
          <w:rStyle w:val="17"/>
          <w:rFonts w:hint="default" w:ascii="Times New Roman" w:hAnsi="Times New Roman" w:eastAsia="黑体" w:cs="Times New Roman"/>
          <w:b w:val="0"/>
          <w:color w:val="auto"/>
          <w:spacing w:val="-4"/>
          <w:sz w:val="32"/>
          <w:szCs w:val="32"/>
          <w:highlight w:val="none"/>
        </w:rPr>
      </w:pPr>
    </w:p>
    <w:p w14:paraId="63FE8A21">
      <w:pPr>
        <w:spacing w:line="540" w:lineRule="exact"/>
        <w:ind w:firstLine="640"/>
        <w:rPr>
          <w:rStyle w:val="17"/>
          <w:rFonts w:hint="default" w:ascii="Times New Roman" w:hAnsi="Times New Roman" w:eastAsia="黑体" w:cs="Times New Roman"/>
          <w:b w:val="0"/>
          <w:color w:val="auto"/>
          <w:spacing w:val="-4"/>
          <w:sz w:val="32"/>
          <w:szCs w:val="32"/>
          <w:highlight w:val="none"/>
        </w:rPr>
      </w:pPr>
    </w:p>
    <w:p w14:paraId="27A2E9C7">
      <w:pPr>
        <w:spacing w:line="540" w:lineRule="exact"/>
        <w:rPr>
          <w:rStyle w:val="17"/>
          <w:rFonts w:hint="default" w:ascii="Times New Roman" w:hAnsi="Times New Roman" w:eastAsia="黑体" w:cs="Times New Roman"/>
          <w:b w:val="0"/>
          <w:color w:val="auto"/>
          <w:spacing w:val="-4"/>
          <w:sz w:val="32"/>
          <w:szCs w:val="32"/>
          <w:highlight w:val="none"/>
        </w:rPr>
      </w:pPr>
    </w:p>
    <w:p w14:paraId="16E59755">
      <w:pPr>
        <w:spacing w:line="560" w:lineRule="exact"/>
        <w:ind w:firstLine="640" w:firstLineChars="200"/>
        <w:rPr>
          <w:rFonts w:hint="default" w:ascii="Times New Roman" w:hAnsi="Times New Roman" w:eastAsia="黑体" w:cs="Times New Roman"/>
          <w:bCs/>
          <w:color w:val="auto"/>
          <w:sz w:val="32"/>
          <w:szCs w:val="32"/>
          <w:highlight w:val="none"/>
        </w:rPr>
        <w:sectPr>
          <w:pgSz w:w="11906" w:h="16838"/>
          <w:pgMar w:top="1440" w:right="1558" w:bottom="1440" w:left="1800" w:header="851" w:footer="992" w:gutter="0"/>
          <w:cols w:space="425" w:num="1"/>
          <w:docGrid w:type="lines" w:linePitch="312" w:charSpace="0"/>
        </w:sectPr>
      </w:pPr>
    </w:p>
    <w:p w14:paraId="69756A28">
      <w:pPr>
        <w:spacing w:line="560" w:lineRule="exact"/>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一、基本情况</w:t>
      </w:r>
    </w:p>
    <w:p w14:paraId="1B940412">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（一）项目概况</w:t>
      </w:r>
    </w:p>
    <w:p w14:paraId="5D721A80">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项目背景</w:t>
      </w:r>
    </w:p>
    <w:p w14:paraId="3E9A9918">
      <w:pPr>
        <w:spacing w:line="560" w:lineRule="exact"/>
        <w:ind w:firstLine="600" w:firstLineChars="200"/>
        <w:rPr>
          <w:rStyle w:val="17"/>
          <w:rFonts w:hint="default" w:ascii="Times New Roman" w:hAnsi="Times New Roman" w:eastAsia="黑体" w:cs="Times New Roman"/>
          <w:b w:val="0"/>
          <w:bCs/>
          <w:color w:val="auto"/>
          <w:spacing w:val="-4"/>
          <w:sz w:val="32"/>
          <w:szCs w:val="32"/>
          <w:highlight w:val="none"/>
          <w:lang w:eastAsia="zh-CN"/>
        </w:rPr>
      </w:pPr>
      <w:r>
        <w:rPr>
          <w:rFonts w:hint="default" w:ascii="Times New Roman" w:hAnsi="Times New Roman" w:eastAsia="仿宋_GB2312" w:cs="Times New Roman"/>
          <w:color w:val="auto"/>
          <w:sz w:val="30"/>
          <w:szCs w:val="30"/>
          <w:highlight w:val="none"/>
          <w:lang w:val="en-US" w:eastAsia="zh-CN"/>
        </w:rPr>
        <w:t>近年来，国家强调“基层治理现代化”，出台《关于加强和完善城乡社区治理的意见》等文件，要求强化社区服务能力，推动资源下沉。“十四五”规划明确提出完善社区公共服务体系，鼓励多元主体参与社区建设。</w:t>
      </w:r>
      <w:r>
        <w:rPr>
          <w:rFonts w:hint="eastAsia" w:ascii="Times New Roman" w:hAnsi="Times New Roman" w:eastAsia="仿宋_GB2312" w:cs="Times New Roman"/>
          <w:color w:val="auto"/>
          <w:sz w:val="30"/>
          <w:szCs w:val="30"/>
          <w:highlight w:val="none"/>
          <w:lang w:val="en-US" w:eastAsia="zh-CN"/>
        </w:rPr>
        <w:t>沙依巴克区人大会议会议通过，2024年年初预算下达，为进一步强化片区综合治理，保障管委会各项工作的顺利开展，特成立该项目，计划为管委会后勤保障工作、城区管理工作、治安巡逻维护稳定工作提供经费保障和支持</w:t>
      </w:r>
      <w:r>
        <w:rPr>
          <w:rStyle w:val="17"/>
          <w:rFonts w:hint="default" w:ascii="Times New Roman" w:hAnsi="Times New Roman" w:eastAsia="黑体" w:cs="Times New Roman"/>
          <w:b w:val="0"/>
          <w:bCs/>
          <w:color w:val="auto"/>
          <w:spacing w:val="-4"/>
          <w:sz w:val="32"/>
          <w:szCs w:val="32"/>
          <w:highlight w:val="none"/>
          <w:lang w:eastAsia="zh-CN"/>
        </w:rPr>
        <w:t>。</w:t>
      </w:r>
    </w:p>
    <w:p w14:paraId="1BC871C8">
      <w:pPr>
        <w:pStyle w:val="11"/>
        <w:numPr>
          <w:ilvl w:val="0"/>
          <w:numId w:val="0"/>
        </w:numPr>
        <w:spacing w:before="0" w:after="0" w:line="560" w:lineRule="exact"/>
        <w:ind w:firstLine="643" w:firstLineChars="200"/>
        <w:jc w:val="both"/>
        <w:rPr>
          <w:rFonts w:hint="default" w:ascii="Times New Roman" w:hAnsi="Times New Roman" w:eastAsia="仿宋_GB2312" w:cs="Times New Roman"/>
          <w:color w:val="auto"/>
          <w:kern w:val="2"/>
          <w:highlight w:val="none"/>
        </w:rPr>
      </w:pPr>
      <w:r>
        <w:rPr>
          <w:rFonts w:hint="default" w:ascii="Times New Roman" w:hAnsi="Times New Roman" w:eastAsia="仿宋_GB2312" w:cs="Times New Roman"/>
          <w:color w:val="auto"/>
          <w:kern w:val="2"/>
          <w:highlight w:val="none"/>
          <w:lang w:val="en-US" w:eastAsia="zh-CN"/>
        </w:rPr>
        <w:t>2.</w:t>
      </w:r>
      <w:r>
        <w:rPr>
          <w:rFonts w:hint="default" w:ascii="Times New Roman" w:hAnsi="Times New Roman" w:eastAsia="仿宋_GB2312" w:cs="Times New Roman"/>
          <w:color w:val="auto"/>
          <w:kern w:val="2"/>
          <w:highlight w:val="none"/>
        </w:rPr>
        <w:t>项目主要内容：</w:t>
      </w:r>
    </w:p>
    <w:p w14:paraId="5753D302">
      <w:pPr>
        <w:spacing w:line="560" w:lineRule="exact"/>
        <w:ind w:firstLine="600" w:firstLineChars="200"/>
        <w:rPr>
          <w:rFonts w:hint="default" w:ascii="Times New Roman" w:hAnsi="Times New Roman" w:eastAsia="黑体" w:cs="Times New Roman"/>
          <w:color w:val="auto"/>
          <w:highlight w:val="none"/>
          <w:lang w:eastAsia="zh-CN"/>
        </w:rPr>
      </w:pPr>
      <w:r>
        <w:rPr>
          <w:rFonts w:hint="default" w:ascii="Times New Roman" w:hAnsi="Times New Roman" w:eastAsia="仿宋_GB2312" w:cs="Times New Roman"/>
          <w:color w:val="auto"/>
          <w:sz w:val="30"/>
          <w:szCs w:val="30"/>
          <w:highlight w:val="none"/>
          <w:lang w:val="en-US" w:eastAsia="zh-CN"/>
        </w:rPr>
        <w:t>项目主要内容：</w:t>
      </w:r>
      <w:r>
        <w:rPr>
          <w:rFonts w:hint="eastAsia" w:ascii="Times New Roman" w:hAnsi="Times New Roman" w:eastAsia="仿宋_GB2312" w:cs="Times New Roman"/>
          <w:color w:val="auto"/>
          <w:sz w:val="30"/>
          <w:szCs w:val="30"/>
          <w:highlight w:val="none"/>
          <w:lang w:val="en-US" w:eastAsia="zh-CN"/>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计划生育、社会救助、社会治安、服务群众等基层服务工作，增强社区成员的归属感和凝聚力，促进社会的和谐发展。完善工作人员的工作环境，提升在城市管理综合服务中的能力。</w:t>
      </w:r>
    </w:p>
    <w:p w14:paraId="36FD8169">
      <w:pPr>
        <w:spacing w:line="560" w:lineRule="exact"/>
        <w:ind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项目实施情况：</w:t>
      </w:r>
      <w:r>
        <w:rPr>
          <w:rFonts w:hint="eastAsia" w:ascii="Times New Roman" w:hAnsi="Times New Roman" w:eastAsia="仿宋_GB2312" w:cs="Times New Roman"/>
          <w:color w:val="auto"/>
          <w:sz w:val="32"/>
          <w:szCs w:val="32"/>
          <w:highlight w:val="none"/>
        </w:rPr>
        <w:t>项目目前已经完成实际设立的目标，项目在实施过程中严格按照目标设立的各阶段任务进行开展工作，在前期立项过程中严格把质量关，建立安全防护机制，保证项目实施各阶段安全顺利进行</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截止24年底保障我辖区内11个社区正常运转，提升社区服务能力。</w:t>
      </w:r>
    </w:p>
    <w:p w14:paraId="7330649E">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资金投入和使用情况</w:t>
      </w:r>
    </w:p>
    <w:p w14:paraId="64B8E36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（1）资金投入情况</w:t>
      </w:r>
    </w:p>
    <w:p w14:paraId="4D9D792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万元，全年预算数</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万元，该项目资金已全部落实到位，</w:t>
      </w:r>
      <w:r>
        <w:rPr>
          <w:rFonts w:hint="eastAsia" w:eastAsia="仿宋_GB2312" w:cs="Times New Roman"/>
          <w:color w:val="auto"/>
          <w:sz w:val="32"/>
          <w:szCs w:val="32"/>
          <w:highlight w:val="none"/>
          <w:lang w:val="en-US" w:eastAsia="zh-CN"/>
        </w:rPr>
        <w:t>根据沙财发〔2024〕1号文件批准，项目系本级资金</w:t>
      </w:r>
      <w:r>
        <w:rPr>
          <w:rFonts w:hint="default" w:ascii="Times New Roman" w:hAnsi="Times New Roman" w:eastAsia="仿宋_GB2312" w:cs="Times New Roman"/>
          <w:color w:val="auto"/>
          <w:sz w:val="32"/>
          <w:szCs w:val="32"/>
          <w:highlight w:val="none"/>
          <w:lang w:val="en-US" w:eastAsia="zh-CN"/>
        </w:rPr>
        <w:t>。</w:t>
      </w:r>
    </w:p>
    <w:p w14:paraId="0493974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（2）资金使用情况</w:t>
      </w:r>
    </w:p>
    <w:p w14:paraId="0457426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万元，全年预算数</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，全年执行数</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%，主要用于：</w:t>
      </w:r>
      <w:r>
        <w:rPr>
          <w:rFonts w:hint="eastAsia" w:eastAsia="仿宋_GB2312" w:cs="Times New Roman"/>
          <w:color w:val="auto"/>
          <w:sz w:val="32"/>
          <w:szCs w:val="32"/>
          <w:highlight w:val="none"/>
          <w:lang w:val="en-US" w:eastAsia="zh-CN"/>
        </w:rPr>
        <w:t>我街道11个社区运转经费，平均每个社区51.82万元</w:t>
      </w:r>
      <w:r>
        <w:rPr>
          <w:rFonts w:hint="default" w:ascii="Times New Roman" w:hAnsi="Times New Roman" w:eastAsia="仿宋_GB2312" w:cs="Times New Roman"/>
          <w:color w:val="auto"/>
          <w:sz w:val="32"/>
          <w:szCs w:val="32"/>
          <w:highlight w:val="none"/>
          <w:lang w:val="en-US" w:eastAsia="zh-CN"/>
        </w:rPr>
        <w:t>。</w:t>
      </w:r>
    </w:p>
    <w:p w14:paraId="46100D4F">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（二）项目绩效目标</w:t>
      </w:r>
    </w:p>
    <w:p w14:paraId="648A60AB">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总体目标</w:t>
      </w:r>
    </w:p>
    <w:p w14:paraId="30279065">
      <w:pPr>
        <w:spacing w:line="560" w:lineRule="exact"/>
        <w:ind w:firstLine="640" w:firstLineChars="200"/>
        <w:rPr>
          <w:rFonts w:hint="default" w:ascii="Times New Roman" w:hAnsi="Times New Roman" w:eastAsia="黑体" w:cs="Times New Roman"/>
          <w:b w:val="0"/>
          <w:bCs/>
          <w:color w:val="auto"/>
          <w:highlight w:val="none"/>
          <w:lang w:eastAsia="zh-CN"/>
        </w:rPr>
      </w:pPr>
      <w:r>
        <w:rPr>
          <w:rFonts w:hint="eastAsia" w:ascii="Times New Roman" w:hAnsi="Times New Roman" w:eastAsia="仿宋_GB2312" w:cs="Times New Roman"/>
          <w:color w:val="auto"/>
          <w:sz w:val="32"/>
          <w:szCs w:val="32"/>
          <w:highlight w:val="none"/>
          <w:lang w:val="en-US" w:eastAsia="zh-CN"/>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17"/>
          <w:rFonts w:hint="eastAsia" w:ascii="Times New Roman" w:hAnsi="Times New Roman" w:eastAsia="黑体" w:cs="Times New Roman"/>
          <w:b w:val="0"/>
          <w:bCs/>
          <w:color w:val="auto"/>
          <w:spacing w:val="-4"/>
          <w:sz w:val="32"/>
          <w:szCs w:val="32"/>
          <w:highlight w:val="none"/>
          <w:lang w:eastAsia="zh-CN"/>
        </w:rPr>
        <w:t>。</w:t>
      </w:r>
    </w:p>
    <w:p w14:paraId="758C77B4">
      <w:pPr>
        <w:spacing w:line="560" w:lineRule="exact"/>
        <w:ind w:firstLine="64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阶段性目标</w:t>
      </w:r>
    </w:p>
    <w:p w14:paraId="3A862F7A">
      <w:pPr>
        <w:spacing w:line="560" w:lineRule="exact"/>
        <w:ind w:firstLine="640" w:firstLineChars="200"/>
        <w:rPr>
          <w:rFonts w:hint="default" w:ascii="Times New Roman" w:hAnsi="Times New Roman" w:eastAsia="黑体" w:cs="Times New Roman"/>
          <w:b w:val="0"/>
          <w:bCs/>
          <w:color w:val="auto"/>
          <w:highlight w:val="none"/>
          <w:lang w:eastAsia="zh-CN"/>
        </w:rPr>
      </w:pPr>
      <w:r>
        <w:rPr>
          <w:rFonts w:hint="eastAsia" w:ascii="Times New Roman" w:hAnsi="Times New Roman" w:eastAsia="仿宋_GB2312" w:cs="Times New Roman"/>
          <w:color w:val="auto"/>
          <w:sz w:val="32"/>
          <w:szCs w:val="32"/>
          <w:highlight w:val="none"/>
          <w:lang w:val="en-US" w:eastAsia="zh-CN"/>
        </w:rPr>
        <w:t>保障</w:t>
      </w:r>
      <w:r>
        <w:rPr>
          <w:rFonts w:hint="eastAsia" w:eastAsia="仿宋_GB2312" w:cs="Times New Roman"/>
          <w:color w:val="auto"/>
          <w:sz w:val="32"/>
          <w:szCs w:val="32"/>
          <w:highlight w:val="none"/>
          <w:lang w:val="en-US" w:eastAsia="zh-CN"/>
        </w:rPr>
        <w:t>我街道辖区内11个</w:t>
      </w:r>
      <w:r>
        <w:rPr>
          <w:rFonts w:hint="eastAsia" w:ascii="Times New Roman" w:hAnsi="Times New Roman" w:eastAsia="仿宋_GB2312" w:cs="Times New Roman"/>
          <w:color w:val="auto"/>
          <w:sz w:val="32"/>
          <w:szCs w:val="32"/>
          <w:highlight w:val="none"/>
          <w:lang w:val="en-US" w:eastAsia="zh-CN"/>
        </w:rPr>
        <w:t>社区工作人员每日用餐安全,每月按照食堂实际支出予以补助，为综合整治提供有力的后勤保障。进一步加强城市社区建设，发挥社区的战斗堡垒作用，保障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17"/>
          <w:rFonts w:hint="eastAsia" w:ascii="Times New Roman" w:hAnsi="Times New Roman" w:eastAsia="黑体" w:cs="Times New Roman"/>
          <w:b w:val="0"/>
          <w:bCs/>
          <w:color w:val="auto"/>
          <w:spacing w:val="-4"/>
          <w:sz w:val="32"/>
          <w:szCs w:val="32"/>
          <w:highlight w:val="none"/>
          <w:lang w:eastAsia="zh-CN"/>
        </w:rPr>
        <w:t>。</w:t>
      </w:r>
    </w:p>
    <w:p w14:paraId="4219CEBC">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二、绩效评价工作开展情况</w:t>
      </w:r>
    </w:p>
    <w:p w14:paraId="25D15507">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（一）绩效评价目的、对象和范围</w:t>
      </w:r>
    </w:p>
    <w:p w14:paraId="5F8BEEC9">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color w:val="auto"/>
          <w:highlight w:val="none"/>
          <w:lang w:val="en-US" w:eastAsia="zh-CN"/>
        </w:rPr>
        <w:t>1.绩效评价完整性</w:t>
      </w:r>
    </w:p>
    <w:p w14:paraId="4E57CD8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E47BAB8">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绩效评价的目的</w:t>
      </w:r>
    </w:p>
    <w:p w14:paraId="4A05E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（1）评估项目实施效果</w:t>
      </w:r>
    </w:p>
    <w:p w14:paraId="3187A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通过对项目预算执行情况及各项绩效目标达成程度的系统性分析，全面、客观地评估项目在预定周期内的实施效果，包括社会效益，为项目后续的改进与优化提供科学依据。</w:t>
      </w:r>
    </w:p>
    <w:p w14:paraId="2F447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（2）提升资源利用效率</w:t>
      </w:r>
    </w:p>
    <w:p w14:paraId="753B1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（3）强化项目管理责任</w:t>
      </w:r>
    </w:p>
    <w:p w14:paraId="4D911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（4）为决策提供支持</w:t>
      </w:r>
    </w:p>
    <w:p w14:paraId="6E434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（5）促进项目持续改进</w:t>
      </w:r>
    </w:p>
    <w:p w14:paraId="21104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绩效评价的对象</w:t>
      </w:r>
    </w:p>
    <w:p w14:paraId="64E69A45">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本项目预算绩效评价报告的评价对象是社区经费及其预算执行情况。该项目由乌鲁木齐市沙依巴克区友好北路片区管理委员会负责实施，旨在</w:t>
      </w:r>
      <w:r>
        <w:rPr>
          <w:rFonts w:hint="eastAsia" w:ascii="Times New Roman" w:hAnsi="Times New Roman" w:eastAsia="仿宋_GB2312" w:cs="Times New Roman"/>
          <w:b w:val="0"/>
          <w:bCs w:val="0"/>
          <w:color w:val="auto"/>
          <w:highlight w:val="none"/>
          <w:lang w:val="en-US" w:eastAsia="zh-CN"/>
        </w:rPr>
        <w:t>保障我街道11个社区工作正常开展</w:t>
      </w:r>
      <w:r>
        <w:rPr>
          <w:rFonts w:hint="default" w:ascii="Times New Roman" w:hAnsi="Times New Roman" w:eastAsia="仿宋_GB2312" w:cs="Times New Roman"/>
          <w:b w:val="0"/>
          <w:bCs w:val="0"/>
          <w:color w:val="auto"/>
          <w:highlight w:val="none"/>
        </w:rPr>
        <w:t>。项目预算涵盖从</w:t>
      </w:r>
      <w:r>
        <w:rPr>
          <w:rFonts w:hint="eastAsia" w:ascii="Times New Roman" w:hAnsi="Times New Roman" w:eastAsia="仿宋_GB2312" w:cs="Times New Roman"/>
          <w:b w:val="0"/>
          <w:bCs w:val="0"/>
          <w:color w:val="auto"/>
          <w:highlight w:val="none"/>
          <w:lang w:val="en-US" w:eastAsia="zh-CN"/>
        </w:rPr>
        <w:t>2024年1月1日</w:t>
      </w:r>
      <w:r>
        <w:rPr>
          <w:rFonts w:hint="default" w:ascii="Times New Roman" w:hAnsi="Times New Roman" w:eastAsia="仿宋_GB2312" w:cs="Times New Roman"/>
          <w:b w:val="0"/>
          <w:bCs w:val="0"/>
          <w:color w:val="auto"/>
          <w:highlight w:val="none"/>
        </w:rPr>
        <w:t>至</w:t>
      </w:r>
      <w:r>
        <w:rPr>
          <w:rFonts w:hint="eastAsia" w:ascii="Times New Roman" w:hAnsi="Times New Roman" w:eastAsia="仿宋_GB2312" w:cs="Times New Roman"/>
          <w:b w:val="0"/>
          <w:bCs w:val="0"/>
          <w:color w:val="auto"/>
          <w:highlight w:val="none"/>
          <w:lang w:val="en-US" w:eastAsia="zh-CN"/>
        </w:rPr>
        <w:t>2024年12月31日</w:t>
      </w:r>
      <w:r>
        <w:rPr>
          <w:rFonts w:hint="default" w:ascii="Times New Roman" w:hAnsi="Times New Roman" w:eastAsia="仿宋_GB2312" w:cs="Times New Roman"/>
          <w:b w:val="0"/>
          <w:bCs w:val="0"/>
          <w:color w:val="auto"/>
          <w:highlight w:val="none"/>
        </w:rPr>
        <w:t>的全部资金投入与支出，涉及资金总额为</w:t>
      </w:r>
      <w:r>
        <w:rPr>
          <w:rFonts w:hint="eastAsia" w:ascii="Times New Roman" w:hAnsi="Times New Roman" w:eastAsia="仿宋_GB2312" w:cs="Times New Roman"/>
          <w:b w:val="0"/>
          <w:bCs w:val="0"/>
          <w:color w:val="auto"/>
          <w:highlight w:val="none"/>
          <w:lang w:val="en-US" w:eastAsia="zh-CN"/>
        </w:rPr>
        <w:t>5</w:t>
      </w:r>
      <w:r>
        <w:rPr>
          <w:rFonts w:hint="default" w:ascii="Times New Roman" w:hAnsi="Times New Roman" w:eastAsia="仿宋_GB2312" w:cs="Times New Roman"/>
          <w:b w:val="0"/>
          <w:bCs w:val="0"/>
          <w:color w:val="auto"/>
          <w:highlight w:val="none"/>
        </w:rPr>
        <w:t>70</w:t>
      </w:r>
      <w:r>
        <w:rPr>
          <w:rFonts w:hint="default" w:ascii="Times New Roman" w:hAnsi="Times New Roman" w:eastAsia="仿宋_GB2312" w:cs="Times New Roman"/>
          <w:b w:val="0"/>
          <w:bCs w:val="0"/>
          <w:color w:val="auto"/>
          <w:highlight w:val="none"/>
          <w:lang w:val="en-US" w:eastAsia="zh-CN"/>
        </w:rPr>
        <w:t>万</w:t>
      </w:r>
      <w:r>
        <w:rPr>
          <w:rFonts w:hint="default" w:ascii="Times New Roman" w:hAnsi="Times New Roman" w:eastAsia="仿宋_GB2312" w:cs="Times New Roman"/>
          <w:b w:val="0"/>
          <w:bCs w:val="0"/>
          <w:color w:val="auto"/>
          <w:highlight w:val="none"/>
        </w:rPr>
        <w:t>元。</w:t>
      </w:r>
    </w:p>
    <w:p w14:paraId="324B40BD">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4.</w:t>
      </w:r>
      <w:r>
        <w:rPr>
          <w:rFonts w:hint="default" w:ascii="Times New Roman" w:hAnsi="Times New Roman" w:eastAsia="仿宋_GB2312" w:cs="Times New Roman"/>
          <w:b w:val="0"/>
          <w:bCs w:val="0"/>
          <w:color w:val="auto"/>
          <w:highlight w:val="none"/>
        </w:rPr>
        <w:t>绩效评价的范围</w:t>
      </w:r>
    </w:p>
    <w:p w14:paraId="3F83EA6E">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本项目预算绩效评价报告的评价范围广泛而全面，涵盖了从项目立项至评价时点期间的所有关键预算活动和财务流程。具体而言，评价范围包括但不限于以下几个方面：</w:t>
      </w:r>
    </w:p>
    <w:p w14:paraId="19EB23D8">
      <w:pPr>
        <w:pStyle w:val="11"/>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项目预算编制与执行：全面审视项目预算的编制依据、合理性、科学性以及实际执行情况，包括预算调整的原因和效果。</w:t>
      </w:r>
    </w:p>
    <w:p w14:paraId="267E8AEF">
      <w:pPr>
        <w:pStyle w:val="11"/>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资金管理：深入分析项目资金的分配、使用和监管情况，确保资金使用的合规性、高效性和透明度。</w:t>
      </w:r>
    </w:p>
    <w:p w14:paraId="19E01CD2">
      <w:pPr>
        <w:pStyle w:val="11"/>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项目实施进度与产出：评估项目是否按照既定计划顺利推进，各项任务是否按时完成，以及项目产出的数量、质量和时效性是否符合预期。</w:t>
      </w:r>
    </w:p>
    <w:p w14:paraId="1E59BB39">
      <w:pPr>
        <w:pStyle w:val="11"/>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社会影响：考察项目对社会方面的综合影响。</w:t>
      </w:r>
    </w:p>
    <w:p w14:paraId="07793574">
      <w:pPr>
        <w:spacing w:line="560" w:lineRule="exact"/>
        <w:ind w:firstLine="643" w:firstLineChars="200"/>
        <w:rPr>
          <w:rFonts w:hint="default" w:ascii="Times New Roman" w:hAnsi="Times New Roman" w:cs="Times New Roman"/>
          <w:color w:val="auto"/>
          <w:highlight w:val="none"/>
        </w:rPr>
      </w:pPr>
      <w:r>
        <w:rPr>
          <w:rFonts w:hint="default" w:ascii="Times New Roman" w:hAnsi="Times New Roman" w:eastAsia="楷体_GB2312" w:cs="Times New Roman"/>
          <w:b/>
          <w:bCs/>
          <w:color w:val="auto"/>
          <w:sz w:val="32"/>
          <w:szCs w:val="32"/>
          <w:highlight w:val="none"/>
        </w:rPr>
        <w:t>（二）绩效评价原则、评价指标体系（详情见表1）、评价方法、评价标准。</w:t>
      </w:r>
    </w:p>
    <w:p w14:paraId="48E398F4">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绩效评价原则</w:t>
      </w:r>
    </w:p>
    <w:p w14:paraId="5AC985B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本次项目绩效评价遵循以下基本原则：</w:t>
      </w:r>
    </w:p>
    <w:p w14:paraId="3321091D">
      <w:pPr>
        <w:pStyle w:val="11"/>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（1）科学公正。绩效评价应当运用科学合理的方法，按照规范的程序，对项目绩效进行客观、公正的反映。</w:t>
      </w:r>
    </w:p>
    <w:p w14:paraId="6E20F725">
      <w:pPr>
        <w:pStyle w:val="11"/>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（2）统筹兼顾。单位自评、部门评价和财政评价应职责明确，各有侧重，相互衔接。单位自评应由项目单位自主实施，即“谁支出、谁自评”。部门评价和财政评价应在单位自评的基础上开展。</w:t>
      </w:r>
    </w:p>
    <w:p w14:paraId="16346F89">
      <w:pPr>
        <w:pStyle w:val="11"/>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（3）激励约束。绩效评价结果应与预算安排、政策调整、改进管理实质性挂钩，体现奖优罚劣和激励相容导向，有效要安排、低效要压减、无效要问责。</w:t>
      </w:r>
    </w:p>
    <w:p w14:paraId="5CDA7C09">
      <w:pPr>
        <w:pStyle w:val="11"/>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（4）公开透明。绩效评价结果应依法依规公开，并自觉接受社会监督。</w:t>
      </w:r>
    </w:p>
    <w:p w14:paraId="34D246A9">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评价指标体系</w:t>
      </w:r>
    </w:p>
    <w:p w14:paraId="3AE91BB1">
      <w:pPr>
        <w:spacing w:line="560" w:lineRule="exact"/>
        <w:ind w:firstLine="708" w:firstLineChars="200"/>
        <w:rPr>
          <w:rFonts w:hint="default" w:ascii="Times New Roman" w:hAnsi="Times New Roman"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绩效评价框架是开展绩效评价的核心。绩效评价框架包括评价准则、关键评价问题、评价指标、数据来源、数据收集方法等。指标体系建立过程如下：</w:t>
      </w:r>
    </w:p>
    <w:p w14:paraId="1D02F59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（1）确定评价指标</w:t>
      </w:r>
    </w:p>
    <w:p w14:paraId="3EC09052">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4ADEEF27">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（2）确定权重</w:t>
      </w:r>
    </w:p>
    <w:p w14:paraId="74E07D02">
      <w:pPr>
        <w:spacing w:line="560" w:lineRule="exact"/>
        <w:ind w:firstLine="708" w:firstLineChars="200"/>
        <w:rPr>
          <w:rFonts w:hint="default" w:ascii="Times New Roman" w:hAnsi="Times New Roman" w:eastAsia="仿宋_GB2312" w:cs="Times New Roman"/>
          <w:color w:val="auto"/>
          <w:spacing w:val="17"/>
          <w:sz w:val="32"/>
          <w:szCs w:val="32"/>
          <w:highlight w:val="none"/>
          <w:lang w:eastAsia="zh-CN"/>
        </w:rPr>
      </w:pPr>
      <w:r>
        <w:rPr>
          <w:rFonts w:hint="default" w:ascii="Times New Roman" w:hAnsi="Times New Roman" w:eastAsia="仿宋_GB2312" w:cs="Times New Roman"/>
          <w:color w:val="auto"/>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6FA1C4A1">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（3）确定指标标准值</w:t>
      </w:r>
    </w:p>
    <w:p w14:paraId="7CBC3BBF">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指标标准值是绩效评价指标的尺度，既要反映同类项目的先进水平，又要符合项目的实际绩效水平。具体采用计划标准等确定此次绩效评价指标标准值。</w:t>
      </w:r>
    </w:p>
    <w:p w14:paraId="23FDC03B">
      <w:pPr>
        <w:pStyle w:val="11"/>
        <w:spacing w:before="0" w:after="0" w:line="560" w:lineRule="exact"/>
        <w:ind w:firstLine="708" w:firstLineChars="200"/>
        <w:jc w:val="both"/>
        <w:rPr>
          <w:rFonts w:hint="default" w:ascii="Times New Roman" w:hAnsi="Times New Roman" w:eastAsia="仿宋_GB2312" w:cs="Times New Roman"/>
          <w:b w:val="0"/>
          <w:bCs w:val="0"/>
          <w:color w:val="auto"/>
          <w:spacing w:val="17"/>
          <w:kern w:val="2"/>
          <w:highlight w:val="none"/>
        </w:rPr>
      </w:pPr>
      <w:r>
        <w:rPr>
          <w:rFonts w:hint="default" w:ascii="Times New Roman" w:hAnsi="Times New Roman" w:eastAsia="仿宋_GB2312" w:cs="Times New Roman"/>
          <w:b w:val="0"/>
          <w:bCs w:val="0"/>
          <w:color w:val="auto"/>
          <w:spacing w:val="17"/>
          <w:kern w:val="2"/>
          <w:highlight w:val="none"/>
        </w:rPr>
        <w:t>绩效评价总分值100分，根据综合评分结果，90（含）-100分为优、80（含）-90分为良、60（含）-80分为中、60分以下为差。</w:t>
      </w:r>
    </w:p>
    <w:p w14:paraId="18CE842B">
      <w:pPr>
        <w:pStyle w:val="11"/>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auto"/>
          <w:spacing w:val="17"/>
          <w:highlight w:val="none"/>
        </w:rPr>
      </w:pPr>
      <w:r>
        <w:rPr>
          <w:rFonts w:hint="default" w:ascii="Times New Roman" w:hAnsi="Times New Roman" w:eastAsia="仿宋_GB2312" w:cs="Times New Roman"/>
          <w:b w:val="0"/>
          <w:bCs w:val="0"/>
          <w:color w:val="auto"/>
          <w:spacing w:val="17"/>
          <w:highlight w:val="none"/>
        </w:rPr>
        <w:t>具体评价指标体系详情见附件1</w:t>
      </w:r>
    </w:p>
    <w:p w14:paraId="2C736C5E">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w:t>
      </w:r>
      <w:r>
        <w:rPr>
          <w:rFonts w:hint="default" w:ascii="Times New Roman" w:hAnsi="Times New Roman" w:eastAsia="仿宋_GB2312"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rPr>
        <w:t>绩效评价方法</w:t>
      </w:r>
    </w:p>
    <w:p w14:paraId="4EF86CD3">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4D549DA7">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192B2D6E">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 xml:space="preserve">（一）成本效益分析法。是指将投入与产出、效益进行关联性分析的方法。 </w:t>
      </w:r>
    </w:p>
    <w:p w14:paraId="4440403D">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（二）比较法。是指将实施情况与绩效目标、历史情况、不同部门和地区同类支出情况进行比较的方法。</w:t>
      </w:r>
    </w:p>
    <w:p w14:paraId="6AFCA54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（三）因素分析法。是指综合分析影响绩效目标实现、实施效果的内外部因素的方法。</w:t>
      </w:r>
    </w:p>
    <w:p w14:paraId="57286475">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评价标准</w:t>
      </w:r>
    </w:p>
    <w:p w14:paraId="7355B2F0">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绩效评价标准通常包括计划标准、行业标准、历史标准等，用于对绩效指标完成情况进行比较、分析、评价。本次评价主要采用了</w:t>
      </w:r>
      <w:r>
        <w:rPr>
          <w:rFonts w:hint="eastAsia" w:ascii="Times New Roman" w:hAnsi="Times New Roman" w:eastAsia="仿宋_GB2312" w:cs="Times New Roman"/>
          <w:b w:val="0"/>
          <w:bCs w:val="0"/>
          <w:color w:val="auto"/>
          <w:highlight w:val="none"/>
          <w:lang w:val="en-US" w:eastAsia="zh-CN"/>
        </w:rPr>
        <w:t>计划</w:t>
      </w:r>
      <w:r>
        <w:rPr>
          <w:rFonts w:hint="default" w:ascii="Times New Roman" w:hAnsi="Times New Roman" w:eastAsia="仿宋_GB2312" w:cs="Times New Roman"/>
          <w:b w:val="0"/>
          <w:bCs w:val="0"/>
          <w:color w:val="auto"/>
          <w:highlight w:val="none"/>
        </w:rPr>
        <w:t>标准。</w:t>
      </w:r>
    </w:p>
    <w:p w14:paraId="22653DC3">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lang w:val="en-US" w:eastAsia="zh-CN"/>
        </w:rPr>
        <w:t>1</w:t>
      </w: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计划标准。指以预先制定的目标、计划、预算、定额等作为评价标准。</w:t>
      </w:r>
    </w:p>
    <w:p w14:paraId="16A6311D">
      <w:pPr>
        <w:pStyle w:val="11"/>
        <w:numPr>
          <w:ilvl w:val="0"/>
          <w:numId w:val="2"/>
        </w:numPr>
        <w:spacing w:before="0" w:after="0" w:line="560" w:lineRule="exact"/>
        <w:ind w:left="-81" w:leftChars="0" w:firstLine="711" w:firstLineChars="0"/>
        <w:jc w:val="both"/>
        <w:rPr>
          <w:rFonts w:hint="default" w:ascii="Times New Roman" w:hAnsi="Times New Roman" w:eastAsia="楷体" w:cs="Times New Roman"/>
          <w:color w:val="auto"/>
          <w:spacing w:val="17"/>
          <w:highlight w:val="none"/>
        </w:rPr>
      </w:pPr>
      <w:r>
        <w:rPr>
          <w:rFonts w:hint="default" w:ascii="Times New Roman" w:hAnsi="Times New Roman" w:eastAsia="楷体" w:cs="Times New Roman"/>
          <w:color w:val="auto"/>
          <w:spacing w:val="17"/>
          <w:highlight w:val="none"/>
        </w:rPr>
        <w:t>绩效评价工作过程</w:t>
      </w:r>
    </w:p>
    <w:p w14:paraId="5C2BE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前期准备与规划</w:t>
      </w:r>
    </w:p>
    <w:p w14:paraId="31FCA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在项目绩效评价工作启动之初，成立了专门的评价工作小组，小组成员由</w:t>
      </w:r>
      <w:r>
        <w:rPr>
          <w:rFonts w:hint="eastAsia" w:eastAsia="仿宋_GB2312" w:cs="Times New Roman"/>
          <w:color w:val="auto"/>
          <w:sz w:val="32"/>
          <w:szCs w:val="32"/>
          <w:highlight w:val="none"/>
          <w:lang w:val="en-US" w:eastAsia="zh-CN"/>
        </w:rPr>
        <w:t>社区负责人</w:t>
      </w:r>
      <w:r>
        <w:rPr>
          <w:rFonts w:hint="default" w:ascii="Times New Roman" w:hAnsi="Times New Roman" w:eastAsia="仿宋_GB2312" w:cs="Times New Roman"/>
          <w:color w:val="auto"/>
          <w:sz w:val="32"/>
          <w:szCs w:val="32"/>
          <w:highlight w:val="none"/>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）指标体系构建</w:t>
      </w:r>
    </w:p>
    <w:p w14:paraId="42502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auto"/>
          <w:spacing w:val="17"/>
          <w:sz w:val="32"/>
          <w:szCs w:val="32"/>
          <w:highlight w:val="none"/>
        </w:rPr>
        <w:t>项目决策、项目过程、项目产出、项目效益四个维度</w:t>
      </w:r>
      <w:r>
        <w:rPr>
          <w:rFonts w:hint="default" w:ascii="Times New Roman" w:hAnsi="Times New Roman" w:eastAsia="仿宋_GB2312" w:cs="Times New Roman"/>
          <w:color w:val="auto"/>
          <w:sz w:val="32"/>
          <w:szCs w:val="32"/>
          <w:highlight w:val="none"/>
          <w:lang w:eastAsia="zh-CN"/>
        </w:rPr>
        <w:t>，选取了具有代表性和可衡量性的关键指标，并为每个指标设定了明确的评价标准与权重，确保评价结果能够全面、准确地反映项目的绩效状况。</w:t>
      </w:r>
    </w:p>
    <w:p w14:paraId="10D60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）数据收集与整理</w:t>
      </w:r>
    </w:p>
    <w:p w14:paraId="5A220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）数据分析与评估</w:t>
      </w:r>
    </w:p>
    <w:p w14:paraId="51CCA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）报告撰写与反馈</w:t>
      </w:r>
    </w:p>
    <w:p w14:paraId="68B78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）后续跟踪与改进</w:t>
      </w:r>
    </w:p>
    <w:p w14:paraId="5BD08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pPr>
        <w:numPr>
          <w:ilvl w:val="0"/>
          <w:numId w:val="3"/>
        </w:num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综合评价情况及评价结论（附相关评分表）</w:t>
      </w:r>
    </w:p>
    <w:p w14:paraId="7B419597">
      <w:pPr>
        <w:pStyle w:val="11"/>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一</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评价情况</w:t>
      </w:r>
    </w:p>
    <w:p w14:paraId="697737A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本项目的综合评价基于对项目各方面绩效的深入分析与评估。从项目目标的达成情况来看，社区经费在</w:t>
      </w:r>
      <w:r>
        <w:rPr>
          <w:rFonts w:hint="eastAsia" w:eastAsia="仿宋_GB2312" w:cs="Times New Roman"/>
          <w:color w:val="auto"/>
          <w:sz w:val="32"/>
          <w:szCs w:val="32"/>
          <w:highlight w:val="none"/>
          <w:lang w:val="en-US" w:eastAsia="zh-CN"/>
        </w:rPr>
        <w:t>保障社区数量</w:t>
      </w:r>
      <w:r>
        <w:rPr>
          <w:rFonts w:hint="default" w:ascii="Times New Roman" w:hAnsi="Times New Roman" w:eastAsia="仿宋_GB2312" w:cs="Times New Roman"/>
          <w:color w:val="auto"/>
          <w:sz w:val="32"/>
          <w:szCs w:val="32"/>
          <w:highlight w:val="none"/>
        </w:rPr>
        <w:t>、经费支出合理性等方面表现出色，达到了预期的标准与要求。同时，项目也在提供充足的社区经费，用以保障辖区居民生活安全和提升幸福感取得了显著的成效，如经费支出合理性、经费支付及时性等。</w:t>
      </w:r>
    </w:p>
    <w:p w14:paraId="782BEF4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在项目管理方面，乌鲁木齐市沙依巴克区友好北路片区管理委员会通过有效的规划、组织与协调，项目得以顺利实施，并在预算与时间上保持了良好的控制。</w:t>
      </w:r>
    </w:p>
    <w:p w14:paraId="4C8F208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从项目效益的角度来看，本项目不仅实现了预期的社会效益方面产生了积极的影响。具体而言，提升社区服务能力</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保障社区工作正常运转</w:t>
      </w:r>
      <w:r>
        <w:rPr>
          <w:rFonts w:hint="default" w:ascii="Times New Roman" w:hAnsi="Times New Roman" w:eastAsia="仿宋_GB2312" w:cs="Times New Roman"/>
          <w:color w:val="auto"/>
          <w:sz w:val="32"/>
          <w:szCs w:val="32"/>
          <w:highlight w:val="none"/>
        </w:rPr>
        <w:t>方面的提升，为项目的利益相关者带来了实实在在的利益。</w:t>
      </w:r>
    </w:p>
    <w:p w14:paraId="65871231">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综上所述，社区经费在绩效评价中表现出色，达到了项目的预期目标，并在多个方面取得了显著的成效。</w:t>
      </w:r>
    </w:p>
    <w:p w14:paraId="54598732">
      <w:pPr>
        <w:pStyle w:val="11"/>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二</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评价结论</w:t>
      </w:r>
    </w:p>
    <w:p w14:paraId="0AD22873">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分，属于“优”。其中，项目决策类指标权重为20分，得分为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%。项目过程类指标权重为20分，得分为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%。项目产出类指标权重为40分，得分为</w:t>
      </w:r>
      <w:r>
        <w:rPr>
          <w:rFonts w:hint="eastAsia" w:ascii="Times New Roman" w:hAnsi="Times New Roman" w:eastAsia="仿宋_GB2312" w:cs="Times New Roman"/>
          <w:b w:val="0"/>
          <w:bCs w:val="0"/>
          <w:color w:val="auto"/>
          <w:highlight w:val="none"/>
          <w:lang w:val="en-US" w:eastAsia="zh-CN"/>
        </w:rPr>
        <w:t>40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%。项目效益类指标权重为20分，得分为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%。具体打分情况详见：附件1综合评分表</w:t>
      </w:r>
      <w:r>
        <w:rPr>
          <w:rFonts w:hint="default" w:ascii="Times New Roman" w:hAnsi="Times New Roman" w:eastAsia="仿宋_GB2312" w:cs="Times New Roman"/>
          <w:b w:val="0"/>
          <w:bCs w:val="0"/>
          <w:color w:val="auto"/>
          <w:highlight w:val="none"/>
          <w:lang w:eastAsia="zh-CN"/>
        </w:rPr>
        <w:t>。</w:t>
      </w:r>
    </w:p>
    <w:p w14:paraId="0DA8308E">
      <w:pPr>
        <w:pStyle w:val="11"/>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表1综合评分表</w:t>
      </w:r>
    </w:p>
    <w:tbl>
      <w:tblPr>
        <w:tblStyle w:val="15"/>
        <w:tblW w:w="4998" w:type="pct"/>
        <w:jc w:val="center"/>
        <w:tblLayout w:type="autofit"/>
        <w:tblCellMar>
          <w:top w:w="0" w:type="dxa"/>
          <w:left w:w="108" w:type="dxa"/>
          <w:bottom w:w="0" w:type="dxa"/>
          <w:right w:w="108" w:type="dxa"/>
        </w:tblCellMar>
      </w:tblPr>
      <w:tblGrid>
        <w:gridCol w:w="2787"/>
        <w:gridCol w:w="1927"/>
        <w:gridCol w:w="2023"/>
        <w:gridCol w:w="2023"/>
      </w:tblGrid>
      <w:tr w14:paraId="28F9F1E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C69E152">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2746797">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E4DA57">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6F2C81">
            <w:pPr>
              <w:jc w:val="center"/>
              <w:rPr>
                <w:rFonts w:hint="eastAsia"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得分率</w:t>
            </w:r>
          </w:p>
        </w:tc>
      </w:tr>
      <w:tr w14:paraId="0F6F05C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7ECC2743">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项目决策</w:t>
            </w:r>
          </w:p>
        </w:tc>
        <w:tc>
          <w:tcPr>
            <w:tcW w:w="1099" w:type="pct"/>
            <w:tcBorders>
              <w:top w:val="nil"/>
              <w:left w:val="nil"/>
              <w:bottom w:val="single" w:color="auto" w:sz="4" w:space="0"/>
              <w:right w:val="single" w:color="auto" w:sz="4" w:space="0"/>
            </w:tcBorders>
            <w:shd w:val="clear" w:color="auto" w:fill="auto"/>
            <w:vAlign w:val="center"/>
          </w:tcPr>
          <w:p w14:paraId="2BE7F794">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7BBDC4C6">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4E0E0EDA">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0F91EAE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2891ECBD">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项目过程</w:t>
            </w:r>
          </w:p>
        </w:tc>
        <w:tc>
          <w:tcPr>
            <w:tcW w:w="1099" w:type="pct"/>
            <w:tcBorders>
              <w:top w:val="nil"/>
              <w:left w:val="nil"/>
              <w:bottom w:val="single" w:color="auto" w:sz="4" w:space="0"/>
              <w:right w:val="single" w:color="auto" w:sz="4" w:space="0"/>
            </w:tcBorders>
            <w:shd w:val="clear" w:color="auto" w:fill="auto"/>
            <w:vAlign w:val="center"/>
          </w:tcPr>
          <w:p w14:paraId="6671F305">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4F78E977">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286F0E6B">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C5E97E9">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5B6ACF1C">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项目产出</w:t>
            </w:r>
          </w:p>
        </w:tc>
        <w:tc>
          <w:tcPr>
            <w:tcW w:w="1099" w:type="pct"/>
            <w:tcBorders>
              <w:top w:val="nil"/>
              <w:left w:val="nil"/>
              <w:bottom w:val="single" w:color="auto" w:sz="4" w:space="0"/>
              <w:right w:val="single" w:color="auto" w:sz="4" w:space="0"/>
            </w:tcBorders>
            <w:shd w:val="clear" w:color="auto" w:fill="auto"/>
            <w:vAlign w:val="center"/>
          </w:tcPr>
          <w:p w14:paraId="41CBF47B">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40</w:t>
            </w:r>
          </w:p>
        </w:tc>
        <w:tc>
          <w:tcPr>
            <w:tcW w:w="1154" w:type="pct"/>
            <w:tcBorders>
              <w:top w:val="nil"/>
              <w:left w:val="nil"/>
              <w:bottom w:val="single" w:color="auto" w:sz="4" w:space="0"/>
              <w:right w:val="single" w:color="auto" w:sz="4" w:space="0"/>
            </w:tcBorders>
            <w:shd w:val="clear" w:color="auto" w:fill="auto"/>
            <w:vAlign w:val="center"/>
          </w:tcPr>
          <w:p w14:paraId="6F3CC7FC">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40</w:t>
            </w:r>
          </w:p>
        </w:tc>
        <w:tc>
          <w:tcPr>
            <w:tcW w:w="1154" w:type="pct"/>
            <w:tcBorders>
              <w:top w:val="nil"/>
              <w:left w:val="nil"/>
              <w:bottom w:val="single" w:color="auto" w:sz="4" w:space="0"/>
              <w:right w:val="single" w:color="auto" w:sz="4" w:space="0"/>
            </w:tcBorders>
            <w:shd w:val="clear" w:color="auto" w:fill="auto"/>
            <w:vAlign w:val="center"/>
          </w:tcPr>
          <w:p w14:paraId="60AC4EC6">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AF0D2B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45C36318">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项目效益</w:t>
            </w:r>
          </w:p>
        </w:tc>
        <w:tc>
          <w:tcPr>
            <w:tcW w:w="1099" w:type="pct"/>
            <w:tcBorders>
              <w:top w:val="nil"/>
              <w:left w:val="nil"/>
              <w:bottom w:val="single" w:color="auto" w:sz="4" w:space="0"/>
              <w:right w:val="single" w:color="auto" w:sz="4" w:space="0"/>
            </w:tcBorders>
            <w:shd w:val="clear" w:color="auto" w:fill="auto"/>
            <w:vAlign w:val="center"/>
          </w:tcPr>
          <w:p w14:paraId="2F0F35F0">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1776DF05">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1F715460">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E117260">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334A823A">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合计</w:t>
            </w:r>
          </w:p>
        </w:tc>
        <w:tc>
          <w:tcPr>
            <w:tcW w:w="1099" w:type="pct"/>
            <w:tcBorders>
              <w:top w:val="nil"/>
              <w:left w:val="nil"/>
              <w:bottom w:val="single" w:color="auto" w:sz="4" w:space="0"/>
              <w:right w:val="single" w:color="auto" w:sz="4" w:space="0"/>
            </w:tcBorders>
            <w:shd w:val="clear" w:color="auto" w:fill="auto"/>
            <w:vAlign w:val="center"/>
          </w:tcPr>
          <w:p w14:paraId="672AFE79">
            <w:pPr>
              <w:jc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color w:val="auto"/>
                <w:sz w:val="21"/>
                <w:szCs w:val="21"/>
                <w:highlight w:val="none"/>
                <w:lang w:val="en-US" w:eastAsia="zh-CN"/>
              </w:rPr>
              <w:t>100</w:t>
            </w:r>
          </w:p>
        </w:tc>
        <w:tc>
          <w:tcPr>
            <w:tcW w:w="1154" w:type="pct"/>
            <w:tcBorders>
              <w:top w:val="nil"/>
              <w:left w:val="nil"/>
              <w:bottom w:val="single" w:color="auto" w:sz="4" w:space="0"/>
              <w:right w:val="single" w:color="auto" w:sz="4" w:space="0"/>
            </w:tcBorders>
            <w:shd w:val="clear" w:color="auto" w:fill="auto"/>
            <w:vAlign w:val="center"/>
          </w:tcPr>
          <w:p w14:paraId="49441720">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c>
          <w:tcPr>
            <w:tcW w:w="1154" w:type="pct"/>
            <w:tcBorders>
              <w:top w:val="nil"/>
              <w:left w:val="nil"/>
              <w:bottom w:val="single" w:color="auto" w:sz="4" w:space="0"/>
              <w:right w:val="single" w:color="auto" w:sz="4" w:space="0"/>
            </w:tcBorders>
            <w:shd w:val="clear" w:color="auto" w:fill="auto"/>
            <w:vAlign w:val="center"/>
          </w:tcPr>
          <w:p w14:paraId="69B1C941">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r>
    </w:tbl>
    <w:p w14:paraId="70F62D1C">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四、绩效评价指标分析</w:t>
      </w:r>
    </w:p>
    <w:p w14:paraId="50E41E5C">
      <w:pPr>
        <w:pStyle w:val="11"/>
        <w:spacing w:before="0" w:after="0" w:line="560" w:lineRule="exact"/>
        <w:ind w:firstLine="643" w:firstLineChars="200"/>
        <w:jc w:val="both"/>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（一）项目决策情况</w:t>
      </w:r>
    </w:p>
    <w:p w14:paraId="587CC5E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0D3B82D2">
      <w:pPr>
        <w:pStyle w:val="20"/>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1.项目立项</w:t>
      </w:r>
    </w:p>
    <w:p w14:paraId="546A8D9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（1）立项依据充分性</w:t>
      </w:r>
    </w:p>
    <w:p w14:paraId="497764C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（2）立项程序规范性</w:t>
      </w:r>
    </w:p>
    <w:p w14:paraId="6F9EC0D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项目申请、设立过程符合相关要求，</w:t>
      </w:r>
      <w:r>
        <w:rPr>
          <w:rFonts w:hint="default" w:ascii="Times New Roman" w:hAnsi="Times New Roman" w:eastAsia="仿宋_GB2312" w:cs="Times New Roman"/>
          <w:color w:val="auto"/>
          <w:sz w:val="32"/>
          <w:szCs w:val="32"/>
          <w:highlight w:val="none"/>
          <w:lang w:eastAsia="zh-Hans"/>
        </w:rPr>
        <w:t>严格按照审批流程准备符合要求的文件、材料；</w:t>
      </w:r>
      <w:r>
        <w:rPr>
          <w:rFonts w:hint="default" w:ascii="Times New Roman" w:hAnsi="Times New Roman" w:eastAsia="仿宋_GB2312" w:cs="Times New Roman"/>
          <w:color w:val="auto"/>
          <w:sz w:val="32"/>
          <w:szCs w:val="32"/>
          <w:highlight w:val="none"/>
          <w:lang w:val="en-US" w:eastAsia="zh-CN"/>
        </w:rPr>
        <w:t>工作计划和经费预算，经过与部门项目分管领导沟通、筛选确定经费预算计划，确定最终预算方案。项目的审批文件、材料符合相关要求，项目事前经过必要的绩效评估、集体决策，保障了程序的规范性。</w:t>
      </w:r>
    </w:p>
    <w:p w14:paraId="5A9CF6C0">
      <w:pPr>
        <w:pStyle w:val="20"/>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2.绩效目标</w:t>
      </w:r>
    </w:p>
    <w:p w14:paraId="7050F07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（1）绩效目标合理性</w:t>
      </w:r>
    </w:p>
    <w:p w14:paraId="1B562BB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Hans"/>
        </w:rPr>
        <w:t>年初结合实际工作内容</w:t>
      </w:r>
      <w:r>
        <w:rPr>
          <w:rFonts w:hint="default" w:ascii="Times New Roman" w:hAnsi="Times New Roman" w:eastAsia="仿宋_GB2312" w:cs="Times New Roman"/>
          <w:color w:val="auto"/>
          <w:sz w:val="32"/>
          <w:szCs w:val="32"/>
          <w:highlight w:val="none"/>
          <w:lang w:val="en-US" w:eastAsia="zh-CN"/>
        </w:rPr>
        <w:t>设定绩效目标</w:t>
      </w:r>
      <w:r>
        <w:rPr>
          <w:rFonts w:hint="default" w:ascii="Times New Roman" w:hAnsi="Times New Roman" w:eastAsia="仿宋_GB2312" w:cs="Times New Roman"/>
          <w:color w:val="auto"/>
          <w:sz w:val="32"/>
          <w:szCs w:val="32"/>
          <w:highlight w:val="none"/>
          <w:lang w:val="en-US" w:eastAsia="zh-Hans"/>
        </w:rPr>
        <w:t>，绩效目标</w:t>
      </w:r>
      <w:r>
        <w:rPr>
          <w:rFonts w:hint="default" w:ascii="Times New Roman" w:hAnsi="Times New Roman" w:eastAsia="仿宋_GB2312" w:cs="Times New Roman"/>
          <w:color w:val="auto"/>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（2）绩效指标明确性</w:t>
      </w:r>
    </w:p>
    <w:p w14:paraId="5B123CD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项目设置了明确的预期产出效益和效果，将绩效目标细化分解为具体的绩效指标，</w:t>
      </w:r>
      <w:r>
        <w:rPr>
          <w:rFonts w:hint="eastAsia" w:ascii="Times New Roman" w:hAnsi="Times New Roman" w:eastAsia="仿宋_GB2312" w:cs="Times New Roman"/>
          <w:color w:val="auto"/>
          <w:sz w:val="32"/>
          <w:szCs w:val="32"/>
          <w:highlight w:val="none"/>
          <w:lang w:val="en-US" w:eastAsia="zh-CN"/>
        </w:rPr>
        <w:t>数量指标：所辖资金使用对象社区数量</w:t>
      </w: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个。质量指标：经费支出合理性&gt;=95%。时效指标：经费支付及时性&gt;=95%。经济成本指标：所辖各社区经费平均标准&lt;=</w:t>
      </w:r>
      <w:r>
        <w:rPr>
          <w:rFonts w:hint="eastAsia" w:eastAsia="仿宋_GB2312" w:cs="Times New Roman"/>
          <w:color w:val="auto"/>
          <w:sz w:val="32"/>
          <w:szCs w:val="32"/>
          <w:highlight w:val="none"/>
          <w:lang w:val="en-US" w:eastAsia="zh-CN"/>
        </w:rPr>
        <w:t>51.82</w:t>
      </w:r>
      <w:r>
        <w:rPr>
          <w:rFonts w:hint="eastAsia" w:ascii="Times New Roman" w:hAnsi="Times New Roman" w:eastAsia="仿宋_GB2312" w:cs="Times New Roman"/>
          <w:color w:val="auto"/>
          <w:sz w:val="32"/>
          <w:szCs w:val="32"/>
          <w:highlight w:val="none"/>
          <w:lang w:val="en-US" w:eastAsia="zh-CN"/>
        </w:rPr>
        <w:t>万元。社会效益指标：提供充足的社区经费，用以保障辖区居民生活安全和提升幸福感，有效提升。提升社区服务能力，有效提高。满意度指标：辖区居民满意度&gt;=95%。</w:t>
      </w:r>
      <w:r>
        <w:rPr>
          <w:rFonts w:hint="default" w:ascii="Times New Roman" w:hAnsi="Times New Roman" w:eastAsia="仿宋_GB2312" w:cs="Times New Roman"/>
          <w:color w:val="auto"/>
          <w:sz w:val="32"/>
          <w:szCs w:val="32"/>
          <w:highlight w:val="none"/>
          <w:lang w:val="en-US" w:eastAsia="zh-CN"/>
        </w:rPr>
        <w:t>绩效目标与项目目标任务数相对应，绩效目标设定的绩效指标清晰、细化、可衡量。</w:t>
      </w:r>
    </w:p>
    <w:p w14:paraId="33A11470">
      <w:pPr>
        <w:pStyle w:val="20"/>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3.资金投入</w:t>
      </w:r>
    </w:p>
    <w:p w14:paraId="1C019F4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（1）预算编制科学性</w:t>
      </w:r>
    </w:p>
    <w:p w14:paraId="626E1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在预算编制过程中，</w:t>
      </w:r>
      <w:r>
        <w:rPr>
          <w:rFonts w:hint="default"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（2）资金分配合理性</w:t>
      </w:r>
    </w:p>
    <w:p w14:paraId="09A0F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pPr>
        <w:pStyle w:val="11"/>
        <w:numPr>
          <w:ilvl w:val="0"/>
          <w:numId w:val="4"/>
        </w:numPr>
        <w:spacing w:before="0" w:after="0" w:line="560" w:lineRule="exact"/>
        <w:ind w:left="-13" w:leftChars="0" w:firstLine="643" w:firstLineChars="0"/>
        <w:jc w:val="both"/>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项目过程情况</w:t>
      </w:r>
    </w:p>
    <w:p w14:paraId="217CF8C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项目过程类指标包括资金管理和组织实施两方面的内容，由5个三级指标构成，权重分值为20分，实际得</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348574CD">
      <w:pPr>
        <w:pStyle w:val="20"/>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1.资金管理</w:t>
      </w:r>
    </w:p>
    <w:p w14:paraId="290DB0E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（1）资金到位率</w:t>
      </w:r>
    </w:p>
    <w:p w14:paraId="7BEFCB0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本项目总投资</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万元，财政资金及时足额到位，到位率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于2024年12月全部到位，用于支付我街道辖区内11个社区每月经费支出。</w:t>
      </w:r>
    </w:p>
    <w:p w14:paraId="2DFB90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（2）预算执行率</w:t>
      </w:r>
    </w:p>
    <w:p w14:paraId="79A1A39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预算编制较为详细，项目资金支出总体能够按照预算执行，预算资金支出</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用于支付我街道辖区内11个社区每月经费支出。</w:t>
      </w:r>
    </w:p>
    <w:p w14:paraId="68A681F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（3）资金使用合规性</w:t>
      </w:r>
    </w:p>
    <w:p w14:paraId="7F3A7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718A7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pPr>
        <w:pStyle w:val="20"/>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2.组织实施</w:t>
      </w:r>
    </w:p>
    <w:p w14:paraId="2644966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（1）管理制度健全性</w:t>
      </w:r>
    </w:p>
    <w:p w14:paraId="60CF8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在制度设计上，我们注重了制度的科学性与可操作性，确保制度能够切实指导项目的执行与管理。</w:t>
      </w:r>
    </w:p>
    <w:p w14:paraId="7AB0C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（2）制度执行有效性</w:t>
      </w:r>
    </w:p>
    <w:p w14:paraId="3C68E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eastAsia="zh-CN"/>
        </w:rPr>
        <w:t>重视制度执行的重要性，通过明确责任分工、制定详细执行计划、加强监督考核等措施，确保了各项管理制度能够得到有效执行。</w:t>
      </w:r>
    </w:p>
    <w:p w14:paraId="336D5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综上所述，本项目的管理制度在执行过程中表现出了高度的有效性，既确保了项目的顺利进行，又实现了项目目标的有效达成。</w:t>
      </w:r>
    </w:p>
    <w:p w14:paraId="76389D37">
      <w:pPr>
        <w:pStyle w:val="13"/>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项目产出</w:t>
      </w:r>
      <w:r>
        <w:rPr>
          <w:rFonts w:hint="default" w:ascii="Times New Roman" w:hAnsi="Times New Roman" w:eastAsia="楷体_GB2312" w:cs="Times New Roman"/>
          <w:b/>
          <w:bCs/>
          <w:color w:val="auto"/>
          <w:sz w:val="32"/>
          <w:szCs w:val="32"/>
          <w:highlight w:val="none"/>
          <w:lang w:val="en-US" w:eastAsia="zh-CN"/>
        </w:rPr>
        <w:t>情况</w:t>
      </w:r>
    </w:p>
    <w:p w14:paraId="0D1E9C85">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项目产出类指标包括产出数量、产出质量、产出时效、产出成本四方面的内容，由</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个三级指标构成，权重分为40分，实际得分</w:t>
      </w:r>
      <w:r>
        <w:rPr>
          <w:rFonts w:hint="eastAsia"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%。具体产出指标完成情况如下：</w:t>
      </w:r>
    </w:p>
    <w:p w14:paraId="5ACEDBA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数量指标：</w:t>
      </w:r>
    </w:p>
    <w:p w14:paraId="5DFFFE1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指标1：所辖资金使用对象社区数量 ，指标值：</w:t>
      </w:r>
      <w:r>
        <w:rPr>
          <w:rFonts w:hint="eastAsia" w:eastAsia="仿宋_GB2312" w:cs="Times New Roman"/>
          <w:color w:val="auto"/>
          <w:sz w:val="32"/>
          <w:szCs w:val="32"/>
          <w:highlight w:val="none"/>
          <w:lang w:val="en-US" w:eastAsia="zh-CN"/>
        </w:rPr>
        <w:t>11个</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11个</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该条指标截止24年底完成较好，无偏差。11</w:t>
      </w:r>
      <w:r>
        <w:rPr>
          <w:rFonts w:hint="eastAsia" w:ascii="Times New Roman" w:hAnsi="Times New Roman" w:eastAsia="仿宋_GB2312" w:cs="Times New Roman"/>
          <w:color w:val="auto"/>
          <w:sz w:val="32"/>
          <w:szCs w:val="32"/>
          <w:highlight w:val="none"/>
          <w:lang w:val="en-US" w:eastAsia="zh-CN"/>
        </w:rPr>
        <w:t>个社区1东社区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2西社区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3泰华社区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4巴州北路社区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5宝地社区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6石家园子社区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7军区总医院社区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8友谊社区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9利明社区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10八楼社区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11师大社区。保障</w:t>
      </w: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个社区各项工作</w:t>
      </w:r>
      <w:r>
        <w:rPr>
          <w:rFonts w:hint="eastAsia" w:eastAsia="仿宋_GB2312" w:cs="Times New Roman"/>
          <w:color w:val="auto"/>
          <w:sz w:val="32"/>
          <w:szCs w:val="32"/>
          <w:highlight w:val="none"/>
          <w:lang w:val="en-US" w:eastAsia="zh-CN"/>
        </w:rPr>
        <w:t>正常开展。</w:t>
      </w:r>
    </w:p>
    <w:p w14:paraId="0662522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质量指标：</w:t>
      </w:r>
    </w:p>
    <w:p w14:paraId="683C5A2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指标1：经费支出合理性 ，指标值：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6B8C846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时效指标：</w:t>
      </w:r>
    </w:p>
    <w:p w14:paraId="70AA996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指标1：经费支付及时性 ，指标值：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该条指标截止24年底完成较好，无偏差。按时支付辖区内11个社区所需各项经费。</w:t>
      </w:r>
    </w:p>
    <w:p w14:paraId="2EBC500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4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④</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成本指标：</w:t>
      </w:r>
    </w:p>
    <w:p w14:paraId="61D02E9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指标1：所辖各社区经费平均标准 ，指标值：</w:t>
      </w:r>
      <w:r>
        <w:rPr>
          <w:rFonts w:hint="eastAsia" w:eastAsia="仿宋_GB2312" w:cs="Times New Roman"/>
          <w:color w:val="auto"/>
          <w:sz w:val="32"/>
          <w:szCs w:val="32"/>
          <w:highlight w:val="none"/>
          <w:lang w:val="en-US" w:eastAsia="zh-CN"/>
        </w:rPr>
        <w:t>&lt;=51.82万元</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51.82万</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r>
        <w:rPr>
          <w:rFonts w:hint="eastAsia" w:ascii="Times New Roman" w:hAnsi="Times New Roman" w:eastAsia="仿宋_GB2312" w:cs="Times New Roman"/>
          <w:color w:val="auto"/>
          <w:sz w:val="32"/>
          <w:szCs w:val="32"/>
          <w:highlight w:val="none"/>
          <w:lang w:val="en-US" w:eastAsia="zh-CN"/>
        </w:rPr>
        <w:t>本项目实际支出</w:t>
      </w:r>
      <w:r>
        <w:rPr>
          <w:rFonts w:hint="eastAsia" w:eastAsia="仿宋_GB2312" w:cs="Times New Roman"/>
          <w:color w:val="auto"/>
          <w:sz w:val="32"/>
          <w:szCs w:val="32"/>
          <w:highlight w:val="none"/>
          <w:lang w:val="en-US" w:eastAsia="zh-CN"/>
        </w:rPr>
        <w:t>570</w:t>
      </w:r>
      <w:r>
        <w:rPr>
          <w:rFonts w:hint="eastAsia"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平均每个社区51.82万元。</w:t>
      </w:r>
      <w:r>
        <w:rPr>
          <w:rFonts w:hint="eastAsia" w:ascii="Times New Roman" w:hAnsi="Times New Roman" w:eastAsia="仿宋_GB2312" w:cs="Times New Roman"/>
          <w:color w:val="auto"/>
          <w:sz w:val="32"/>
          <w:szCs w:val="32"/>
          <w:highlight w:val="none"/>
          <w:lang w:val="en-US" w:eastAsia="zh-CN"/>
        </w:rPr>
        <w:t>无超支情况，项目资金全部完成</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02EAEAEB">
      <w:pPr>
        <w:pStyle w:val="13"/>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项目效益情况</w:t>
      </w:r>
    </w:p>
    <w:p w14:paraId="7609BB2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项目效益类指标包括项目实施效益和满意度两方面的内容，由</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个三级指标构成，权重分为20分，实际得分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%。具体效益指标及满意度指标完成情况如下：</w:t>
      </w:r>
    </w:p>
    <w:p w14:paraId="1B5A52E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1.实施效益</w:t>
      </w:r>
    </w:p>
    <w:p w14:paraId="0548C5C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①</w:t>
      </w:r>
      <w:r>
        <w:rPr>
          <w:rFonts w:hint="default" w:ascii="Times New Roman" w:hAnsi="Times New Roman" w:eastAsia="仿宋_GB2312" w:cs="Times New Roman"/>
          <w:color w:val="auto"/>
          <w:sz w:val="32"/>
          <w:szCs w:val="32"/>
          <w:highlight w:val="none"/>
        </w:rPr>
        <w:t>经济效益指标：</w:t>
      </w:r>
    </w:p>
    <w:p w14:paraId="42215DC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2024年该项目不涉及此条指标</w:t>
      </w:r>
    </w:p>
    <w:p w14:paraId="5F42897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②</w:t>
      </w:r>
      <w:r>
        <w:rPr>
          <w:rFonts w:hint="default" w:ascii="Times New Roman" w:hAnsi="Times New Roman" w:eastAsia="仿宋_GB2312" w:cs="Times New Roman"/>
          <w:color w:val="auto"/>
          <w:sz w:val="32"/>
          <w:szCs w:val="32"/>
          <w:highlight w:val="none"/>
        </w:rPr>
        <w:t>社会效益指标：</w:t>
      </w:r>
    </w:p>
    <w:p w14:paraId="0CDA1BBD">
      <w:pPr>
        <w:shd w:val="clear"/>
        <w:spacing w:line="600" w:lineRule="exact"/>
        <w:ind w:firstLine="640" w:firstLineChars="200"/>
        <w:outlineLvl w:val="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指标1：提供充足的社区经费，用以保障辖区居民生活安全和提升幸福感，指标值：</w:t>
      </w:r>
      <w:r>
        <w:rPr>
          <w:rFonts w:hint="eastAsia" w:eastAsia="仿宋_GB2312" w:cs="Times New Roman"/>
          <w:color w:val="auto"/>
          <w:sz w:val="32"/>
          <w:szCs w:val="32"/>
          <w:highlight w:val="none"/>
          <w:lang w:val="en-US" w:eastAsia="zh-CN"/>
        </w:rPr>
        <w:t>有效提升和保障</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完全达到预期</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r>
        <w:rPr>
          <w:rFonts w:hint="eastAsia" w:ascii="Times New Roman" w:hAnsi="Times New Roman" w:eastAsia="仿宋_GB2312" w:cs="Times New Roman"/>
          <w:color w:val="auto"/>
          <w:sz w:val="32"/>
          <w:szCs w:val="32"/>
          <w:highlight w:val="none"/>
          <w:lang w:val="en-US" w:eastAsia="zh-CN"/>
        </w:rPr>
        <w:t>有效保障辖区内</w:t>
      </w: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个社区为民提供社区服务，供给充足的社区经费，用以保障辖区居民生活安全和提升幸福感</w:t>
      </w:r>
      <w:r>
        <w:rPr>
          <w:rFonts w:hint="eastAsia" w:eastAsia="仿宋_GB2312" w:cs="Times New Roman"/>
          <w:color w:val="auto"/>
          <w:sz w:val="32"/>
          <w:szCs w:val="32"/>
          <w:highlight w:val="none"/>
          <w:lang w:val="en-US" w:eastAsia="zh-CN"/>
        </w:rPr>
        <w:t>。</w:t>
      </w:r>
    </w:p>
    <w:p w14:paraId="7584BBD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：提升社区服务能力，指标值：</w:t>
      </w:r>
      <w:r>
        <w:rPr>
          <w:rFonts w:hint="eastAsia" w:eastAsia="仿宋_GB2312" w:cs="Times New Roman"/>
          <w:color w:val="auto"/>
          <w:sz w:val="32"/>
          <w:szCs w:val="32"/>
          <w:highlight w:val="none"/>
          <w:lang w:val="en-US" w:eastAsia="zh-CN"/>
        </w:rPr>
        <w:t>有效提升</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完全达到预期</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该条指标截止24年底完成较好，无偏差。通过此项目开展保障全局机构正常运行，提高各</w:t>
      </w:r>
      <w:r>
        <w:rPr>
          <w:rFonts w:hint="default" w:ascii="Times New Roman" w:hAnsi="Times New Roman" w:eastAsia="仿宋_GB2312" w:cs="Times New Roman"/>
          <w:color w:val="auto"/>
          <w:sz w:val="32"/>
          <w:szCs w:val="32"/>
          <w:highlight w:val="none"/>
        </w:rPr>
        <w:t>社区服务能力</w:t>
      </w:r>
      <w:r>
        <w:rPr>
          <w:rFonts w:hint="eastAsia" w:eastAsia="仿宋_GB2312" w:cs="Times New Roman"/>
          <w:color w:val="auto"/>
          <w:sz w:val="32"/>
          <w:szCs w:val="32"/>
          <w:highlight w:val="none"/>
          <w:lang w:eastAsia="zh-CN"/>
        </w:rPr>
        <w:t>。</w:t>
      </w:r>
    </w:p>
    <w:p w14:paraId="0A4F5FE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③生态效益指标：</w:t>
      </w:r>
    </w:p>
    <w:p w14:paraId="05C6A8F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2024年该项目不涉及此条指标</w:t>
      </w:r>
    </w:p>
    <w:p w14:paraId="76ED1F9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2.满意度</w:t>
      </w:r>
    </w:p>
    <w:p w14:paraId="1BBE07AC">
      <w:pPr>
        <w:spacing w:line="560" w:lineRule="exact"/>
        <w:ind w:firstLine="640" w:firstLineChars="20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指标1：辖区居民满意度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p>
    <w:p w14:paraId="4E8E84AD">
      <w:pPr>
        <w:spacing w:line="560" w:lineRule="exact"/>
        <w:ind w:firstLine="643" w:firstLineChars="200"/>
        <w:rPr>
          <w:rFonts w:hint="default" w:ascii="Times New Roman" w:hAnsi="Times New Roman" w:eastAsia="楷体_GB2312" w:cs="Times New Roman"/>
          <w:b/>
          <w:bCs/>
          <w:color w:val="auto"/>
          <w:sz w:val="32"/>
          <w:szCs w:val="32"/>
          <w:highlight w:val="none"/>
          <w:lang w:val="en-US" w:eastAsia="zh-Hans"/>
        </w:rPr>
      </w:pP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lang w:val="en-US" w:eastAsia="zh-Hans"/>
        </w:rPr>
        <w:t>预算执行进度与绩效指标总体完成率偏差</w:t>
      </w:r>
    </w:p>
    <w:p w14:paraId="57CD9149">
      <w:pPr>
        <w:pStyle w:val="20"/>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社区经费</w:t>
      </w:r>
      <w:r>
        <w:rPr>
          <w:rFonts w:hint="default" w:ascii="Times New Roman" w:hAnsi="Times New Roman" w:eastAsia="方正仿宋_GBK" w:cs="Times New Roman"/>
          <w:color w:val="auto"/>
          <w:sz w:val="32"/>
          <w:szCs w:val="32"/>
          <w:highlight w:val="none"/>
        </w:rPr>
        <w:t>项目年初预算</w:t>
      </w:r>
      <w:r>
        <w:rPr>
          <w:rFonts w:hint="eastAsia" w:eastAsia="方正仿宋_GBK" w:cs="Times New Roman"/>
          <w:color w:val="auto"/>
          <w:sz w:val="32"/>
          <w:szCs w:val="32"/>
          <w:highlight w:val="none"/>
          <w:lang w:val="en-US" w:eastAsia="zh-CN"/>
        </w:rPr>
        <w:t>570</w:t>
      </w:r>
      <w:r>
        <w:rPr>
          <w:rFonts w:hint="default" w:ascii="Times New Roman" w:hAnsi="Times New Roman" w:eastAsia="方正仿宋_GBK" w:cs="Times New Roman"/>
          <w:color w:val="auto"/>
          <w:sz w:val="32"/>
          <w:szCs w:val="32"/>
          <w:highlight w:val="none"/>
        </w:rPr>
        <w:t>万元，全年预算</w:t>
      </w:r>
      <w:r>
        <w:rPr>
          <w:rFonts w:hint="eastAsia" w:eastAsia="方正仿宋_GBK" w:cs="Times New Roman"/>
          <w:color w:val="auto"/>
          <w:sz w:val="32"/>
          <w:szCs w:val="32"/>
          <w:highlight w:val="none"/>
          <w:lang w:val="en-US" w:eastAsia="zh-CN"/>
        </w:rPr>
        <w:t>570</w:t>
      </w:r>
      <w:r>
        <w:rPr>
          <w:rFonts w:hint="default" w:ascii="Times New Roman" w:hAnsi="Times New Roman" w:eastAsia="方正仿宋_GBK" w:cs="Times New Roman"/>
          <w:color w:val="auto"/>
          <w:sz w:val="32"/>
          <w:szCs w:val="32"/>
          <w:highlight w:val="none"/>
        </w:rPr>
        <w:t>万元，实际支出</w:t>
      </w:r>
      <w:r>
        <w:rPr>
          <w:rFonts w:hint="eastAsia" w:eastAsia="方正仿宋_GBK" w:cs="Times New Roman"/>
          <w:color w:val="auto"/>
          <w:sz w:val="32"/>
          <w:szCs w:val="32"/>
          <w:highlight w:val="none"/>
          <w:lang w:val="en-US" w:eastAsia="zh-CN"/>
        </w:rPr>
        <w:t>570</w:t>
      </w:r>
      <w:r>
        <w:rPr>
          <w:rFonts w:hint="default" w:ascii="Times New Roman" w:hAnsi="Times New Roman" w:eastAsia="方正仿宋_GBK" w:cs="Times New Roman"/>
          <w:color w:val="auto"/>
          <w:sz w:val="32"/>
          <w:szCs w:val="32"/>
          <w:highlight w:val="none"/>
        </w:rPr>
        <w:t>万元，预算执行率为</w:t>
      </w:r>
      <w:r>
        <w:rPr>
          <w:rFonts w:hint="eastAsia"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%，项目绩效指标总体完成率为</w:t>
      </w:r>
      <w:r>
        <w:rPr>
          <w:rFonts w:hint="eastAsia"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Hans"/>
        </w:rPr>
        <w:t>总体</w:t>
      </w:r>
      <w:r>
        <w:rPr>
          <w:rFonts w:hint="default" w:ascii="Times New Roman" w:hAnsi="Times New Roman" w:eastAsia="方正仿宋_GBK" w:cs="Times New Roman"/>
          <w:color w:val="auto"/>
          <w:sz w:val="32"/>
          <w:szCs w:val="32"/>
          <w:highlight w:val="none"/>
        </w:rPr>
        <w:t>偏差率为</w:t>
      </w:r>
      <w:r>
        <w:rPr>
          <w:rFonts w:hint="eastAsia"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w:t>
      </w:r>
      <w:r>
        <w:rPr>
          <w:rFonts w:hint="eastAsia" w:ascii="Times New Roman" w:hAnsi="Times New Roman" w:cs="Times New Roman"/>
          <w:color w:val="auto"/>
          <w:highlight w:val="none"/>
          <w:lang w:eastAsia="zh-CN"/>
        </w:rPr>
        <w:t>，</w:t>
      </w:r>
      <w:r>
        <w:rPr>
          <w:rFonts w:hint="eastAsia" w:eastAsia="仿宋_GB2312" w:cs="Times New Roman"/>
          <w:color w:val="auto"/>
          <w:sz w:val="32"/>
          <w:szCs w:val="32"/>
          <w:highlight w:val="none"/>
          <w:lang w:val="en-US" w:eastAsia="zh-CN"/>
        </w:rPr>
        <w:t>该项目截止24年底完成较好，无偏差</w:t>
      </w:r>
      <w:r>
        <w:rPr>
          <w:rFonts w:hint="default" w:ascii="Times New Roman" w:hAnsi="Times New Roman" w:eastAsia="方正仿宋_GBK" w:cs="Times New Roman"/>
          <w:color w:val="auto"/>
          <w:sz w:val="32"/>
          <w:szCs w:val="32"/>
          <w:highlight w:val="none"/>
        </w:rPr>
        <w:t>。</w:t>
      </w:r>
    </w:p>
    <w:p w14:paraId="5DED8768">
      <w:pPr>
        <w:spacing w:line="560" w:lineRule="exact"/>
        <w:ind w:firstLine="640" w:firstLineChars="200"/>
        <w:rPr>
          <w:rStyle w:val="19"/>
          <w:rFonts w:hint="default" w:ascii="Times New Roman" w:hAnsi="Times New Roman" w:cs="Times New Roman"/>
          <w:color w:val="auto"/>
          <w:highlight w:val="none"/>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主要经验及做法、存在的问题及原因分析</w:t>
      </w:r>
    </w:p>
    <w:p w14:paraId="5F9FADCA">
      <w:pPr>
        <w:spacing w:line="560" w:lineRule="exact"/>
        <w:ind w:firstLine="627" w:firstLineChars="200"/>
        <w:rPr>
          <w:rFonts w:hint="default" w:ascii="Times New Roman" w:hAnsi="Times New Roman" w:eastAsia="楷体" w:cs="Times New Roman"/>
          <w:b/>
          <w:color w:val="auto"/>
          <w:spacing w:val="-4"/>
          <w:sz w:val="32"/>
          <w:szCs w:val="32"/>
          <w:highlight w:val="none"/>
        </w:rPr>
      </w:pPr>
      <w:r>
        <w:rPr>
          <w:rFonts w:hint="default" w:ascii="Times New Roman" w:hAnsi="Times New Roman" w:eastAsia="楷体" w:cs="Times New Roman"/>
          <w:b/>
          <w:color w:val="auto"/>
          <w:spacing w:val="-4"/>
          <w:sz w:val="32"/>
          <w:szCs w:val="32"/>
          <w:highlight w:val="none"/>
        </w:rPr>
        <w:t>（一）主要经验及做法</w:t>
      </w:r>
    </w:p>
    <w:p w14:paraId="5A952AA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pPr>
        <w:pStyle w:val="11"/>
        <w:spacing w:before="0" w:after="0" w:line="560" w:lineRule="exact"/>
        <w:ind w:firstLine="640" w:firstLineChars="200"/>
        <w:jc w:val="left"/>
        <w:rPr>
          <w:rFonts w:hint="default" w:ascii="Times New Roman" w:hAnsi="Times New Roman" w:eastAsia="仿宋_GB2312" w:cs="Times New Roman"/>
          <w:b w:val="0"/>
          <w:bCs w:val="0"/>
          <w:color w:val="auto"/>
          <w:kern w:val="2"/>
          <w:highlight w:val="none"/>
        </w:rPr>
      </w:pPr>
      <w:r>
        <w:rPr>
          <w:rFonts w:hint="default" w:ascii="Times New Roman" w:hAnsi="Times New Roman" w:eastAsia="仿宋_GB2312" w:cs="Times New Roman"/>
          <w:b w:val="0"/>
          <w:bCs w:val="0"/>
          <w:color w:val="auto"/>
          <w:kern w:val="2"/>
          <w:highlight w:val="none"/>
        </w:rPr>
        <w:t>严格坚持先做事、后验收、再拨付的原则，</w:t>
      </w:r>
      <w:r>
        <w:rPr>
          <w:rFonts w:hint="eastAsia" w:ascii="Times New Roman" w:hAnsi="Times New Roman" w:eastAsia="仿宋_GB2312" w:cs="Times New Roman"/>
          <w:b w:val="0"/>
          <w:bCs w:val="0"/>
          <w:color w:val="auto"/>
          <w:kern w:val="2"/>
          <w:highlight w:val="none"/>
          <w:lang w:eastAsia="zh-CN"/>
        </w:rPr>
        <w:t>杜绝</w:t>
      </w:r>
      <w:r>
        <w:rPr>
          <w:rFonts w:hint="default" w:ascii="Times New Roman" w:hAnsi="Times New Roman" w:eastAsia="仿宋_GB2312" w:cs="Times New Roman"/>
          <w:b w:val="0"/>
          <w:bCs w:val="0"/>
          <w:color w:val="auto"/>
          <w:kern w:val="2"/>
          <w:highlight w:val="none"/>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1F4B0372">
      <w:pPr>
        <w:snapToGrid w:val="0"/>
        <w:spacing w:line="560" w:lineRule="exact"/>
        <w:ind w:firstLine="640"/>
        <w:rPr>
          <w:rFonts w:hint="eastAsia" w:ascii="Times New Roman" w:hAnsi="Times New Roman" w:cs="Times New Roman"/>
          <w:sz w:val="32"/>
          <w:szCs w:val="32"/>
        </w:rPr>
      </w:pPr>
      <w:r>
        <w:rPr>
          <w:rFonts w:hint="eastAsia" w:ascii="Times New Roman" w:hAnsi="Times New Roman" w:cs="Times New Roman"/>
          <w:sz w:val="32"/>
          <w:szCs w:val="32"/>
        </w:rPr>
        <w:t>1</w:t>
      </w:r>
      <w:r>
        <w:rPr>
          <w:rFonts w:ascii="Times New Roman" w:hAnsi="Times New Roman" w:cs="Times New Roman"/>
          <w:sz w:val="32"/>
          <w:szCs w:val="32"/>
        </w:rPr>
        <w:t>.</w:t>
      </w:r>
      <w:r>
        <w:rPr>
          <w:rFonts w:hint="eastAsia" w:ascii="Times New Roman" w:hAnsi="Times New Roman" w:cs="Times New Roman"/>
          <w:sz w:val="32"/>
          <w:szCs w:val="32"/>
        </w:rPr>
        <w:t>项目目标设置不明确，绩效目标模糊，量化不足，目标过高或过低，缺乏可行性分析。因专业能力欠缺，人员缺乏绩效管理培训，指标设计方法不科学。</w:t>
      </w:r>
    </w:p>
    <w:p w14:paraId="4F8E6581">
      <w:pPr>
        <w:snapToGrid w:val="0"/>
        <w:spacing w:line="560" w:lineRule="exact"/>
        <w:ind w:firstLine="640"/>
        <w:rPr>
          <w:rFonts w:hint="eastAsia" w:ascii="Times New Roman" w:hAnsi="Times New Roman" w:cs="Times New Roman"/>
          <w:sz w:val="32"/>
          <w:szCs w:val="32"/>
        </w:rPr>
      </w:pPr>
      <w:r>
        <w:rPr>
          <w:rFonts w:hint="eastAsia" w:ascii="Times New Roman" w:hAnsi="Times New Roman" w:cs="Times New Roman"/>
          <w:sz w:val="32"/>
          <w:szCs w:val="32"/>
        </w:rPr>
        <w:t>2.项目指标设置不合理，侧重投入类指标（如资金使用率，忽视产出效果类指标（如公众满意度、社会效益）。指标缺乏差异性，未能体现部门核心职能，财务、业务部门协同不足。</w:t>
      </w:r>
    </w:p>
    <w:p w14:paraId="64E7BB1D">
      <w:pPr>
        <w:snapToGrid w:val="0"/>
        <w:spacing w:line="560" w:lineRule="exact"/>
        <w:ind w:firstLine="640"/>
        <w:rPr>
          <w:rFonts w:hint="eastAsia" w:ascii="Times New Roman" w:hAnsi="Times New Roman" w:cs="Times New Roman"/>
          <w:sz w:val="32"/>
          <w:szCs w:val="32"/>
        </w:rPr>
      </w:pPr>
      <w:r>
        <w:rPr>
          <w:rFonts w:hint="eastAsia" w:ascii="Times New Roman" w:hAnsi="Times New Roman" w:cs="Times New Roman"/>
          <w:sz w:val="32"/>
          <w:szCs w:val="32"/>
        </w:rPr>
        <w:t>3.项目预算编制科学性的问题。首先项目预算编制之合理性相对不足，主要表现在预算调整数较大，年度目标与长期规划衔接的紧密程度需要增强，编制项目预算绩效缺乏细化规定，操作性不强。</w:t>
      </w:r>
    </w:p>
    <w:p w14:paraId="14F5671E">
      <w:pPr>
        <w:pStyle w:val="2"/>
        <w:spacing w:line="560" w:lineRule="exact"/>
        <w:ind w:firstLine="0" w:firstLineChars="0"/>
        <w:jc w:val="left"/>
        <w:rPr>
          <w:rFonts w:hint="eastAsia" w:ascii="仿宋" w:hAnsi="仿宋" w:eastAsia="仿宋"/>
          <w:sz w:val="36"/>
          <w:szCs w:val="36"/>
          <w:lang w:bidi="en-US"/>
        </w:rPr>
      </w:pPr>
      <w:bookmarkStart w:id="0" w:name="_Toc67911620"/>
      <w:bookmarkStart w:id="1" w:name="_Toc165277259"/>
      <w:r>
        <w:rPr>
          <w:rFonts w:hint="eastAsia" w:ascii="仿宋" w:hAnsi="仿宋" w:eastAsia="仿宋"/>
          <w:sz w:val="36"/>
          <w:szCs w:val="36"/>
          <w:lang w:bidi="en-US"/>
        </w:rPr>
        <w:t>六、有关建议</w:t>
      </w:r>
      <w:bookmarkEnd w:id="0"/>
      <w:bookmarkEnd w:id="1"/>
    </w:p>
    <w:p w14:paraId="6B8A5CBE">
      <w:pPr>
        <w:snapToGrid w:val="0"/>
        <w:spacing w:line="560" w:lineRule="exact"/>
        <w:ind w:firstLine="640"/>
        <w:rPr>
          <w:rFonts w:hint="eastAsia" w:ascii="Times New Roman" w:hAnsi="Times New Roman" w:cs="Times New Roman"/>
          <w:sz w:val="32"/>
          <w:szCs w:val="32"/>
        </w:rPr>
      </w:pPr>
      <w:r>
        <w:rPr>
          <w:rFonts w:hint="eastAsia" w:ascii="Times New Roman" w:hAnsi="Times New Roman" w:cs="Times New Roman"/>
          <w:sz w:val="32"/>
          <w:szCs w:val="32"/>
        </w:rPr>
        <w:t>1.提升数据质量，加强绩效人员培训和专业能力，推动绩效管理信息化和专业化。</w:t>
      </w:r>
    </w:p>
    <w:p w14:paraId="6656C538">
      <w:pPr>
        <w:snapToGrid w:val="0"/>
        <w:spacing w:line="560" w:lineRule="exact"/>
        <w:ind w:firstLine="640"/>
        <w:rPr>
          <w:rFonts w:hint="eastAsia" w:ascii="Times New Roman" w:hAnsi="Times New Roman" w:cs="Times New Roman"/>
          <w:sz w:val="32"/>
          <w:szCs w:val="32"/>
        </w:rPr>
      </w:pPr>
      <w:r>
        <w:rPr>
          <w:rFonts w:hint="eastAsia" w:ascii="Times New Roman" w:hAnsi="Times New Roman" w:cs="Times New Roman"/>
          <w:sz w:val="32"/>
          <w:szCs w:val="32"/>
        </w:rPr>
        <w:t>2.优化绩效指标设定，根据岗位特点，设计科学合理的绩效指标体系，以全面反映我单位实际工作表现，同时，应重指标的难易程度，确保既不过高也不过低。</w:t>
      </w:r>
    </w:p>
    <w:p w14:paraId="655BE0D0">
      <w:pPr>
        <w:shd w:val="clear"/>
        <w:spacing w:line="600" w:lineRule="exact"/>
        <w:ind w:firstLine="640" w:firstLineChars="200"/>
        <w:outlineLvl w:val="0"/>
        <w:rPr>
          <w:rFonts w:hint="default" w:ascii="Times New Roman" w:hAnsi="Times New Roman" w:cs="Times New Roman"/>
          <w:color w:val="auto"/>
          <w:sz w:val="22"/>
          <w:szCs w:val="28"/>
          <w:highlight w:val="none"/>
        </w:rPr>
      </w:pPr>
      <w:r>
        <w:rPr>
          <w:rFonts w:hint="eastAsia" w:ascii="Times New Roman" w:hAnsi="Times New Roman" w:cs="Times New Roman"/>
          <w:sz w:val="32"/>
          <w:szCs w:val="32"/>
        </w:rPr>
        <w:t>3.加强预算编制科学性、完善预算编制细化，建立分层的绩效指标体系，明确核心绩效目标。将绩效结果与预算、人事管理挂钩，强化激励约束。</w:t>
      </w:r>
    </w:p>
    <w:p w14:paraId="3AB05DC2">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其他需要说</w:t>
      </w:r>
      <w:bookmarkStart w:id="2" w:name="page8"/>
      <w:bookmarkEnd w:id="2"/>
      <w:r>
        <w:rPr>
          <w:rFonts w:hint="default" w:ascii="Times New Roman" w:hAnsi="Times New Roman" w:eastAsia="黑体" w:cs="Times New Roman"/>
          <w:color w:val="auto"/>
          <w:sz w:val="32"/>
          <w:szCs w:val="32"/>
          <w:highlight w:val="none"/>
        </w:rPr>
        <w:t>明的问题</w:t>
      </w:r>
    </w:p>
    <w:p w14:paraId="31428C3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项目支出政策和路径设计科学，符合实际需要；</w:t>
      </w:r>
    </w:p>
    <w:p w14:paraId="1FC768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项目安排准确，未发现背离项目立项初衷的情况；</w:t>
      </w:r>
    </w:p>
    <w:p w14:paraId="3FFEAA8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项目的申报、审核机制完善；</w:t>
      </w:r>
    </w:p>
    <w:p w14:paraId="078F1386">
      <w:pPr>
        <w:pStyle w:val="14"/>
        <w:spacing w:after="0" w:line="560" w:lineRule="exact"/>
        <w:ind w:left="0" w:leftChars="0" w:firstLine="640"/>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未发现虚假行为和骗取财政资金的问题</w:t>
      </w:r>
      <w:r>
        <w:rPr>
          <w:rFonts w:hint="default" w:ascii="Times New Roman" w:hAnsi="Times New Roman" w:eastAsia="仿宋_GB2312" w:cs="Times New Roman"/>
          <w:color w:val="auto"/>
          <w:sz w:val="32"/>
          <w:szCs w:val="32"/>
          <w:highlight w:val="none"/>
          <w:lang w:eastAsia="zh-Hans"/>
        </w:rPr>
        <w:t>。</w:t>
      </w:r>
    </w:p>
    <w:p w14:paraId="30F1D2DC">
      <w:pPr>
        <w:pStyle w:val="14"/>
        <w:spacing w:after="0" w:line="560" w:lineRule="exact"/>
        <w:ind w:left="0" w:leftChars="0" w:firstLine="0" w:firstLineChars="0"/>
        <w:rPr>
          <w:rFonts w:hint="eastAsia" w:ascii="Times New Roman" w:hAnsi="Times New Roman" w:eastAsia="仿宋_GB2312" w:cs="Times New Roman"/>
          <w:color w:val="auto"/>
          <w:sz w:val="32"/>
          <w:szCs w:val="32"/>
          <w:highlight w:val="none"/>
          <w:lang w:eastAsia="zh-CN"/>
        </w:rPr>
      </w:pPr>
    </w:p>
    <w:p w14:paraId="3AD50DE0">
      <w:pPr>
        <w:pStyle w:val="14"/>
        <w:spacing w:after="0" w:line="560" w:lineRule="exact"/>
        <w:ind w:left="0" w:leftChars="0" w:firstLine="640"/>
        <w:rPr>
          <w:rFonts w:hint="default" w:ascii="Times New Roman" w:hAnsi="Times New Roman" w:eastAsia="仿宋_GB2312" w:cs="Times New Roman"/>
          <w:color w:val="auto"/>
          <w:sz w:val="32"/>
          <w:szCs w:val="32"/>
          <w:highlight w:val="none"/>
        </w:rPr>
      </w:pPr>
    </w:p>
    <w:p w14:paraId="168A380C">
      <w:pPr>
        <w:pStyle w:val="14"/>
        <w:spacing w:after="0" w:line="560" w:lineRule="exact"/>
        <w:ind w:left="0" w:leftChars="0" w:firstLine="640"/>
        <w:rPr>
          <w:rFonts w:hint="default" w:ascii="Times New Roman" w:hAnsi="Times New Roman" w:eastAsia="仿宋_GB2312" w:cs="Times New Roman"/>
          <w:color w:val="auto"/>
          <w:sz w:val="32"/>
          <w:szCs w:val="32"/>
          <w:highlight w:val="none"/>
        </w:rPr>
      </w:pPr>
    </w:p>
    <w:p w14:paraId="5AF7B446">
      <w:pPr>
        <w:pStyle w:val="14"/>
        <w:spacing w:after="0" w:line="560" w:lineRule="exact"/>
        <w:ind w:left="0" w:leftChars="0" w:firstLine="0" w:firstLineChars="0"/>
        <w:rPr>
          <w:rFonts w:hint="default" w:ascii="Times New Roman" w:hAnsi="Times New Roman" w:eastAsia="仿宋_GB2312" w:cs="Times New Roman"/>
          <w:color w:val="auto"/>
          <w:sz w:val="32"/>
          <w:szCs w:val="32"/>
          <w:highlight w:val="none"/>
        </w:rPr>
      </w:pPr>
    </w:p>
    <w:p w14:paraId="573D47C3">
      <w:pPr>
        <w:spacing w:line="600" w:lineRule="exact"/>
        <w:rPr>
          <w:rFonts w:hint="eastAsia" w:ascii="Times New Roman" w:hAnsi="Times New Roman" w:eastAsia="黑体" w:cs="Times New Roman"/>
          <w:color w:val="auto"/>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3B939547">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1</w:t>
      </w:r>
    </w:p>
    <w:p w14:paraId="4F6B37B4">
      <w:pPr>
        <w:pStyle w:val="20"/>
        <w:ind w:firstLine="562"/>
        <w:jc w:val="center"/>
        <w:rPr>
          <w:rFonts w:hint="eastAsia" w:ascii="仿宋_GB2312" w:hAnsi="仿宋_GB2312" w:eastAsia="仿宋_GB2312" w:cs="仿宋_GB2312"/>
          <w:color w:val="auto"/>
          <w:sz w:val="28"/>
          <w:szCs w:val="40"/>
          <w:highlight w:val="none"/>
        </w:rPr>
      </w:pPr>
      <w:bookmarkStart w:id="3" w:name="_Toc30064_WPSOffice_Level1"/>
      <w:bookmarkStart w:id="4" w:name="_Toc26499_WPSOffice_Level2"/>
      <w:r>
        <w:rPr>
          <w:rFonts w:hint="eastAsia" w:ascii="仿宋_GB2312" w:hAnsi="仿宋_GB2312" w:eastAsia="仿宋_GB2312" w:cs="仿宋_GB2312"/>
          <w:b/>
          <w:bCs/>
          <w:color w:val="auto"/>
          <w:sz w:val="28"/>
          <w:szCs w:val="40"/>
          <w:highlight w:val="none"/>
          <w:lang w:val="en-US" w:eastAsia="zh-CN"/>
        </w:rPr>
        <w:t>社区经费</w:t>
      </w:r>
      <w:r>
        <w:rPr>
          <w:rFonts w:hint="eastAsia" w:ascii="仿宋_GB2312" w:hAnsi="仿宋_GB2312" w:eastAsia="仿宋_GB2312" w:cs="仿宋_GB2312"/>
          <w:b/>
          <w:bCs/>
          <w:color w:val="auto"/>
          <w:sz w:val="28"/>
          <w:szCs w:val="40"/>
          <w:highlight w:val="none"/>
        </w:rPr>
        <w:t>项目绩效评价指标体系及综合评分表</w:t>
      </w:r>
      <w:bookmarkEnd w:id="3"/>
      <w:bookmarkEnd w:id="4"/>
    </w:p>
    <w:tbl>
      <w:tblPr>
        <w:tblStyle w:val="15"/>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1000"/>
        <w:gridCol w:w="1071"/>
        <w:gridCol w:w="1725"/>
        <w:gridCol w:w="5216"/>
        <w:gridCol w:w="5"/>
        <w:gridCol w:w="1299"/>
        <w:gridCol w:w="1365"/>
      </w:tblGrid>
      <w:tr w14:paraId="4F10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61AA652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一级指标</w:t>
            </w:r>
          </w:p>
        </w:tc>
        <w:tc>
          <w:tcPr>
            <w:tcW w:w="394" w:type="pct"/>
            <w:shd w:val="clear" w:color="auto" w:fill="FFFFFF"/>
            <w:vAlign w:val="center"/>
          </w:tcPr>
          <w:p w14:paraId="3CCC7E8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二级指标</w:t>
            </w:r>
          </w:p>
        </w:tc>
        <w:tc>
          <w:tcPr>
            <w:tcW w:w="422" w:type="pct"/>
            <w:shd w:val="clear" w:color="auto" w:fill="FFFFFF"/>
            <w:vAlign w:val="center"/>
          </w:tcPr>
          <w:p w14:paraId="5EABFBA4">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三级指标</w:t>
            </w:r>
          </w:p>
        </w:tc>
        <w:tc>
          <w:tcPr>
            <w:tcW w:w="680" w:type="pct"/>
            <w:shd w:val="clear" w:color="auto" w:fill="FFFFFF"/>
            <w:vAlign w:val="center"/>
          </w:tcPr>
          <w:p w14:paraId="5175A39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指标解释</w:t>
            </w:r>
          </w:p>
        </w:tc>
        <w:tc>
          <w:tcPr>
            <w:tcW w:w="2056" w:type="pct"/>
            <w:shd w:val="clear" w:color="auto" w:fill="FFFFFF"/>
            <w:vAlign w:val="center"/>
          </w:tcPr>
          <w:p w14:paraId="130905C5">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指标说明</w:t>
            </w:r>
          </w:p>
        </w:tc>
        <w:tc>
          <w:tcPr>
            <w:tcW w:w="514" w:type="pct"/>
            <w:gridSpan w:val="2"/>
            <w:shd w:val="clear" w:color="auto" w:fill="FFFFFF"/>
            <w:vAlign w:val="center"/>
          </w:tcPr>
          <w:p w14:paraId="43943279">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权重</w:t>
            </w:r>
          </w:p>
        </w:tc>
        <w:tc>
          <w:tcPr>
            <w:tcW w:w="538" w:type="pct"/>
            <w:shd w:val="clear" w:color="auto" w:fill="FFFFFF"/>
            <w:vAlign w:val="center"/>
          </w:tcPr>
          <w:p w14:paraId="47675841">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得分</w:t>
            </w:r>
          </w:p>
        </w:tc>
      </w:tr>
      <w:tr w14:paraId="507B5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30DD2841">
            <w:pPr>
              <w:widowControl/>
              <w:spacing w:line="0" w:lineRule="atLeast"/>
              <w:jc w:val="center"/>
              <w:rPr>
                <w:rFonts w:hint="default" w:ascii="Times New Roman" w:hAnsi="Times New Roman" w:eastAsia="仿宋_GB2312" w:cs="Times New Roman"/>
                <w:color w:val="auto"/>
                <w:kern w:val="0"/>
                <w:sz w:val="18"/>
                <w:szCs w:val="18"/>
                <w:highlight w:val="none"/>
              </w:rPr>
            </w:pPr>
          </w:p>
          <w:p w14:paraId="5C999CB4">
            <w:pPr>
              <w:widowControl/>
              <w:spacing w:line="0" w:lineRule="atLeast"/>
              <w:jc w:val="center"/>
              <w:rPr>
                <w:rFonts w:hint="default" w:ascii="Times New Roman" w:hAnsi="Times New Roman" w:eastAsia="仿宋_GB2312" w:cs="Times New Roman"/>
                <w:color w:val="auto"/>
                <w:kern w:val="0"/>
                <w:sz w:val="18"/>
                <w:szCs w:val="18"/>
                <w:highlight w:val="none"/>
              </w:rPr>
            </w:pPr>
          </w:p>
          <w:p w14:paraId="5F6B9081">
            <w:pPr>
              <w:widowControl/>
              <w:spacing w:line="0" w:lineRule="atLeast"/>
              <w:jc w:val="center"/>
              <w:rPr>
                <w:rFonts w:hint="default" w:ascii="Times New Roman" w:hAnsi="Times New Roman" w:eastAsia="仿宋_GB2312" w:cs="Times New Roman"/>
                <w:color w:val="auto"/>
                <w:kern w:val="0"/>
                <w:sz w:val="18"/>
                <w:szCs w:val="18"/>
                <w:highlight w:val="none"/>
              </w:rPr>
            </w:pPr>
          </w:p>
          <w:p w14:paraId="2928D8E8">
            <w:pPr>
              <w:widowControl/>
              <w:spacing w:line="0" w:lineRule="atLeast"/>
              <w:jc w:val="center"/>
              <w:rPr>
                <w:rFonts w:hint="default" w:ascii="Times New Roman" w:hAnsi="Times New Roman" w:eastAsia="仿宋_GB2312" w:cs="Times New Roman"/>
                <w:color w:val="auto"/>
                <w:kern w:val="0"/>
                <w:sz w:val="18"/>
                <w:szCs w:val="18"/>
                <w:highlight w:val="none"/>
              </w:rPr>
            </w:pPr>
          </w:p>
          <w:p w14:paraId="5B7A878C">
            <w:pPr>
              <w:widowControl/>
              <w:spacing w:line="0" w:lineRule="atLeast"/>
              <w:jc w:val="center"/>
              <w:rPr>
                <w:rFonts w:hint="default" w:ascii="Times New Roman" w:hAnsi="Times New Roman" w:eastAsia="仿宋_GB2312" w:cs="Times New Roman"/>
                <w:color w:val="auto"/>
                <w:kern w:val="0"/>
                <w:sz w:val="18"/>
                <w:szCs w:val="18"/>
                <w:highlight w:val="none"/>
              </w:rPr>
            </w:pPr>
          </w:p>
          <w:p w14:paraId="785F3821">
            <w:pPr>
              <w:widowControl/>
              <w:spacing w:line="0" w:lineRule="atLeast"/>
              <w:jc w:val="center"/>
              <w:rPr>
                <w:rFonts w:hint="default" w:ascii="Times New Roman" w:hAnsi="Times New Roman" w:eastAsia="仿宋_GB2312" w:cs="Times New Roman"/>
                <w:color w:val="auto"/>
                <w:kern w:val="0"/>
                <w:sz w:val="18"/>
                <w:szCs w:val="18"/>
                <w:highlight w:val="none"/>
              </w:rPr>
            </w:pPr>
          </w:p>
          <w:p w14:paraId="59E640C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决策　</w:t>
            </w:r>
          </w:p>
        </w:tc>
        <w:tc>
          <w:tcPr>
            <w:tcW w:w="394" w:type="pct"/>
            <w:vMerge w:val="restart"/>
            <w:shd w:val="clear" w:color="auto" w:fill="FFFFFF"/>
            <w:vAlign w:val="center"/>
          </w:tcPr>
          <w:p w14:paraId="2D23D20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　</w:t>
            </w:r>
          </w:p>
        </w:tc>
        <w:tc>
          <w:tcPr>
            <w:tcW w:w="422" w:type="pct"/>
            <w:shd w:val="clear" w:color="auto" w:fill="FFFFFF"/>
            <w:vAlign w:val="center"/>
          </w:tcPr>
          <w:p w14:paraId="2B8C228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立项依据</w:t>
            </w:r>
          </w:p>
          <w:p w14:paraId="7ECB52F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充分性</w:t>
            </w:r>
          </w:p>
        </w:tc>
        <w:tc>
          <w:tcPr>
            <w:tcW w:w="680" w:type="pct"/>
            <w:shd w:val="clear" w:color="auto" w:fill="FFFFFF"/>
            <w:vAlign w:val="center"/>
          </w:tcPr>
          <w:p w14:paraId="6F22700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项目立项是否符合法律法规、相关政策、发展规划以及部门职责，用以反映和考核项目立项依据情况。</w:t>
            </w:r>
          </w:p>
        </w:tc>
        <w:tc>
          <w:tcPr>
            <w:tcW w:w="2056" w:type="pct"/>
            <w:shd w:val="clear" w:color="auto" w:fill="FFFFFF"/>
            <w:vAlign w:val="center"/>
          </w:tcPr>
          <w:p w14:paraId="7CA15DF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②项目立项是否符合行业发展规划和政策要求；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③项目立项是否与部门职责范围相符，属于部门履职所需；</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⑤项目是否与相关部门同类项目或部门内部相关项目重复。</w:t>
            </w:r>
          </w:p>
        </w:tc>
        <w:tc>
          <w:tcPr>
            <w:tcW w:w="514" w:type="pct"/>
            <w:gridSpan w:val="2"/>
            <w:shd w:val="clear" w:color="auto" w:fill="FFFFFF"/>
            <w:vAlign w:val="center"/>
          </w:tcPr>
          <w:p w14:paraId="5BD2F43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auto" w:fill="FFFFFF"/>
            <w:vAlign w:val="center"/>
          </w:tcPr>
          <w:p w14:paraId="10DEA741">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2EDD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DAC2A7E">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751F725A">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3969873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立项程序</w:t>
            </w:r>
          </w:p>
          <w:p w14:paraId="5D3E465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规范性</w:t>
            </w:r>
          </w:p>
        </w:tc>
        <w:tc>
          <w:tcPr>
            <w:tcW w:w="680" w:type="pct"/>
            <w:shd w:val="clear" w:color="auto" w:fill="FFFFFF"/>
            <w:vAlign w:val="center"/>
          </w:tcPr>
          <w:p w14:paraId="7724E69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项目申请、设立过程是否符合相关要求，用以反映和考核项目立项的规范情况。</w:t>
            </w:r>
          </w:p>
        </w:tc>
        <w:tc>
          <w:tcPr>
            <w:tcW w:w="2056" w:type="pct"/>
            <w:shd w:val="clear" w:color="auto" w:fill="FFFFFF"/>
            <w:vAlign w:val="center"/>
          </w:tcPr>
          <w:p w14:paraId="53E8B96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①项目是否按照规定的程序申请设立；</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②审批文件、材料是否符合相关要求；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③事前是否已经过必要的可行性研究、专家论证、风险评估、绩效评估、集体决策。</w:t>
            </w:r>
          </w:p>
        </w:tc>
        <w:tc>
          <w:tcPr>
            <w:tcW w:w="514" w:type="pct"/>
            <w:gridSpan w:val="2"/>
            <w:shd w:val="clear" w:color="auto" w:fill="FFFFFF"/>
            <w:vAlign w:val="center"/>
          </w:tcPr>
          <w:p w14:paraId="7241452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auto" w:fill="FFFFFF"/>
            <w:vAlign w:val="center"/>
          </w:tcPr>
          <w:p w14:paraId="46BCF098">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73B3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A9E2A">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75FA35D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　</w:t>
            </w:r>
          </w:p>
        </w:tc>
        <w:tc>
          <w:tcPr>
            <w:tcW w:w="422" w:type="pct"/>
            <w:shd w:val="clear" w:color="auto" w:fill="FFFFFF"/>
            <w:vAlign w:val="center"/>
          </w:tcPr>
          <w:p w14:paraId="5F69D0F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w:t>
            </w:r>
          </w:p>
          <w:p w14:paraId="25AD37D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680" w:type="pct"/>
            <w:shd w:val="clear" w:color="000000" w:fill="FFFFFF"/>
            <w:vAlign w:val="center"/>
          </w:tcPr>
          <w:p w14:paraId="123B668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（如未设定预算绩效目标，也可考核其他工作任务目标）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①项目是否有绩效目标；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②项目绩效目标与实际工作内容是否具有相关性；</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③项目预期产出效益和效果是否符合正常的业绩水平；</w:t>
            </w:r>
          </w:p>
          <w:p w14:paraId="57C3E388">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④是否与预算确定的项目投资额或资金量相匹配。</w:t>
            </w:r>
          </w:p>
        </w:tc>
        <w:tc>
          <w:tcPr>
            <w:tcW w:w="514" w:type="pct"/>
            <w:gridSpan w:val="2"/>
            <w:shd w:val="clear" w:color="000000" w:fill="FFFFFF"/>
            <w:vAlign w:val="center"/>
          </w:tcPr>
          <w:p w14:paraId="1B7DE25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000000" w:fill="FFFFFF"/>
            <w:vAlign w:val="center"/>
          </w:tcPr>
          <w:p w14:paraId="170418A3">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1FED1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ED24D4D">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6110931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4EECA30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绩效指标</w:t>
            </w:r>
          </w:p>
          <w:p w14:paraId="5BD192DA">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明确性</w:t>
            </w:r>
          </w:p>
        </w:tc>
        <w:tc>
          <w:tcPr>
            <w:tcW w:w="680" w:type="pct"/>
            <w:shd w:val="clear" w:color="000000" w:fill="FFFFFF"/>
            <w:vAlign w:val="center"/>
          </w:tcPr>
          <w:p w14:paraId="791318B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依据绩效目标设定的绩效指标是否清晰、细化、可衡量等，用以反映和考核项目绩效目标的明细化情况。</w:t>
            </w:r>
          </w:p>
        </w:tc>
        <w:tc>
          <w:tcPr>
            <w:tcW w:w="2056" w:type="pct"/>
            <w:shd w:val="clear" w:color="000000" w:fill="FFFFFF"/>
            <w:vAlign w:val="center"/>
          </w:tcPr>
          <w:p w14:paraId="56DCA36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①是否将项目绩效目标细化分解为具体的绩效指标；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②是否通过清晰、可衡量的指标值予以体现；</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③是否与项目目标任务数或计划数相对应。</w:t>
            </w:r>
            <w:r>
              <w:rPr>
                <w:rFonts w:hint="default" w:ascii="Times New Roman" w:hAnsi="Times New Roman" w:eastAsia="仿宋_GB2312" w:cs="Times New Roman"/>
                <w:color w:val="auto"/>
                <w:kern w:val="0"/>
                <w:sz w:val="18"/>
                <w:szCs w:val="18"/>
                <w:highlight w:val="none"/>
              </w:rPr>
              <w:br w:type="textWrapping"/>
            </w:r>
          </w:p>
        </w:tc>
        <w:tc>
          <w:tcPr>
            <w:tcW w:w="514" w:type="pct"/>
            <w:gridSpan w:val="2"/>
            <w:shd w:val="clear" w:color="000000" w:fill="FFFFFF"/>
            <w:vAlign w:val="center"/>
          </w:tcPr>
          <w:p w14:paraId="1FF2814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000000" w:fill="FFFFFF"/>
            <w:vAlign w:val="center"/>
          </w:tcPr>
          <w:p w14:paraId="51C95082">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43B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1D1B8680">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785CDAD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资金投入</w:t>
            </w:r>
          </w:p>
          <w:p w14:paraId="01B842D7">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422" w:type="pct"/>
            <w:shd w:val="clear" w:color="auto" w:fill="FFFFFF"/>
            <w:vAlign w:val="center"/>
          </w:tcPr>
          <w:p w14:paraId="38345BA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预算编制</w:t>
            </w:r>
          </w:p>
          <w:p w14:paraId="523FA00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科学性</w:t>
            </w:r>
          </w:p>
        </w:tc>
        <w:tc>
          <w:tcPr>
            <w:tcW w:w="680" w:type="pct"/>
            <w:shd w:val="clear" w:color="auto" w:fill="FFFFFF"/>
            <w:vAlign w:val="center"/>
          </w:tcPr>
          <w:p w14:paraId="21B04E7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①预算编制是否经过科学论证；</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②预算内容与项目内容是否匹配；</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③预算额度测算依据是否充分，是否按照标准编制；</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④预算确定的项目投资额或资金量是否与工作任务相匹配。</w:t>
            </w:r>
          </w:p>
        </w:tc>
        <w:tc>
          <w:tcPr>
            <w:tcW w:w="514" w:type="pct"/>
            <w:gridSpan w:val="2"/>
            <w:shd w:val="clear" w:color="auto" w:fill="FFFFFF"/>
            <w:vAlign w:val="center"/>
          </w:tcPr>
          <w:p w14:paraId="53DE22F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667F1ABA">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50C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0E93017">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138AC310">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6566EAE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资金分配</w:t>
            </w:r>
          </w:p>
          <w:p w14:paraId="154FEC3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680" w:type="pct"/>
            <w:shd w:val="clear" w:color="auto" w:fill="FFFFFF"/>
            <w:vAlign w:val="center"/>
          </w:tcPr>
          <w:p w14:paraId="7C209FC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①预算资金分配依据是否充分；</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②资金分配额度是否合理，与项目单位或地方实际是否相适应。</w:t>
            </w:r>
          </w:p>
        </w:tc>
        <w:tc>
          <w:tcPr>
            <w:tcW w:w="514" w:type="pct"/>
            <w:gridSpan w:val="2"/>
            <w:shd w:val="clear" w:color="auto" w:fill="FFFFFF"/>
            <w:vAlign w:val="center"/>
          </w:tcPr>
          <w:p w14:paraId="352AC61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631E537E">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1B653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5086FA89">
            <w:pPr>
              <w:spacing w:line="0" w:lineRule="atLeast"/>
              <w:jc w:val="center"/>
              <w:rPr>
                <w:rFonts w:hint="default" w:ascii="Times New Roman" w:hAnsi="Times New Roman" w:eastAsia="仿宋_GB2312" w:cs="Times New Roman"/>
                <w:color w:val="auto"/>
                <w:kern w:val="0"/>
                <w:sz w:val="18"/>
                <w:szCs w:val="18"/>
                <w:highlight w:val="none"/>
              </w:rPr>
            </w:pPr>
          </w:p>
          <w:p w14:paraId="0EFFCD01">
            <w:pPr>
              <w:spacing w:line="0" w:lineRule="atLeast"/>
              <w:jc w:val="center"/>
              <w:rPr>
                <w:rFonts w:hint="default" w:ascii="Times New Roman" w:hAnsi="Times New Roman" w:eastAsia="仿宋_GB2312" w:cs="Times New Roman"/>
                <w:color w:val="auto"/>
                <w:kern w:val="0"/>
                <w:sz w:val="18"/>
                <w:szCs w:val="18"/>
                <w:highlight w:val="none"/>
              </w:rPr>
            </w:pPr>
          </w:p>
          <w:p w14:paraId="351B0E10">
            <w:pPr>
              <w:spacing w:line="0" w:lineRule="atLeast"/>
              <w:jc w:val="center"/>
              <w:rPr>
                <w:rFonts w:hint="default" w:ascii="Times New Roman" w:hAnsi="Times New Roman" w:eastAsia="仿宋_GB2312" w:cs="Times New Roman"/>
                <w:color w:val="auto"/>
                <w:kern w:val="0"/>
                <w:sz w:val="18"/>
                <w:szCs w:val="18"/>
                <w:highlight w:val="none"/>
              </w:rPr>
            </w:pPr>
          </w:p>
          <w:p w14:paraId="5CE21D6B">
            <w:pPr>
              <w:spacing w:line="0" w:lineRule="atLeast"/>
              <w:jc w:val="center"/>
              <w:rPr>
                <w:rFonts w:hint="default" w:ascii="Times New Roman" w:hAnsi="Times New Roman" w:eastAsia="仿宋_GB2312" w:cs="Times New Roman"/>
                <w:color w:val="auto"/>
                <w:kern w:val="0"/>
                <w:sz w:val="18"/>
                <w:szCs w:val="18"/>
                <w:highlight w:val="none"/>
              </w:rPr>
            </w:pPr>
          </w:p>
          <w:p w14:paraId="12D7E55D">
            <w:pPr>
              <w:spacing w:line="0" w:lineRule="atLeast"/>
              <w:jc w:val="center"/>
              <w:rPr>
                <w:rFonts w:hint="default" w:ascii="Times New Roman" w:hAnsi="Times New Roman" w:eastAsia="仿宋_GB2312" w:cs="Times New Roman"/>
                <w:color w:val="auto"/>
                <w:kern w:val="0"/>
                <w:sz w:val="18"/>
                <w:szCs w:val="18"/>
                <w:highlight w:val="none"/>
              </w:rPr>
            </w:pPr>
          </w:p>
          <w:p w14:paraId="696A75A9">
            <w:pPr>
              <w:spacing w:line="0" w:lineRule="atLeast"/>
              <w:jc w:val="center"/>
              <w:rPr>
                <w:rFonts w:hint="default" w:ascii="Times New Roman" w:hAnsi="Times New Roman" w:eastAsia="仿宋_GB2312" w:cs="Times New Roman"/>
                <w:color w:val="auto"/>
                <w:kern w:val="0"/>
                <w:sz w:val="18"/>
                <w:szCs w:val="18"/>
                <w:highlight w:val="none"/>
              </w:rPr>
            </w:pPr>
          </w:p>
          <w:p w14:paraId="3E92393A">
            <w:pPr>
              <w:spacing w:line="0" w:lineRule="atLeast"/>
              <w:jc w:val="center"/>
              <w:rPr>
                <w:rFonts w:hint="default" w:ascii="Times New Roman" w:hAnsi="Times New Roman" w:eastAsia="仿宋_GB2312" w:cs="Times New Roman"/>
                <w:color w:val="auto"/>
                <w:kern w:val="0"/>
                <w:sz w:val="18"/>
                <w:szCs w:val="18"/>
                <w:highlight w:val="none"/>
              </w:rPr>
            </w:pPr>
          </w:p>
          <w:p w14:paraId="73153ECE">
            <w:pPr>
              <w:spacing w:line="0" w:lineRule="atLeast"/>
              <w:jc w:val="center"/>
              <w:rPr>
                <w:rFonts w:hint="default" w:ascii="Times New Roman" w:hAnsi="Times New Roman" w:eastAsia="仿宋_GB2312" w:cs="Times New Roman"/>
                <w:color w:val="auto"/>
                <w:kern w:val="0"/>
                <w:sz w:val="18"/>
                <w:szCs w:val="18"/>
                <w:highlight w:val="none"/>
              </w:rPr>
            </w:pPr>
          </w:p>
          <w:p w14:paraId="715295EE">
            <w:pPr>
              <w:spacing w:line="0" w:lineRule="atLeast"/>
              <w:jc w:val="center"/>
              <w:rPr>
                <w:rFonts w:hint="default" w:ascii="Times New Roman" w:hAnsi="Times New Roman" w:eastAsia="仿宋_GB2312" w:cs="Times New Roman"/>
                <w:color w:val="auto"/>
                <w:kern w:val="0"/>
                <w:sz w:val="18"/>
                <w:szCs w:val="18"/>
                <w:highlight w:val="none"/>
              </w:rPr>
            </w:pPr>
          </w:p>
          <w:p w14:paraId="57A1AECE">
            <w:pPr>
              <w:spacing w:line="0" w:lineRule="atLeast"/>
              <w:jc w:val="center"/>
              <w:rPr>
                <w:rFonts w:hint="default" w:ascii="Times New Roman" w:hAnsi="Times New Roman" w:eastAsia="仿宋_GB2312" w:cs="Times New Roman"/>
                <w:color w:val="auto"/>
                <w:kern w:val="0"/>
                <w:sz w:val="18"/>
                <w:szCs w:val="18"/>
                <w:highlight w:val="none"/>
              </w:rPr>
            </w:pPr>
          </w:p>
          <w:p w14:paraId="0BC307E9">
            <w:pPr>
              <w:spacing w:line="0" w:lineRule="atLeast"/>
              <w:jc w:val="center"/>
              <w:rPr>
                <w:rFonts w:hint="default" w:ascii="Times New Roman" w:hAnsi="Times New Roman" w:eastAsia="仿宋_GB2312" w:cs="Times New Roman"/>
                <w:color w:val="auto"/>
                <w:kern w:val="0"/>
                <w:sz w:val="18"/>
                <w:szCs w:val="18"/>
                <w:highlight w:val="none"/>
              </w:rPr>
            </w:pPr>
          </w:p>
          <w:p w14:paraId="307AE745">
            <w:pPr>
              <w:spacing w:line="0" w:lineRule="atLeast"/>
              <w:jc w:val="center"/>
              <w:rPr>
                <w:rFonts w:hint="default" w:ascii="Times New Roman" w:hAnsi="Times New Roman" w:eastAsia="仿宋_GB2312" w:cs="Times New Roman"/>
                <w:color w:val="auto"/>
                <w:kern w:val="0"/>
                <w:sz w:val="18"/>
                <w:szCs w:val="18"/>
                <w:highlight w:val="none"/>
              </w:rPr>
            </w:pPr>
          </w:p>
          <w:p w14:paraId="620C70B1">
            <w:pPr>
              <w:spacing w:line="0" w:lineRule="atLeast"/>
              <w:jc w:val="center"/>
              <w:rPr>
                <w:rFonts w:hint="default" w:ascii="Times New Roman" w:hAnsi="Times New Roman" w:eastAsia="仿宋_GB2312" w:cs="Times New Roman"/>
                <w:color w:val="auto"/>
                <w:kern w:val="0"/>
                <w:sz w:val="18"/>
                <w:szCs w:val="18"/>
                <w:highlight w:val="none"/>
              </w:rPr>
            </w:pPr>
          </w:p>
          <w:p w14:paraId="5945B673">
            <w:pPr>
              <w:spacing w:line="0" w:lineRule="atLeast"/>
              <w:jc w:val="center"/>
              <w:rPr>
                <w:rFonts w:hint="default" w:ascii="Times New Roman" w:hAnsi="Times New Roman" w:eastAsia="仿宋_GB2312" w:cs="Times New Roman"/>
                <w:color w:val="auto"/>
                <w:kern w:val="0"/>
                <w:sz w:val="18"/>
                <w:szCs w:val="18"/>
                <w:highlight w:val="none"/>
              </w:rPr>
            </w:pPr>
          </w:p>
          <w:p w14:paraId="6AC00744">
            <w:pPr>
              <w:spacing w:line="0" w:lineRule="atLeast"/>
              <w:jc w:val="center"/>
              <w:rPr>
                <w:rFonts w:hint="default" w:ascii="Times New Roman" w:hAnsi="Times New Roman" w:eastAsia="仿宋_GB2312" w:cs="Times New Roman"/>
                <w:color w:val="auto"/>
                <w:kern w:val="0"/>
                <w:sz w:val="18"/>
                <w:szCs w:val="18"/>
                <w:highlight w:val="none"/>
              </w:rPr>
            </w:pPr>
          </w:p>
          <w:p w14:paraId="4A359D7C">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过程</w:t>
            </w:r>
          </w:p>
          <w:p w14:paraId="6062CAA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394" w:type="pct"/>
            <w:vMerge w:val="restart"/>
            <w:shd w:val="clear" w:color="auto" w:fill="FFFFFF"/>
            <w:vAlign w:val="center"/>
          </w:tcPr>
          <w:p w14:paraId="7892CED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422" w:type="pct"/>
            <w:shd w:val="clear" w:color="auto" w:fill="FFFFFF"/>
            <w:vAlign w:val="center"/>
          </w:tcPr>
          <w:p w14:paraId="574EAE1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w:t>
            </w:r>
          </w:p>
        </w:tc>
        <w:tc>
          <w:tcPr>
            <w:tcW w:w="680" w:type="pct"/>
            <w:shd w:val="clear" w:color="000000" w:fill="FFFFFF"/>
            <w:vAlign w:val="center"/>
          </w:tcPr>
          <w:p w14:paraId="59E8DB5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实际到位资金与预算资金的比率，用以反映和考核资金落实情况对项目实施的总体保障程度。</w:t>
            </w:r>
          </w:p>
        </w:tc>
        <w:tc>
          <w:tcPr>
            <w:tcW w:w="2056" w:type="pct"/>
            <w:shd w:val="clear" w:color="000000" w:fill="FFFFFF"/>
            <w:vAlign w:val="center"/>
          </w:tcPr>
          <w:p w14:paraId="0B93489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资金到位率=（实际到位资金/预算资金）×100%。</w:t>
            </w:r>
          </w:p>
          <w:p w14:paraId="29283E9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实际到位资金：一定时期（本年度或项目期）内落实到具体项目的资金。</w:t>
            </w:r>
          </w:p>
          <w:p w14:paraId="7800605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预算资金：一定时期（本年度或项目期）内预算安排到具体项目的资金。</w:t>
            </w:r>
          </w:p>
        </w:tc>
        <w:tc>
          <w:tcPr>
            <w:tcW w:w="514" w:type="pct"/>
            <w:gridSpan w:val="2"/>
            <w:shd w:val="clear" w:color="000000" w:fill="FFFFFF"/>
            <w:vAlign w:val="center"/>
          </w:tcPr>
          <w:p w14:paraId="3228ACE3">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7217C38F">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53A45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402EF96D">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2BA5293B">
            <w:pPr>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6D40755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w:t>
            </w:r>
          </w:p>
        </w:tc>
        <w:tc>
          <w:tcPr>
            <w:tcW w:w="680" w:type="pct"/>
            <w:shd w:val="clear" w:color="auto" w:fill="FFFFFF"/>
            <w:vAlign w:val="center"/>
          </w:tcPr>
          <w:p w14:paraId="6DF35DE4">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项目预算资金是否按照计划执行，用以反映或考核项目预算执行情况。</w:t>
            </w:r>
          </w:p>
        </w:tc>
        <w:tc>
          <w:tcPr>
            <w:tcW w:w="2056" w:type="pct"/>
            <w:shd w:val="clear" w:color="auto" w:fill="FFFFFF"/>
            <w:vAlign w:val="center"/>
          </w:tcPr>
          <w:p w14:paraId="35021E1A">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预算执行率=（实际支出资金/实际到位资金）×100%。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实际支出资金：一定时期（本年度或项目期）内项目实际拨付的资金。</w:t>
            </w:r>
          </w:p>
        </w:tc>
        <w:tc>
          <w:tcPr>
            <w:tcW w:w="514" w:type="pct"/>
            <w:gridSpan w:val="2"/>
            <w:shd w:val="clear" w:color="auto" w:fill="FFFFFF"/>
            <w:vAlign w:val="center"/>
          </w:tcPr>
          <w:p w14:paraId="52B8CC4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484B400F">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B490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2869390A">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7CC51FF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422" w:type="pct"/>
            <w:shd w:val="clear" w:color="auto" w:fill="FFFFFF"/>
            <w:vAlign w:val="center"/>
          </w:tcPr>
          <w:p w14:paraId="670AE4C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资金使用</w:t>
            </w:r>
          </w:p>
          <w:p w14:paraId="7975A12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合规性</w:t>
            </w:r>
          </w:p>
        </w:tc>
        <w:tc>
          <w:tcPr>
            <w:tcW w:w="680" w:type="pct"/>
            <w:shd w:val="clear" w:color="000000" w:fill="FFFFFF"/>
            <w:vAlign w:val="center"/>
          </w:tcPr>
          <w:p w14:paraId="069274A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项目资金使用是否符合相关的财务管理制度规定，用以反映和考核项目资金的规范运行情况。</w:t>
            </w:r>
          </w:p>
        </w:tc>
        <w:tc>
          <w:tcPr>
            <w:tcW w:w="2056" w:type="pct"/>
            <w:shd w:val="clear" w:color="000000" w:fill="FFFFFF"/>
            <w:vAlign w:val="center"/>
          </w:tcPr>
          <w:p w14:paraId="49620DF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②资金的拨付是否有完整的审批程序和手续；</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③是否符合项目预算批复或合同规定的用途；</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④是否存在截留、挤占、挪用、虚列支出等情况。</w:t>
            </w:r>
          </w:p>
        </w:tc>
        <w:tc>
          <w:tcPr>
            <w:tcW w:w="514" w:type="pct"/>
            <w:gridSpan w:val="2"/>
            <w:shd w:val="clear" w:color="000000" w:fill="FFFFFF"/>
            <w:vAlign w:val="center"/>
          </w:tcPr>
          <w:p w14:paraId="0BA0E7B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5E002BF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2654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7F0405EC">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50D4377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组织实施</w:t>
            </w:r>
          </w:p>
          <w:p w14:paraId="2C974B31">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422" w:type="pct"/>
            <w:shd w:val="clear" w:color="auto" w:fill="FFFFFF"/>
            <w:vAlign w:val="center"/>
          </w:tcPr>
          <w:p w14:paraId="085DC7D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管理制度</w:t>
            </w:r>
          </w:p>
          <w:p w14:paraId="103AEC3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健全性</w:t>
            </w:r>
          </w:p>
        </w:tc>
        <w:tc>
          <w:tcPr>
            <w:tcW w:w="680" w:type="pct"/>
            <w:shd w:val="clear" w:color="000000" w:fill="FFFFFF"/>
            <w:vAlign w:val="center"/>
          </w:tcPr>
          <w:p w14:paraId="412502E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①是否已制定或具有相应的财务和业务管理制度；</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②财务和业务管理制度是否合法、合规、完整。</w:t>
            </w:r>
          </w:p>
        </w:tc>
        <w:tc>
          <w:tcPr>
            <w:tcW w:w="514" w:type="pct"/>
            <w:gridSpan w:val="2"/>
            <w:shd w:val="clear" w:color="000000" w:fill="FFFFFF"/>
            <w:vAlign w:val="center"/>
          </w:tcPr>
          <w:p w14:paraId="1746194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44EE3A3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7FBD3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57B7FCD1">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213D0B13">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5A773C7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制度执行</w:t>
            </w:r>
          </w:p>
          <w:p w14:paraId="2979A86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有效性</w:t>
            </w:r>
          </w:p>
        </w:tc>
        <w:tc>
          <w:tcPr>
            <w:tcW w:w="680" w:type="pct"/>
            <w:shd w:val="clear" w:color="000000" w:fill="FFFFFF"/>
            <w:vAlign w:val="center"/>
          </w:tcPr>
          <w:p w14:paraId="433DAEB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项目实施是否符合相关管理规定，用以反映和考核相关管理制度的有效执行情况。</w:t>
            </w:r>
          </w:p>
        </w:tc>
        <w:tc>
          <w:tcPr>
            <w:tcW w:w="2056" w:type="pct"/>
            <w:shd w:val="clear" w:color="000000" w:fill="FFFFFF"/>
            <w:vAlign w:val="center"/>
          </w:tcPr>
          <w:p w14:paraId="100C31E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①是否遵守相关法律法规和相关管理规定；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②项目调整及支出调整手续是否完备；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③项目合同书、验收报告、技术鉴定等资料是否齐全并及时归档；</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④项目实施的人员条件、场地设备、信息支撑等是否落实到位。</w:t>
            </w:r>
          </w:p>
        </w:tc>
        <w:tc>
          <w:tcPr>
            <w:tcW w:w="514" w:type="pct"/>
            <w:gridSpan w:val="2"/>
            <w:shd w:val="clear" w:color="000000" w:fill="FFFFFF"/>
            <w:vAlign w:val="center"/>
          </w:tcPr>
          <w:p w14:paraId="44473D5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60E30355">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2E647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76E2C5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w:t>
            </w:r>
          </w:p>
        </w:tc>
        <w:tc>
          <w:tcPr>
            <w:tcW w:w="394" w:type="pct"/>
            <w:shd w:val="clear" w:color="auto" w:fill="FFFFFF"/>
            <w:vAlign w:val="center"/>
          </w:tcPr>
          <w:p w14:paraId="13C7B96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产出数量</w:t>
            </w:r>
          </w:p>
        </w:tc>
        <w:tc>
          <w:tcPr>
            <w:tcW w:w="422" w:type="pct"/>
            <w:shd w:val="clear" w:color="auto" w:fill="FFFFFF"/>
            <w:vAlign w:val="center"/>
          </w:tcPr>
          <w:p w14:paraId="1792043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w:t>
            </w:r>
          </w:p>
        </w:tc>
        <w:tc>
          <w:tcPr>
            <w:tcW w:w="680" w:type="pct"/>
            <w:shd w:val="clear" w:color="000000" w:fill="FFFFFF"/>
            <w:vAlign w:val="center"/>
          </w:tcPr>
          <w:p w14:paraId="1A4BCC2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项目实施的实际产出数与计划产出数的比率，用以反映和考核项目产出数量目标的实现程度。</w:t>
            </w:r>
          </w:p>
        </w:tc>
        <w:tc>
          <w:tcPr>
            <w:tcW w:w="2056" w:type="pct"/>
            <w:shd w:val="clear" w:color="000000" w:fill="FFFFFF"/>
            <w:vAlign w:val="center"/>
          </w:tcPr>
          <w:p w14:paraId="766B5F2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实际完成率=（实际产出数/计划产出数）×100%。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计划产出数：项目绩效目标确定的在一定时期（本年度或项目期）内计划产出的产品或提供的服务数量。</w:t>
            </w:r>
          </w:p>
        </w:tc>
        <w:tc>
          <w:tcPr>
            <w:tcW w:w="514" w:type="pct"/>
            <w:gridSpan w:val="2"/>
            <w:shd w:val="clear" w:color="000000" w:fill="FFFFFF"/>
            <w:vAlign w:val="center"/>
          </w:tcPr>
          <w:p w14:paraId="7A502BD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3205D485">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793EF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7FF60FF">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6C3B563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产出质量</w:t>
            </w:r>
          </w:p>
        </w:tc>
        <w:tc>
          <w:tcPr>
            <w:tcW w:w="422" w:type="pct"/>
            <w:shd w:val="clear" w:color="auto" w:fill="FFFFFF"/>
            <w:vAlign w:val="center"/>
          </w:tcPr>
          <w:p w14:paraId="6DC841E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w:t>
            </w:r>
          </w:p>
        </w:tc>
        <w:tc>
          <w:tcPr>
            <w:tcW w:w="680" w:type="pct"/>
            <w:shd w:val="clear" w:color="000000" w:fill="FFFFFF"/>
            <w:vAlign w:val="center"/>
          </w:tcPr>
          <w:p w14:paraId="61CF5FD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项目完成的质量达标产出数与实际产出数的比率，用以反映和考核项目产出质量目标的实现程度。</w:t>
            </w:r>
          </w:p>
        </w:tc>
        <w:tc>
          <w:tcPr>
            <w:tcW w:w="2056" w:type="pct"/>
            <w:shd w:val="clear" w:color="000000" w:fill="FFFFFF"/>
            <w:vAlign w:val="center"/>
          </w:tcPr>
          <w:p w14:paraId="5D59636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质量达标率=（质量达标产出数/实际产出数）×100%。</w:t>
            </w:r>
          </w:p>
          <w:p w14:paraId="7C3CBBD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gridSpan w:val="2"/>
            <w:shd w:val="clear" w:color="000000" w:fill="FFFFFF"/>
            <w:vAlign w:val="center"/>
          </w:tcPr>
          <w:p w14:paraId="19C6B3B8">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76196158">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B600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7B1A842">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27A049C5">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产出时效</w:t>
            </w:r>
          </w:p>
        </w:tc>
        <w:tc>
          <w:tcPr>
            <w:tcW w:w="422" w:type="pct"/>
            <w:shd w:val="clear" w:color="auto" w:fill="FFFFFF"/>
            <w:vAlign w:val="center"/>
          </w:tcPr>
          <w:p w14:paraId="5574CF4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完成及时性</w:t>
            </w:r>
          </w:p>
        </w:tc>
        <w:tc>
          <w:tcPr>
            <w:tcW w:w="680" w:type="pct"/>
            <w:shd w:val="clear" w:color="000000" w:fill="FFFFFF"/>
            <w:vAlign w:val="center"/>
          </w:tcPr>
          <w:p w14:paraId="3B490CE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项目实际完成时间与计划完成时间的比较，用以反映和考核项目产出时效目标的实现程度。</w:t>
            </w:r>
          </w:p>
        </w:tc>
        <w:tc>
          <w:tcPr>
            <w:tcW w:w="2056" w:type="pct"/>
            <w:shd w:val="clear" w:color="000000" w:fill="FFFFFF"/>
            <w:vAlign w:val="center"/>
          </w:tcPr>
          <w:p w14:paraId="31F6D27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实际完成时间：项目实施单位完成该项目实际所耗用的时间。</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计划完成时间：按照项目实施计划或相关规定完成该项目所需的时间。</w:t>
            </w:r>
          </w:p>
        </w:tc>
        <w:tc>
          <w:tcPr>
            <w:tcW w:w="514" w:type="pct"/>
            <w:gridSpan w:val="2"/>
            <w:shd w:val="clear" w:color="000000" w:fill="FFFFFF"/>
            <w:vAlign w:val="center"/>
          </w:tcPr>
          <w:p w14:paraId="7CE7449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41DAC46F">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55C1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7978218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6333D6A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产出成本</w:t>
            </w:r>
          </w:p>
        </w:tc>
        <w:tc>
          <w:tcPr>
            <w:tcW w:w="422" w:type="pct"/>
            <w:shd w:val="clear" w:color="auto" w:fill="FFFFFF"/>
            <w:vAlign w:val="center"/>
          </w:tcPr>
          <w:p w14:paraId="617EB94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成本节约率</w:t>
            </w:r>
          </w:p>
        </w:tc>
        <w:tc>
          <w:tcPr>
            <w:tcW w:w="680" w:type="pct"/>
            <w:shd w:val="clear" w:color="000000" w:fill="FFFFFF"/>
            <w:vAlign w:val="center"/>
          </w:tcPr>
          <w:p w14:paraId="088B19F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完成项目计划工作目标的实际节约成本与计划成本的比率，用以反映和考核项目的成本节约程度。</w:t>
            </w:r>
          </w:p>
        </w:tc>
        <w:tc>
          <w:tcPr>
            <w:tcW w:w="2056" w:type="pct"/>
            <w:shd w:val="clear" w:color="000000" w:fill="FFFFFF"/>
            <w:vAlign w:val="center"/>
          </w:tcPr>
          <w:p w14:paraId="58A313F5">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成本节约率=[（计划成本-实际成本）/计划成本]×100%。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计划成本：项目实施单位为完成工作目标计划安排的支出，一般以项目预算为参考。</w:t>
            </w:r>
          </w:p>
        </w:tc>
        <w:tc>
          <w:tcPr>
            <w:tcW w:w="514" w:type="pct"/>
            <w:gridSpan w:val="2"/>
            <w:shd w:val="clear" w:color="000000" w:fill="FFFFFF"/>
            <w:vAlign w:val="center"/>
          </w:tcPr>
          <w:p w14:paraId="1AA6671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5AA989E3">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D5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407A843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效益　</w:t>
            </w:r>
          </w:p>
        </w:tc>
        <w:tc>
          <w:tcPr>
            <w:tcW w:w="394" w:type="pct"/>
            <w:vMerge w:val="restart"/>
            <w:shd w:val="clear" w:color="auto" w:fill="FFFFFF"/>
            <w:vAlign w:val="center"/>
          </w:tcPr>
          <w:p w14:paraId="21FCFCD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项目效益　</w:t>
            </w:r>
          </w:p>
        </w:tc>
        <w:tc>
          <w:tcPr>
            <w:tcW w:w="422" w:type="pct"/>
            <w:shd w:val="clear" w:color="auto" w:fill="FFFFFF"/>
            <w:vAlign w:val="center"/>
          </w:tcPr>
          <w:p w14:paraId="6E48256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实施效益</w:t>
            </w:r>
          </w:p>
        </w:tc>
        <w:tc>
          <w:tcPr>
            <w:tcW w:w="680" w:type="pct"/>
            <w:shd w:val="clear" w:color="auto" w:fill="FFFFFF"/>
            <w:vAlign w:val="center"/>
          </w:tcPr>
          <w:p w14:paraId="795E0B36">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项目实施所产生的效益。</w:t>
            </w:r>
          </w:p>
        </w:tc>
        <w:tc>
          <w:tcPr>
            <w:tcW w:w="2056" w:type="pct"/>
            <w:shd w:val="clear" w:color="auto" w:fill="FFFFFF"/>
            <w:vAlign w:val="center"/>
          </w:tcPr>
          <w:p w14:paraId="153D9E8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项目实施所产生的社会效益、经济效益、生态效益、可持续影响等。可根据项目实际情况有选择地设置和细化。</w:t>
            </w:r>
          </w:p>
        </w:tc>
        <w:tc>
          <w:tcPr>
            <w:tcW w:w="514" w:type="pct"/>
            <w:gridSpan w:val="2"/>
            <w:shd w:val="clear" w:color="auto" w:fill="FFFFFF"/>
            <w:vAlign w:val="center"/>
          </w:tcPr>
          <w:p w14:paraId="7EAE660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auto" w:fill="FFFFFF"/>
            <w:vAlign w:val="center"/>
          </w:tcPr>
          <w:p w14:paraId="0267F851">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0CDD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122E626">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4981F3CC">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44F2D30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满意度</w:t>
            </w:r>
          </w:p>
        </w:tc>
        <w:tc>
          <w:tcPr>
            <w:tcW w:w="680" w:type="pct"/>
            <w:shd w:val="clear" w:color="000000" w:fill="FFFFFF"/>
            <w:vAlign w:val="center"/>
          </w:tcPr>
          <w:p w14:paraId="47FAA55F">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社会公众或服务对象对项目实施效果的满意程度。</w:t>
            </w:r>
          </w:p>
        </w:tc>
        <w:tc>
          <w:tcPr>
            <w:tcW w:w="2056" w:type="pct"/>
            <w:shd w:val="clear" w:color="000000" w:fill="FFFFFF"/>
            <w:vAlign w:val="center"/>
          </w:tcPr>
          <w:p w14:paraId="00C88B8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社会公众或服务对象是指因该项目实施而受到影响的部门（单位）、群体或个人。一般采取社会调查的方式。</w:t>
            </w:r>
          </w:p>
        </w:tc>
        <w:tc>
          <w:tcPr>
            <w:tcW w:w="514" w:type="pct"/>
            <w:gridSpan w:val="2"/>
            <w:shd w:val="clear" w:color="000000" w:fill="FFFFFF"/>
            <w:vAlign w:val="center"/>
          </w:tcPr>
          <w:p w14:paraId="40EDE37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6EF7EC98">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F2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6"/>
            <w:shd w:val="clear" w:color="auto" w:fill="FFFFFF"/>
            <w:vAlign w:val="center"/>
          </w:tcPr>
          <w:p w14:paraId="2B863E0F">
            <w:pPr>
              <w:widowControl/>
              <w:spacing w:line="0" w:lineRule="atLeast"/>
              <w:jc w:val="center"/>
              <w:rPr>
                <w:rFonts w:hint="eastAsia"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合计</w:t>
            </w:r>
          </w:p>
        </w:tc>
        <w:tc>
          <w:tcPr>
            <w:tcW w:w="512" w:type="pct"/>
            <w:shd w:val="clear" w:color="000000" w:fill="FFFFFF"/>
            <w:vAlign w:val="center"/>
          </w:tcPr>
          <w:p w14:paraId="4E95BD9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fldChar w:fldCharType="begin"/>
            </w:r>
            <w:r>
              <w:rPr>
                <w:rFonts w:hint="default" w:ascii="Times New Roman" w:hAnsi="Times New Roman" w:eastAsia="仿宋_GB2312" w:cs="Times New Roman"/>
                <w:b/>
                <w:bCs/>
                <w:color w:val="auto"/>
                <w:kern w:val="0"/>
                <w:sz w:val="18"/>
                <w:szCs w:val="18"/>
                <w:highlight w:val="none"/>
              </w:rPr>
              <w:instrText xml:space="preserve"> = sum(F2:F18) \* MERGEFORMAT </w:instrText>
            </w:r>
            <w:r>
              <w:rPr>
                <w:rFonts w:hint="default" w:ascii="Times New Roman" w:hAnsi="Times New Roman" w:eastAsia="仿宋_GB2312" w:cs="Times New Roman"/>
                <w:b/>
                <w:bCs/>
                <w:color w:val="auto"/>
                <w:kern w:val="0"/>
                <w:sz w:val="18"/>
                <w:szCs w:val="18"/>
                <w:highlight w:val="none"/>
              </w:rPr>
              <w:fldChar w:fldCharType="separate"/>
            </w:r>
            <w:r>
              <w:rPr>
                <w:rFonts w:hint="default" w:ascii="Times New Roman" w:hAnsi="Times New Roman" w:eastAsia="仿宋_GB2312" w:cs="Times New Roman"/>
                <w:b/>
                <w:bCs/>
                <w:color w:val="auto"/>
                <w:kern w:val="0"/>
                <w:sz w:val="18"/>
                <w:szCs w:val="18"/>
                <w:highlight w:val="none"/>
              </w:rPr>
              <w:t>100</w:t>
            </w:r>
            <w:r>
              <w:rPr>
                <w:rFonts w:hint="default" w:ascii="Times New Roman" w:hAnsi="Times New Roman" w:eastAsia="仿宋_GB2312" w:cs="Times New Roman"/>
                <w:b/>
                <w:bCs/>
                <w:color w:val="auto"/>
                <w:kern w:val="0"/>
                <w:sz w:val="18"/>
                <w:szCs w:val="18"/>
                <w:highlight w:val="none"/>
              </w:rPr>
              <w:fldChar w:fldCharType="end"/>
            </w:r>
          </w:p>
        </w:tc>
        <w:tc>
          <w:tcPr>
            <w:tcW w:w="538" w:type="pct"/>
            <w:shd w:val="clear" w:color="000000" w:fill="FFFFFF"/>
            <w:vAlign w:val="center"/>
          </w:tcPr>
          <w:p w14:paraId="33BB8A15">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100</w:t>
            </w:r>
          </w:p>
        </w:tc>
      </w:tr>
    </w:tbl>
    <w:p w14:paraId="6D728D58">
      <w:pPr>
        <w:rPr>
          <w:rFonts w:hint="default" w:ascii="Times New Roman" w:hAnsi="Times New Roman" w:cs="Times New Roman"/>
          <w:color w:val="auto"/>
          <w:highlight w:val="none"/>
        </w:rPr>
        <w:sectPr>
          <w:pgSz w:w="16838" w:h="11906" w:orient="landscape"/>
          <w:pgMar w:top="1800" w:right="1440" w:bottom="1558" w:left="1440" w:header="851" w:footer="992" w:gutter="0"/>
          <w:cols w:space="425" w:num="1"/>
          <w:docGrid w:type="lines" w:linePitch="312" w:charSpace="0"/>
        </w:sectPr>
      </w:pPr>
    </w:p>
    <w:p w14:paraId="32B738EE">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2"/>
        <w:gridCol w:w="692"/>
        <w:gridCol w:w="963"/>
        <w:gridCol w:w="2344"/>
        <w:gridCol w:w="3472"/>
        <w:gridCol w:w="1400"/>
        <w:gridCol w:w="1341"/>
        <w:gridCol w:w="242"/>
        <w:gridCol w:w="392"/>
        <w:gridCol w:w="357"/>
        <w:gridCol w:w="480"/>
        <w:gridCol w:w="603"/>
        <w:gridCol w:w="867"/>
      </w:tblGrid>
      <w:tr w14:paraId="5C87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0697A7D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1ED0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694EE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335F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A0D3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11890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社区经费（重点2个，一般9个）</w:t>
            </w:r>
          </w:p>
        </w:tc>
      </w:tr>
      <w:tr w14:paraId="547B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16EA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79E0A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乌鲁木齐市沙依巴克区友好北路片区管理委员会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0FC9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4AE20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乌鲁木齐市沙依巴克区友好北路片区管理委员会</w:t>
            </w:r>
          </w:p>
        </w:tc>
      </w:tr>
      <w:tr w14:paraId="4A71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BCCC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AA38A18">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473A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BEEC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7CD6C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C504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75C9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D2B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6CF7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BAEAF80">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021D6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E1F9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C885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EC30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D2F0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495B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C94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2059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CA7DA10">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E925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7681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3420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3BEF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1176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F398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5D0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EE0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0AC3F62">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2032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BF2D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D09E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F213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AB0B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635B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B1B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E5C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134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4528A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0B102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69F1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7D651E">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29D2FD7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7F4183F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该项目总预算570万元，截止24年该项目已全部完成。用于我街道11个社区工作经费。通过此项目开展保障全局机构正常运行</w:t>
            </w:r>
          </w:p>
        </w:tc>
      </w:tr>
      <w:tr w14:paraId="0FC9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896DB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7B3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539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2BE8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D8A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050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6F9C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3DDF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7080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2A4E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AFB1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9FF85D">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AD816A">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EFC649C">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1F4C3C">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E424E3">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C0437AF">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0240842">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D40D7C0">
            <w:pPr>
              <w:jc w:val="center"/>
              <w:rPr>
                <w:rFonts w:hint="eastAsia" w:ascii="宋体" w:hAnsi="宋体" w:eastAsia="宋体" w:cs="宋体"/>
                <w:i w:val="0"/>
                <w:iCs w:val="0"/>
                <w:color w:val="000000"/>
                <w:sz w:val="20"/>
                <w:szCs w:val="20"/>
                <w:u w:val="none"/>
              </w:rPr>
            </w:pPr>
          </w:p>
        </w:tc>
      </w:tr>
      <w:tr w14:paraId="2680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9DE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AE4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5011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D709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所辖资金使用对象社区数量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C347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C89E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8CB2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C566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53A838A">
            <w:pPr>
              <w:jc w:val="center"/>
              <w:rPr>
                <w:rFonts w:hint="eastAsia" w:ascii="宋体" w:hAnsi="宋体" w:eastAsia="宋体" w:cs="宋体"/>
                <w:i w:val="0"/>
                <w:iCs w:val="0"/>
                <w:color w:val="000000"/>
                <w:sz w:val="20"/>
                <w:szCs w:val="20"/>
                <w:u w:val="none"/>
              </w:rPr>
            </w:pPr>
          </w:p>
        </w:tc>
      </w:tr>
      <w:tr w14:paraId="7FD4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64547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5A73B8">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D7C3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525B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经费支出合理性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810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8BD9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6037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B441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17471E3">
            <w:pPr>
              <w:jc w:val="center"/>
              <w:rPr>
                <w:rFonts w:hint="eastAsia" w:ascii="宋体" w:hAnsi="宋体" w:eastAsia="宋体" w:cs="宋体"/>
                <w:i w:val="0"/>
                <w:iCs w:val="0"/>
                <w:color w:val="000000"/>
                <w:sz w:val="20"/>
                <w:szCs w:val="20"/>
                <w:u w:val="none"/>
              </w:rPr>
            </w:pPr>
          </w:p>
        </w:tc>
      </w:tr>
      <w:tr w14:paraId="070F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0C535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B53BEC">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AA9C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57C3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经费支付及时性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D11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8963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EE90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5C98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705E39B">
            <w:pPr>
              <w:jc w:val="center"/>
              <w:rPr>
                <w:rFonts w:hint="eastAsia" w:ascii="宋体" w:hAnsi="宋体" w:eastAsia="宋体" w:cs="宋体"/>
                <w:i w:val="0"/>
                <w:iCs w:val="0"/>
                <w:color w:val="000000"/>
                <w:sz w:val="20"/>
                <w:szCs w:val="20"/>
                <w:u w:val="none"/>
              </w:rPr>
            </w:pPr>
          </w:p>
        </w:tc>
      </w:tr>
      <w:tr w14:paraId="7DC7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022F3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853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1344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7F5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所辖各社区经费平均标准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F6DA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&lt;=51.82万元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C2AF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=51.82万元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F531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BA69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5B5DC22">
            <w:pPr>
              <w:jc w:val="center"/>
              <w:rPr>
                <w:rFonts w:hint="eastAsia" w:ascii="宋体" w:hAnsi="宋体" w:eastAsia="宋体" w:cs="宋体"/>
                <w:i w:val="0"/>
                <w:iCs w:val="0"/>
                <w:color w:val="000000"/>
                <w:sz w:val="20"/>
                <w:szCs w:val="20"/>
                <w:u w:val="none"/>
              </w:rPr>
            </w:pPr>
          </w:p>
        </w:tc>
      </w:tr>
      <w:tr w14:paraId="3085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F6746B">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3DF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26A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E30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提供充足的社区经费，用以保障辖区居民生活安全和提升幸福感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4FBD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有效提升和保障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1E8A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3593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EA5E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A51469D">
            <w:pPr>
              <w:jc w:val="center"/>
              <w:rPr>
                <w:rFonts w:hint="eastAsia" w:ascii="宋体" w:hAnsi="宋体" w:eastAsia="宋体" w:cs="宋体"/>
                <w:i w:val="0"/>
                <w:iCs w:val="0"/>
                <w:color w:val="000000"/>
                <w:sz w:val="20"/>
                <w:szCs w:val="20"/>
                <w:u w:val="none"/>
              </w:rPr>
            </w:pPr>
          </w:p>
        </w:tc>
      </w:tr>
      <w:tr w14:paraId="3BA4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6328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7A7578">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73A34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04D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提升社区服务能力</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C366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33B0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C0F0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407C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031F839">
            <w:pPr>
              <w:jc w:val="center"/>
              <w:rPr>
                <w:rFonts w:hint="eastAsia" w:ascii="宋体" w:hAnsi="宋体" w:eastAsia="宋体" w:cs="宋体"/>
                <w:i w:val="0"/>
                <w:iCs w:val="0"/>
                <w:color w:val="000000"/>
                <w:sz w:val="20"/>
                <w:szCs w:val="20"/>
                <w:u w:val="none"/>
              </w:rPr>
            </w:pPr>
          </w:p>
        </w:tc>
      </w:tr>
      <w:tr w14:paraId="045A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9A927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39C2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AE95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D8B8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辖区居民满意度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7A02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1ED2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F032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2198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E56FB4E">
            <w:pPr>
              <w:jc w:val="center"/>
              <w:rPr>
                <w:rFonts w:hint="eastAsia" w:ascii="宋体" w:hAnsi="宋体" w:eastAsia="宋体" w:cs="宋体"/>
                <w:i w:val="0"/>
                <w:iCs w:val="0"/>
                <w:color w:val="000000"/>
                <w:sz w:val="20"/>
                <w:szCs w:val="20"/>
                <w:u w:val="none"/>
              </w:rPr>
            </w:pPr>
          </w:p>
        </w:tc>
      </w:tr>
      <w:tr w14:paraId="2F68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4F82A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4DF8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2A5F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19D0B11">
            <w:pPr>
              <w:jc w:val="center"/>
              <w:rPr>
                <w:rFonts w:hint="eastAsia" w:ascii="宋体" w:hAnsi="宋体" w:eastAsia="宋体" w:cs="宋体"/>
                <w:i w:val="0"/>
                <w:iCs w:val="0"/>
                <w:color w:val="000000"/>
                <w:sz w:val="20"/>
                <w:szCs w:val="20"/>
                <w:u w:val="none"/>
              </w:rPr>
            </w:pPr>
          </w:p>
        </w:tc>
      </w:tr>
    </w:tbl>
    <w:p w14:paraId="22593E3A">
      <w:pPr>
        <w:rPr>
          <w:rFonts w:hint="default" w:ascii="Times New Roman" w:hAnsi="Times New Roman" w:cs="Times New Roman"/>
          <w:color w:val="auto"/>
          <w:highlight w:val="none"/>
        </w:rPr>
      </w:pPr>
      <w:bookmarkStart w:id="5" w:name="_GoBack"/>
      <w:bookmarkEnd w:id="5"/>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E9D485D">
        <w:pPr>
          <w:pStyle w:val="8"/>
          <w:jc w:val="center"/>
        </w:pPr>
        <w:r>
          <w:fldChar w:fldCharType="begin"/>
        </w:r>
        <w:r>
          <w:instrText xml:space="preserve">PAGE   \* MERGEFORMAT</w:instrText>
        </w:r>
        <w:r>
          <w:fldChar w:fldCharType="separate"/>
        </w:r>
        <w:r>
          <w:rPr>
            <w:lang w:val="zh-CN"/>
          </w:rPr>
          <w:t>13</w:t>
        </w:r>
        <w:r>
          <w:fldChar w:fldCharType="end"/>
        </w:r>
      </w:p>
    </w:sdtContent>
  </w:sdt>
  <w:p w14:paraId="049FE44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116B29BF"/>
    <w:multiLevelType w:val="singleLevel"/>
    <w:tmpl w:val="116B29BF"/>
    <w:lvl w:ilvl="0" w:tentative="0">
      <w:start w:val="3"/>
      <w:numFmt w:val="chineseCounting"/>
      <w:suff w:val="nothing"/>
      <w:lvlText w:val="%1、"/>
      <w:lvlJc w:val="left"/>
      <w:rPr>
        <w:rFonts w:hint="eastAsia"/>
      </w:rPr>
    </w:lvl>
  </w:abstractNum>
  <w:abstractNum w:abstractNumId="2">
    <w:nsid w:val="27813159"/>
    <w:multiLevelType w:val="singleLevel"/>
    <w:tmpl w:val="27813159"/>
    <w:lvl w:ilvl="0" w:tentative="0">
      <w:start w:val="3"/>
      <w:numFmt w:val="chineseCounting"/>
      <w:suff w:val="nothing"/>
      <w:lvlText w:val="（%1）"/>
      <w:lvlJc w:val="left"/>
      <w:pPr>
        <w:ind w:left="-81"/>
      </w:pPr>
      <w:rPr>
        <w:rFonts w:hint="eastAsia"/>
      </w:rPr>
    </w:lvl>
  </w:abstractNum>
  <w:abstractNum w:abstractNumId="3">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610122"/>
    <w:rsid w:val="023B3A9F"/>
    <w:rsid w:val="02510197"/>
    <w:rsid w:val="03EC461B"/>
    <w:rsid w:val="07397B77"/>
    <w:rsid w:val="0AD007F3"/>
    <w:rsid w:val="0E3C619F"/>
    <w:rsid w:val="0F6273CA"/>
    <w:rsid w:val="100F38EC"/>
    <w:rsid w:val="11170296"/>
    <w:rsid w:val="12C66037"/>
    <w:rsid w:val="12CD1ABC"/>
    <w:rsid w:val="13471461"/>
    <w:rsid w:val="13B90F01"/>
    <w:rsid w:val="13EA3C03"/>
    <w:rsid w:val="155E4C4D"/>
    <w:rsid w:val="181066D2"/>
    <w:rsid w:val="1C671E73"/>
    <w:rsid w:val="1D322C47"/>
    <w:rsid w:val="1F4951D8"/>
    <w:rsid w:val="20D977F5"/>
    <w:rsid w:val="215C2461"/>
    <w:rsid w:val="23616034"/>
    <w:rsid w:val="23696C97"/>
    <w:rsid w:val="24480FA2"/>
    <w:rsid w:val="25227A45"/>
    <w:rsid w:val="26AC3A6A"/>
    <w:rsid w:val="26B24DF9"/>
    <w:rsid w:val="2B9D7E25"/>
    <w:rsid w:val="2BFD6A4C"/>
    <w:rsid w:val="2C7C7A3B"/>
    <w:rsid w:val="2F364819"/>
    <w:rsid w:val="2FD63906"/>
    <w:rsid w:val="37215DAE"/>
    <w:rsid w:val="38CA40DD"/>
    <w:rsid w:val="395F2B56"/>
    <w:rsid w:val="3B482032"/>
    <w:rsid w:val="3BBA0580"/>
    <w:rsid w:val="3BECE841"/>
    <w:rsid w:val="3CDE204C"/>
    <w:rsid w:val="3D363C36"/>
    <w:rsid w:val="3E9C3F6D"/>
    <w:rsid w:val="3FF7797D"/>
    <w:rsid w:val="40690693"/>
    <w:rsid w:val="46690BD8"/>
    <w:rsid w:val="49792371"/>
    <w:rsid w:val="49F70BF1"/>
    <w:rsid w:val="4B4340EE"/>
    <w:rsid w:val="4F622668"/>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0C64E8"/>
    <w:rsid w:val="7AC5270E"/>
    <w:rsid w:val="7B776F12"/>
    <w:rsid w:val="7BFFFDD0"/>
    <w:rsid w:val="7C336E5F"/>
    <w:rsid w:val="7C8D4919"/>
    <w:rsid w:val="7D7A5F86"/>
    <w:rsid w:val="7E4B683A"/>
    <w:rsid w:val="7E5E656D"/>
    <w:rsid w:val="7E8F2BCB"/>
    <w:rsid w:val="7F37BB4E"/>
    <w:rsid w:val="7F990FE6"/>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1"/>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2">
    <w:name w:val="annotation subject"/>
    <w:basedOn w:val="4"/>
    <w:next w:val="4"/>
    <w:link w:val="24"/>
    <w:qFormat/>
    <w:uiPriority w:val="0"/>
    <w:rPr>
      <w:b/>
      <w:bCs/>
    </w:rPr>
  </w:style>
  <w:style w:type="paragraph" w:styleId="13">
    <w:name w:val="Body Text First Indent"/>
    <w:basedOn w:val="5"/>
    <w:qFormat/>
    <w:uiPriority w:val="0"/>
    <w:pPr>
      <w:spacing w:after="0"/>
      <w:ind w:firstLine="200" w:firstLineChars="200"/>
    </w:pPr>
  </w:style>
  <w:style w:type="paragraph" w:styleId="14">
    <w:name w:val="Body Text First Indent 2"/>
    <w:basedOn w:val="6"/>
    <w:qFormat/>
    <w:uiPriority w:val="0"/>
    <w:pPr>
      <w:ind w:firstLine="420" w:firstLineChars="200"/>
    </w:pPr>
  </w:style>
  <w:style w:type="character" w:styleId="17">
    <w:name w:val="Strong"/>
    <w:basedOn w:val="16"/>
    <w:qFormat/>
    <w:uiPriority w:val="0"/>
    <w:rPr>
      <w:b/>
      <w:bCs/>
    </w:rPr>
  </w:style>
  <w:style w:type="character" w:styleId="18">
    <w:name w:val="annotation reference"/>
    <w:basedOn w:val="16"/>
    <w:qFormat/>
    <w:uiPriority w:val="0"/>
    <w:rPr>
      <w:sz w:val="21"/>
      <w:szCs w:val="21"/>
    </w:rPr>
  </w:style>
  <w:style w:type="character" w:customStyle="1" w:styleId="19">
    <w:name w:val="fontstyle01"/>
    <w:qFormat/>
    <w:uiPriority w:val="0"/>
    <w:rPr>
      <w:rFonts w:ascii="仿宋_GB2312" w:hAnsi="仿宋_GB2312" w:eastAsia="仿宋_GB2312" w:cs="仿宋_GB2312"/>
      <w:color w:val="000000"/>
      <w:sz w:val="32"/>
      <w:szCs w:val="32"/>
    </w:rPr>
  </w:style>
  <w:style w:type="paragraph" w:customStyle="1" w:styleId="20">
    <w:name w:val="闻政-正文段落文字"/>
    <w:basedOn w:val="1"/>
    <w:qFormat/>
    <w:uiPriority w:val="3"/>
    <w:pPr>
      <w:spacing w:line="500" w:lineRule="exact"/>
      <w:ind w:firstLine="200"/>
    </w:pPr>
    <w:rPr>
      <w:kern w:val="0"/>
      <w:szCs w:val="28"/>
    </w:rPr>
  </w:style>
  <w:style w:type="character" w:customStyle="1" w:styleId="21">
    <w:name w:val="批注框文本 字符"/>
    <w:basedOn w:val="16"/>
    <w:link w:val="7"/>
    <w:qFormat/>
    <w:uiPriority w:val="0"/>
    <w:rPr>
      <w:rFonts w:ascii="Times New Roman" w:hAnsi="Times New Roman" w:eastAsia="宋体" w:cs="Times New Roman"/>
      <w:kern w:val="2"/>
      <w:sz w:val="18"/>
      <w:szCs w:val="18"/>
    </w:rPr>
  </w:style>
  <w:style w:type="character" w:customStyle="1" w:styleId="22">
    <w:name w:val="页眉 字符"/>
    <w:basedOn w:val="16"/>
    <w:link w:val="9"/>
    <w:qFormat/>
    <w:uiPriority w:val="0"/>
    <w:rPr>
      <w:rFonts w:ascii="Times New Roman" w:hAnsi="Times New Roman" w:eastAsia="宋体" w:cs="Times New Roman"/>
      <w:kern w:val="2"/>
      <w:sz w:val="18"/>
      <w:szCs w:val="18"/>
    </w:rPr>
  </w:style>
  <w:style w:type="character" w:customStyle="1" w:styleId="23">
    <w:name w:val="批注文字 字符"/>
    <w:basedOn w:val="16"/>
    <w:link w:val="4"/>
    <w:qFormat/>
    <w:uiPriority w:val="0"/>
    <w:rPr>
      <w:rFonts w:ascii="Times New Roman" w:hAnsi="Times New Roman" w:eastAsia="宋体" w:cs="Times New Roman"/>
      <w:kern w:val="2"/>
      <w:sz w:val="21"/>
      <w:szCs w:val="24"/>
    </w:rPr>
  </w:style>
  <w:style w:type="character" w:customStyle="1" w:styleId="24">
    <w:name w:val="批注主题 字符"/>
    <w:basedOn w:val="23"/>
    <w:link w:val="12"/>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10351</Words>
  <Characters>10640</Characters>
  <Lines>58</Lines>
  <Paragraphs>16</Paragraphs>
  <TotalTime>0</TotalTime>
  <ScaleCrop>false</ScaleCrop>
  <LinksUpToDate>false</LinksUpToDate>
  <CharactersWithSpaces>10647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2025-11-27T04:07:01Z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