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658A7">
      <w:pPr>
        <w:spacing w:line="540" w:lineRule="exact"/>
        <w:jc w:val="left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附件2：</w:t>
      </w:r>
    </w:p>
    <w:p w14:paraId="1D33FA27">
      <w:pPr>
        <w:spacing w:line="540" w:lineRule="exact"/>
        <w:jc w:val="center"/>
        <w:rPr>
          <w:rFonts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 w14:paraId="6E106AD4">
      <w:pPr>
        <w:spacing w:line="540" w:lineRule="exact"/>
        <w:jc w:val="center"/>
        <w:rPr>
          <w:rFonts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 w14:paraId="06DF3DDB">
      <w:pPr>
        <w:spacing w:line="540" w:lineRule="exact"/>
        <w:jc w:val="center"/>
        <w:rPr>
          <w:rFonts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 w14:paraId="3D54B155">
      <w:pPr>
        <w:spacing w:line="540" w:lineRule="exact"/>
        <w:jc w:val="center"/>
        <w:rPr>
          <w:rFonts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 w14:paraId="7523DB40">
      <w:pPr>
        <w:spacing w:line="540" w:lineRule="exact"/>
        <w:jc w:val="center"/>
        <w:rPr>
          <w:rFonts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 w14:paraId="7B9F0A20">
      <w:pPr>
        <w:spacing w:line="540" w:lineRule="exact"/>
        <w:jc w:val="center"/>
        <w:rPr>
          <w:rFonts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 w14:paraId="1F5472C6">
      <w:pPr>
        <w:spacing w:line="540" w:lineRule="exact"/>
        <w:jc w:val="center"/>
        <w:rPr>
          <w:rFonts w:ascii="方正小标宋_GBK" w:hAnsi="华文中宋" w:eastAsia="方正小标宋_GBK" w:cs="宋体"/>
          <w:b/>
          <w:color w:val="auto"/>
          <w:kern w:val="0"/>
          <w:sz w:val="48"/>
          <w:szCs w:val="48"/>
        </w:rPr>
      </w:pPr>
      <w:r>
        <w:rPr>
          <w:rFonts w:hint="eastAsia" w:ascii="方正小标宋_GBK" w:hAnsi="华文中宋" w:eastAsia="方正小标宋_GBK" w:cs="宋体"/>
          <w:b/>
          <w:color w:val="auto"/>
          <w:kern w:val="0"/>
          <w:sz w:val="48"/>
          <w:szCs w:val="48"/>
        </w:rPr>
        <w:t>项目支出绩效自评报告</w:t>
      </w:r>
    </w:p>
    <w:p w14:paraId="05C3E73B">
      <w:pPr>
        <w:spacing w:line="540" w:lineRule="exact"/>
        <w:jc w:val="center"/>
        <w:rPr>
          <w:rFonts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 w14:paraId="478A78FB">
      <w:pPr>
        <w:spacing w:line="540" w:lineRule="exact"/>
        <w:jc w:val="center"/>
        <w:rPr>
          <w:rFonts w:hAnsi="宋体" w:eastAsia="仿宋_GB2312" w:cs="宋体"/>
          <w:color w:val="auto"/>
          <w:kern w:val="0"/>
          <w:sz w:val="36"/>
          <w:szCs w:val="36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 xml:space="preserve">（   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2023</w:t>
      </w: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 xml:space="preserve">  年度）</w:t>
      </w:r>
    </w:p>
    <w:p w14:paraId="26501804">
      <w:pPr>
        <w:spacing w:line="540" w:lineRule="exact"/>
        <w:jc w:val="center"/>
        <w:rPr>
          <w:rFonts w:hAnsi="宋体" w:eastAsia="仿宋_GB2312" w:cs="宋体"/>
          <w:color w:val="auto"/>
          <w:kern w:val="0"/>
          <w:sz w:val="30"/>
          <w:szCs w:val="30"/>
        </w:rPr>
      </w:pPr>
    </w:p>
    <w:p w14:paraId="69B61B55">
      <w:pPr>
        <w:spacing w:line="540" w:lineRule="exact"/>
        <w:jc w:val="center"/>
        <w:rPr>
          <w:rFonts w:hAnsi="宋体" w:eastAsia="仿宋_GB2312" w:cs="宋体"/>
          <w:color w:val="auto"/>
          <w:kern w:val="0"/>
          <w:sz w:val="30"/>
          <w:szCs w:val="30"/>
        </w:rPr>
      </w:pPr>
    </w:p>
    <w:p w14:paraId="0A436978">
      <w:pPr>
        <w:spacing w:line="540" w:lineRule="exact"/>
        <w:jc w:val="center"/>
        <w:rPr>
          <w:rFonts w:hAnsi="宋体" w:eastAsia="仿宋_GB2312" w:cs="宋体"/>
          <w:color w:val="auto"/>
          <w:kern w:val="0"/>
          <w:sz w:val="30"/>
          <w:szCs w:val="30"/>
        </w:rPr>
      </w:pPr>
    </w:p>
    <w:p w14:paraId="5731CF0C">
      <w:pPr>
        <w:spacing w:line="540" w:lineRule="exact"/>
        <w:jc w:val="center"/>
        <w:rPr>
          <w:rFonts w:hAnsi="宋体" w:eastAsia="仿宋_GB2312" w:cs="宋体"/>
          <w:color w:val="auto"/>
          <w:kern w:val="0"/>
          <w:sz w:val="30"/>
          <w:szCs w:val="30"/>
        </w:rPr>
      </w:pPr>
    </w:p>
    <w:p w14:paraId="2CE0F0E1">
      <w:pPr>
        <w:spacing w:line="540" w:lineRule="exact"/>
        <w:jc w:val="center"/>
        <w:rPr>
          <w:rFonts w:hAnsi="宋体" w:eastAsia="仿宋_GB2312" w:cs="宋体"/>
          <w:color w:val="auto"/>
          <w:kern w:val="0"/>
          <w:sz w:val="30"/>
          <w:szCs w:val="30"/>
        </w:rPr>
      </w:pPr>
    </w:p>
    <w:p w14:paraId="4C85A255">
      <w:pPr>
        <w:spacing w:line="540" w:lineRule="exact"/>
        <w:jc w:val="center"/>
        <w:rPr>
          <w:rFonts w:hAnsi="宋体" w:eastAsia="仿宋_GB2312" w:cs="宋体"/>
          <w:color w:val="auto"/>
          <w:kern w:val="0"/>
          <w:sz w:val="30"/>
          <w:szCs w:val="30"/>
        </w:rPr>
      </w:pPr>
    </w:p>
    <w:p w14:paraId="3DB1725E">
      <w:pPr>
        <w:spacing w:line="540" w:lineRule="exact"/>
        <w:rPr>
          <w:rFonts w:hAnsi="宋体" w:eastAsia="仿宋_GB2312" w:cs="宋体"/>
          <w:color w:val="auto"/>
          <w:kern w:val="0"/>
          <w:sz w:val="30"/>
          <w:szCs w:val="30"/>
        </w:rPr>
      </w:pPr>
    </w:p>
    <w:p w14:paraId="5B7D51AB">
      <w:pPr>
        <w:spacing w:line="700" w:lineRule="exact"/>
        <w:jc w:val="left"/>
        <w:rPr>
          <w:rFonts w:hAnsi="宋体" w:eastAsia="仿宋_GB2312" w:cs="宋体"/>
          <w:color w:val="auto"/>
          <w:kern w:val="0"/>
          <w:sz w:val="36"/>
          <w:szCs w:val="36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 xml:space="preserve">     </w:t>
      </w:r>
    </w:p>
    <w:p w14:paraId="71B2FEEF">
      <w:pPr>
        <w:spacing w:line="700" w:lineRule="exact"/>
        <w:ind w:firstLine="900" w:firstLineChars="250"/>
        <w:jc w:val="left"/>
        <w:rPr>
          <w:rFonts w:hAnsi="宋体" w:eastAsia="仿宋_GB2312" w:cs="宋体"/>
          <w:color w:val="auto"/>
          <w:kern w:val="0"/>
          <w:sz w:val="36"/>
          <w:szCs w:val="36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>项目名称：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社区经费</w:t>
      </w:r>
    </w:p>
    <w:p w14:paraId="7AEB13A7">
      <w:pPr>
        <w:spacing w:line="540" w:lineRule="exact"/>
        <w:ind w:firstLine="567"/>
        <w:rPr>
          <w:rFonts w:ascii="楷体" w:hAnsi="楷体" w:eastAsia="楷体"/>
          <w:b/>
          <w:bCs/>
          <w:color w:val="auto"/>
          <w:spacing w:val="-4"/>
          <w:sz w:val="32"/>
          <w:szCs w:val="32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 xml:space="preserve">  实施单位（公章）：</w:t>
      </w:r>
      <w:r>
        <w:rPr>
          <w:rStyle w:val="18"/>
          <w:rFonts w:hint="eastAsia" w:ascii="楷体" w:hAnsi="楷体" w:eastAsia="楷体"/>
          <w:color w:val="auto"/>
          <w:spacing w:val="-4"/>
          <w:sz w:val="28"/>
          <w:szCs w:val="28"/>
        </w:rPr>
        <w:t>沙依巴克区友好北路街道办事处本级</w:t>
      </w:r>
    </w:p>
    <w:p w14:paraId="275DDF30">
      <w:pPr>
        <w:spacing w:line="540" w:lineRule="exact"/>
        <w:ind w:firstLine="900" w:firstLineChars="250"/>
        <w:rPr>
          <w:rFonts w:ascii="楷体" w:hAnsi="楷体" w:eastAsia="楷体"/>
          <w:b/>
          <w:bCs/>
          <w:color w:val="auto"/>
          <w:spacing w:val="-4"/>
          <w:sz w:val="28"/>
          <w:szCs w:val="28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>主管部门（公章）：</w:t>
      </w:r>
      <w:r>
        <w:rPr>
          <w:rStyle w:val="18"/>
          <w:rFonts w:hint="eastAsia" w:ascii="楷体" w:hAnsi="楷体" w:eastAsia="楷体"/>
          <w:color w:val="auto"/>
          <w:spacing w:val="-4"/>
          <w:sz w:val="28"/>
          <w:szCs w:val="28"/>
        </w:rPr>
        <w:t>沙依巴克区友好北路街道办事处本级</w:t>
      </w:r>
    </w:p>
    <w:p w14:paraId="5747EF1B">
      <w:pPr>
        <w:spacing w:line="540" w:lineRule="exact"/>
        <w:ind w:firstLine="900" w:firstLineChars="250"/>
        <w:rPr>
          <w:rFonts w:ascii="楷体" w:hAnsi="楷体" w:eastAsia="楷体"/>
          <w:b/>
          <w:bCs/>
          <w:color w:val="auto"/>
          <w:spacing w:val="-4"/>
          <w:sz w:val="32"/>
          <w:szCs w:val="32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>项目负责人（签章）：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李新玲</w:t>
      </w:r>
    </w:p>
    <w:p w14:paraId="7DACC143">
      <w:pPr>
        <w:spacing w:line="540" w:lineRule="exact"/>
        <w:ind w:left="273" w:firstLine="567"/>
        <w:rPr>
          <w:rStyle w:val="18"/>
          <w:rFonts w:ascii="楷体" w:hAnsi="楷体" w:eastAsia="楷体"/>
          <w:color w:val="auto"/>
          <w:spacing w:val="-4"/>
          <w:sz w:val="32"/>
          <w:szCs w:val="32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>填报时间：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2024年05月22日</w:t>
      </w:r>
    </w:p>
    <w:p w14:paraId="677F1B1A">
      <w:pPr>
        <w:spacing w:line="700" w:lineRule="exact"/>
        <w:ind w:firstLine="708" w:firstLineChars="236"/>
        <w:jc w:val="left"/>
        <w:rPr>
          <w:rFonts w:hAnsi="宋体" w:eastAsia="仿宋_GB2312" w:cs="宋体"/>
          <w:color w:val="auto"/>
          <w:kern w:val="0"/>
          <w:sz w:val="30"/>
          <w:szCs w:val="30"/>
        </w:rPr>
      </w:pPr>
    </w:p>
    <w:p w14:paraId="123FA6B7">
      <w:pPr>
        <w:spacing w:line="540" w:lineRule="exact"/>
        <w:rPr>
          <w:rStyle w:val="18"/>
          <w:rFonts w:ascii="黑体" w:hAnsi="黑体" w:eastAsia="黑体"/>
          <w:b w:val="0"/>
          <w:color w:val="auto"/>
          <w:spacing w:val="-4"/>
          <w:sz w:val="32"/>
          <w:szCs w:val="32"/>
        </w:rPr>
      </w:pPr>
    </w:p>
    <w:p w14:paraId="2EEB6E08">
      <w:pPr>
        <w:spacing w:line="540" w:lineRule="exact"/>
        <w:ind w:firstLine="640"/>
        <w:rPr>
          <w:rStyle w:val="18"/>
          <w:rFonts w:ascii="黑体" w:hAnsi="黑体" w:eastAsia="黑体"/>
          <w:b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一、基本情况</w:t>
      </w:r>
    </w:p>
    <w:p w14:paraId="18E9018D">
      <w:pPr>
        <w:spacing w:line="540" w:lineRule="exact"/>
        <w:ind w:firstLine="567"/>
        <w:rPr>
          <w:rStyle w:val="18"/>
          <w:rFonts w:ascii="楷体" w:hAnsi="楷体" w:eastAsia="楷体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（一）项目概况</w:t>
      </w:r>
    </w:p>
    <w:p w14:paraId="3DED2D21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一、基本情况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（一）项目概况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1、项目背景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沙依巴克区人大会议会议通过，2023年年初预算下达，为进一步强化片区综合治理，保障管委会各项工作的顺利开展，特成立该项目，计划为管委会后勤保障工作、城区管理工作、治安巡逻维护稳定工作提供经费</w:t>
      </w:r>
      <w:bookmarkStart w:id="0" w:name="_GoBack"/>
      <w:bookmarkEnd w:id="0"/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保障和支持。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2、项目主要内容：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主要内容：根据社区综合治理后勤保障支出需求，保障管委会各社区的用餐支出。保障管委会社区工作人员每日用餐安全,每月按照食堂实际支出予以补助，为综合整治提供有力的后勤保障。进一步加强城市社区建设，发挥社区的战斗堡垒作用，保障了社区工作人员的就餐及运行，保证社区更好地做好法制教育、文化宣传、计划生育、社会救助、社会治安、服务群众等基层服务工作，增强社区成员的归属感和凝聚力，促进社会的和谐发展。完善工作人员的工作环境，提升在城市管理综合服务中的能力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项目实施情况：项目目前已经完成实际设立的目标，项目在实施过程中严格按照目标设立的各阶段任务进行开展工作，在前期立项过程中严格把质量关，建立安全防护机制，保证项目实施各阶段安全顺利进行。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3、资金投入和使用情况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（1）资金投入情况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该项目年初预算数570.00万元，全年预算数457.36万元，实际总投入457.36万元，该项目资金已全部落实到位，资金来源为区本级资金。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（2）资金使用情况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该项目年初预算数570万元，全年预算数457.36万元,，全年执行数457.36万元，预算执行率为100%，主要用于：保证社区更好地做好法制教育、文化宣传、计划生育、社会救助、社会治安、服务群众等基层服务工作，增强社区成员的归属感和凝聚力，促进社会的和谐发展。完善工作人员的工作环境，提升在城市管理综合服务中的能力。</w:t>
      </w:r>
    </w:p>
    <w:p w14:paraId="4EE91996">
      <w:pPr>
        <w:spacing w:line="540" w:lineRule="exact"/>
        <w:ind w:firstLine="567"/>
        <w:rPr>
          <w:rStyle w:val="18"/>
          <w:rFonts w:ascii="楷体" w:hAnsi="楷体" w:eastAsia="楷体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（二）项目绩效目标</w:t>
      </w:r>
    </w:p>
    <w:p w14:paraId="5F877E16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（二）项目绩效目标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1、总体目标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根据社区综合治理后勤保障支出需求，保障管委会各社区的用餐支出。保障管委会社区工作人员每日用餐安全,每月按照食堂实际支出予以补助，为综合整治提供有力的后勤保障。进一步加强城市社区建设，发挥社区的战斗堡垒作用，保障了社区工作人员的就餐及运行，保证社区更好地做好法制教育、文化宣传、计划生育、社会救助、社会治安、服务群众等基层服务工作，增强社区成员的归属感和凝聚力，促进社会的和谐发展。完善工作人员的工作环境，提升在城市管理综合服务中的能力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2、阶段性目标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保障管委会社区工作人员每日用餐安全,每月按照食堂实际支出予以补助，为综合整治提供有力的后勤保障。进一步加强城市社区建设，发挥社区的战斗堡垒作用，保障社区工作人员的就餐及运行，保证社区更好地做好法制教育、文化宣传、计划生育、社会救助、社会治安、服务群众等基层服务工作，增强社区成员的归属感和凝聚力，促进社会的和谐发展。完善工作人员的工作环境，提升在城市管理综合服务中的能力。</w:t>
      </w:r>
    </w:p>
    <w:p w14:paraId="6BFCEFBA">
      <w:pPr>
        <w:spacing w:line="540" w:lineRule="exact"/>
        <w:ind w:firstLine="640"/>
        <w:rPr>
          <w:rStyle w:val="18"/>
          <w:rFonts w:ascii="黑体" w:hAnsi="黑体" w:eastAsia="黑体"/>
          <w:b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二、绩效评价工作开展情况</w:t>
      </w:r>
    </w:p>
    <w:p w14:paraId="61859553">
      <w:pPr>
        <w:spacing w:line="540" w:lineRule="exact"/>
        <w:ind w:firstLine="567" w:firstLineChars="181"/>
        <w:rPr>
          <w:rStyle w:val="18"/>
          <w:rFonts w:ascii="楷体" w:hAnsi="楷体" w:eastAsia="楷体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（一）绩效评价目的、对象和范围</w:t>
      </w:r>
    </w:p>
    <w:p w14:paraId="5CBE7A93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二、绩效评价工作开展情况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（一）绩效评价目的、对象和范围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1、绩效评价的目的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财政支出绩效评价运用科学、规范的绩效评价方法，制定统一的评价标准，使财政资金得到事前、事中和事后多方面的控制。财政支出绩效评价贯穿于财政支出安排和实施的全过程，是对财政支出效益、管理水平、投入风险等方面的综合评价；是发挥财政调控功能、提高财政资金安排科学性、促进财政支持社会经济目标实现的重要保证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（1）项目在实施前向项目负责人提供财政支出绩效方面的资金管理信息，促进项目支出严格按照资金管理规定进行。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（2）项目绩效管理财政支出运行提供及时、有效的信息。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综合来看，通过开展有效的财政支出绩效评价管理，全面了解该项目预算编制合理性、资金使用合规性、项目管理的规范性、项目目标的实现情况、服务对象的满意度等，通过本次项目绩效评价来总结经验和教训，促进项目成果转化和应用，为今后类似项目的长效管理，提供可行性参考建议。也为下一年预算编制与评审提供充分有效的依据，以达到改进预算管理、控制节约成本，优化资源配置、提高预算资金使用效益的目的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2、绩效评价的对象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社区经费项目所包含的全部项目内容。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3、绩效评价的范围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本次评价从项目决策（包括绩效目标、决策过程）、项目管理（包括项目资金、项目实施）、项目产出（包括项目产出数量、产出质量、产出时效和产出成本）项目效益四个维度对社区经费项目进行评价，评价核心为专项资金的支出完成情况和效果。</w:t>
      </w:r>
    </w:p>
    <w:p w14:paraId="1271490C">
      <w:pPr>
        <w:spacing w:line="540" w:lineRule="exact"/>
        <w:ind w:firstLine="567"/>
        <w:rPr>
          <w:rStyle w:val="18"/>
          <w:rFonts w:ascii="楷体" w:hAnsi="楷体" w:eastAsia="楷体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（二）绩效评价原则、评价指标体系、评价方法、评价标准</w:t>
      </w:r>
    </w:p>
    <w:p w14:paraId="1F0C1D90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（二）绩效评价原则、评价指标体系（详情见表1）、评价方法、评价标准。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1、绩效评价原则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本次项目绩效评价遵循以下基本原则：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（1）科学公正。绩效评价应当运用科学合理的方法，按照规范的程序，对项目绩效进行客观、公正的反映。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（2）统筹兼顾。单位自评、部门评价和财政评价应职责明确，各有侧重，相互衔接。单位自评应由项目单位自主实施，即“谁支出、谁自评”。部门评价和财政评价应在单位自评的基础上开展。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（3）激励约束。绩效评价结果应与预算安排、政策调整、改进管理实质性挂钩，体现奖优罚劣和激励相容导向，有效要安排、低效要压减、无效要问责。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（4）公开透明。绩效评价结果应依法依规公开，并自觉接受社会监督。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2、评价指标体系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绩效评价框架是开展绩效评价的核心。绩效评价框架包括评价准则、关键评价问题、评价指标、数据来源、数据收集方法等。指标体系建立过程如下：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（1）确定评价指标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采用层次分析法，建立评价指标体系。绩效评价将指标分为项目决策指标、项目过程指标、项目产出指标、项目效益指标四个维度，最终形成一个由多个相互联系的指标组成的多层次指标体系。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（2）确定权重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确定各个指标相对于项目总体绩效的权重分值。在绩效评价指标体系中，项目决策权重为20分，项目过程权重为20分，项目产出权重为40分，项目效益权重为20分。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（3）确定指标标准值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指标标准值是绩效评价指标的尺度，既要反映同类项目的先进水平，又要符合项目的实际绩效水平。具体采用计划标准等确定此次绩效评价指标标准值。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绩效评价总分值100分，根据综合评分结果，评价计分90分-100分（含90分）对应的评分结果级别为优，80-90分（含80分）对应的评分结果级别为良，60-80分（含60分）对应的评分结果级别为中，60分以下对应的评分结果级别为差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具体评价指标体系详情见附件1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3、绩效评价方法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绩效评价从项目决策、项目过程、项目产出、项目效益四个维度进行评价。评价对象为项目目标实施情况，  评价核心为资金的支出完成情况和项目的产出效益。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本次评价指标中，既有定性指标又有定量指标，各类指标因考核内容不同和客观标准不同存在较大差异，因此核定具体指标时采用了不同方法，具体评价方法如下：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（1）比较法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通过对绩效目标与实施效果、历史与当期情况，综合分析绩效目标实现程度。对项目最终验收情况与年度绩效目标对比、预算资金执行情况等相关因素进行比较。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（2）因素分析法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通过综合分析影响绩效目标实现、实施效果的内外因素，评价绩效目标实现程度。通过对项目的开展情况、项目产出数量、成本控制、资金拨付文件及自评报告等相关资料的收集和审核，综合分析各因素对绩效目标实现的影响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4、评价标准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绩效评价标准通常包括计划标准、行业标准、历史标准等，用于对绩效指标完成情况进行比较、分析、评价。本次评价主要采用了计划标准。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计划标准：指以预先制定的目标、计划、预算、定额等作为评价标准。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行业标准：指参照国家公布的行业指标数据制定的评价标准。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历史标准：指参照历史数据制定的评价标准，为体现绩效改进的原则，在可实现的条件下应当确定相对较高的评价标准。</w:t>
      </w:r>
    </w:p>
    <w:p w14:paraId="2ED6ECBD">
      <w:pPr>
        <w:spacing w:line="540" w:lineRule="exact"/>
        <w:ind w:firstLine="567" w:firstLineChars="181"/>
        <w:rPr>
          <w:rStyle w:val="18"/>
          <w:rFonts w:ascii="楷体" w:hAnsi="楷体" w:eastAsia="楷体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（三）绩效评价工作过程</w:t>
      </w:r>
    </w:p>
    <w:p w14:paraId="0644D6D2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（三）绩效评价工作过程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1.前期准备。首先成立评价工作组，开展前期调研；其次明确项目绩效目标，设计绩效评价指标体系并确定绩效评价方法；接着确定现场和非现场评价范围，设计资料清单；最后制定评价实施方案并进行论证。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.组织实施。制定绩效评价工作方案，具体包括项目概况、评价思路、方法手段、组织实施、进度安排等。收集项目立项依据、相关会议纪要、实施方案、财政资金分配方案、支付管理情况等相关评价资料并进行梳理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3.分析评价。根据收集梳理的资料围绕项目立项、资金落实、业务管理、财务管理、项目产出、项目效益等内容，对照已确定的绩效评价指标进行详细全面的分析评价，逐项打分并形成绩效评价最终结果。</w:t>
      </w:r>
    </w:p>
    <w:p w14:paraId="19F1E6B2">
      <w:pPr>
        <w:spacing w:line="540" w:lineRule="exact"/>
        <w:ind w:firstLine="640"/>
        <w:rPr>
          <w:rStyle w:val="18"/>
          <w:rFonts w:ascii="黑体" w:hAnsi="黑体" w:eastAsia="黑体"/>
          <w:b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三、综合评价情况及评价结论</w:t>
      </w:r>
    </w:p>
    <w:p w14:paraId="702BFB2D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三、综合评价情况及评价结论（附相关评分表）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（一）评价情况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总体组织规范，在项目实施过程做到认真履职，监督到位。按照相关制度的要求，项目负责人对项目绩效监控执行情况进行跟踪监督，有效完成了本项目的工作目标，确保资金使用安全和最大效益的发挥，保障项目如期按要求完成。规范了项目档案资料的整理。项目的实施达到项目预期效果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（二）评价结论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运用绩效评价组制定的评价指标体系以及财政部《项目支出绩效评价管理办法》（财预〔2020〕10号）文件的评分标准，通过数据采集、问卷调查及访谈等方式，对本项目进行客观评价，最终评分结果：总得分为100分，属于“优”。其中，项目决策类指标权重为20分，得分为20分，得分率为100%。项目过程类指标权重为20分，得分为20分，得分率为100%。项目产出类指标权重为40分，得分为40分，得分率为100%。项目效益类指标权重为20分，得分为20分，得分率为100%。具体打分情况详见：附件1综合评分表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表1综合评分表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一级指标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  <w:t>权重分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  <w:t>得分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项目决策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  <w:t>20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  <w:t>20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项目过程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  <w:t>20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  <w:t>20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项目产出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  <w:t>40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  <w:t>40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项目效益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  <w:t>20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  <w:t>20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合计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  <w:t>100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  <w:t>100</w:t>
      </w:r>
    </w:p>
    <w:p w14:paraId="624FD63F">
      <w:pPr>
        <w:spacing w:line="540" w:lineRule="exact"/>
        <w:ind w:firstLine="640"/>
        <w:rPr>
          <w:rStyle w:val="18"/>
          <w:rFonts w:ascii="黑体" w:hAnsi="黑体" w:eastAsia="黑体"/>
          <w:color w:val="auto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四、绩效评价指标分析</w:t>
      </w:r>
      <w:r>
        <w:rPr>
          <w:rStyle w:val="18"/>
          <w:rFonts w:hint="eastAsia" w:ascii="黑体" w:hAnsi="黑体" w:eastAsia="黑体"/>
          <w:color w:val="auto"/>
        </w:rPr>
        <w:t xml:space="preserve"> </w:t>
      </w:r>
    </w:p>
    <w:p w14:paraId="2BDB141E">
      <w:pPr>
        <w:spacing w:line="540" w:lineRule="exact"/>
        <w:ind w:firstLine="567" w:firstLineChars="181"/>
        <w:rPr>
          <w:rFonts w:ascii="楷体" w:hAnsi="楷体" w:eastAsia="楷体"/>
          <w:b/>
          <w:color w:val="auto"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color w:val="auto"/>
          <w:spacing w:val="-4"/>
          <w:sz w:val="32"/>
          <w:szCs w:val="32"/>
        </w:rPr>
        <w:t>（一）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项目决策情况</w:t>
      </w:r>
    </w:p>
    <w:p w14:paraId="0E9F8597">
      <w:pPr>
        <w:tabs>
          <w:tab w:val="center" w:pos="4295"/>
        </w:tabs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四、绩效评价指标分析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（一）项目决策情况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项目决策类指标包括项目立项、绩效目标和资金投入三方面的内容，由6个三级指标构成，权重分值为20分，实际得分20分，得分率为100%。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1.项目立项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（1）立项依据充分性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该项目立项符合国家相关法律法规及发展政策，符合行业规划要求，围绕本年度工作重点和工作计划制定经费预算，属于公共财政支持范围。本项目与部门内部其他相关项目不重复。部门发展规划及职能文件等归档完整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（2）立项程序规范性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申请、设立过程符合相关要求，严格按照审批流程准备符合要求的文件、材料；根据决算依据编制工作计划和经费预算，经过与部门项目分管领导沟通、筛选确定经费预算计划，确定最终预算方案。项目的审批文件、材料符合相关要求，项目事前经过必要的专家论证、风险评估、绩效评估、集体决策，保障了程序的规范性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2.绩效目标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（1）绩效目标合理性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年初结合实际工作内容设定绩效目标，绩效目标依据充分，符合客观实际，能反映和考核项目绩效目标与项目实施的相符情况，依据绩效目标设定的绩效指标清晰、细化、可衡量，能反映和考核项目绩效目标的明细化情况。绩效目标表经过审核，绩效目标与实际工作内容具有相关性，预算与确定的项目投资额相匹配，对项目任务进行了详细分解。项目预期产出效益及效果符合正常的业绩水平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（2）绩效指标明确性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项目设置了明确的预期产出效益和效果，将绩效目标细化分解为具体的绩效指标，绩效目标与项目目标任务数相对应，绩效目标设定的绩效指标清晰、细化、可衡量。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3.资金投入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（1）预算编制科学性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预算编制经过科学论证，提供充分的测算依据佐证资料，预算内容与项目内容相匹配。项目投资额与工作任务相匹配。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（2）资金分配合理性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资金分配额度与项目单位实际工作内容相适应，资金分配额度合理，资金分配依据充分。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</w:r>
    </w:p>
    <w:p w14:paraId="18D4984C">
      <w:pPr>
        <w:spacing w:line="540" w:lineRule="exact"/>
        <w:ind w:firstLine="567" w:firstLineChars="181"/>
        <w:rPr>
          <w:rStyle w:val="18"/>
          <w:rFonts w:ascii="楷体" w:hAnsi="楷体" w:eastAsia="楷体"/>
          <w:color w:val="auto"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color w:val="auto"/>
          <w:spacing w:val="-4"/>
          <w:sz w:val="32"/>
          <w:szCs w:val="32"/>
        </w:rPr>
        <w:t>（二）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项目过程情况</w:t>
      </w:r>
    </w:p>
    <w:p w14:paraId="2EE3560E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（二）项目过程情况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项目过程类指标包括资金管理和组织实施两方面的内容，由5个三级指标构成，权重分值为20分，实际得分20分，得分率为100%。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项目资金使用符合相关的财务管理制度规定，能够反映和考核项目资金的规范运行情况；项目实施单位的财务和业务管理制度健全，能够反映和考核财务和业务管理制度对项目顺利实施的保障情况。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1.资金管理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（1）资金到位率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本项目总投资457.36万元，财政资金及时足额到位，到位率100%，预算资金按计划进度执行。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（2）预算执行率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预算编制较为详细，项目资金支出总体能够按照预算执行，预算资金支出457.36万元，预算执行率为100%。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（3）资金使用合规性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严格按照预期绩效目标执行预算资金。制定了相关的制度和管理规定，对项目经费使用进行规范管理，财务制度健全、执行严格。资金的拨付有完整的审批程序和手续，在项目资金拨付和使用过程中，为确保项目资金的安全性，提高项目资金使用效率，严格遵循项目资金的拨付程序，认真审核项目实施各阶段的相关材料和手续，根据项目实施进展情况拨付资金。资金使用符合该项目的立项批复。资金不存在截留、挤占、挪用、虚列支出等情况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2.组织实施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（1）管理制度健全性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制定了相关管理办法，对财政资金进行严格管理，做到专款专用，项目资金使用符合相关的财务管理制度规定，能够反映和考核项目资金的规范运行情况；项目实施单位的财务和业务管理制度健全，能够反映和考核财务和业务管理制度对项目顺利实施的保障情况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（2）制度执行有效性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对资金使用的合法合规性进行监督，年末对资金使用效果进行评价。项目管理、实施人员落实到位，有效按照计划执行。项目执行情况等资料齐全，项目相关手续完备，及时进行归档。</w:t>
      </w:r>
    </w:p>
    <w:p w14:paraId="626924A3">
      <w:pPr>
        <w:spacing w:line="540" w:lineRule="exact"/>
        <w:ind w:firstLine="567" w:firstLineChars="181"/>
        <w:rPr>
          <w:rFonts w:ascii="楷体" w:hAnsi="楷体" w:eastAsia="楷体"/>
          <w:b/>
          <w:color w:val="auto"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color w:val="auto"/>
          <w:spacing w:val="-4"/>
          <w:sz w:val="32"/>
          <w:szCs w:val="32"/>
        </w:rPr>
        <w:t>（三）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项目产出情况</w:t>
      </w:r>
    </w:p>
    <w:p w14:paraId="76AF5AFA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（三）项目产出情况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项目产出类指标包括产出数量、产出质量、产出时效、产出成本四方面的内容，由9个三级指标构成，权重分为40分，实际得分40分，得分率为100%。具体产出指标完成情况如下：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①数量指标：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指标1：经费保障社区个数，指标值：11个，实际完成值：11个，指标完成率100%，无偏差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指标2：购置办公用品批次，指标值：&gt;=6批次，实际完成值：6批次，指标完成率100%，无偏差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指标3：经费保障车辆数，指标值：14辆，实际完成值：14辆，指标完成率100%，无偏差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②质量指标：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指标1：政府采购覆盖率，指标值：&gt;=50%，实际完成值：50%，指标完成率100%。无偏差。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指标2：物品购置合格率，指标值：100%，实际完成值：100%，指标完成率100%。无偏差。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指标3：社区疫情防控物品保障率，指标值：100%，实际完成值：100%，指标完成率100%。无偏差。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③时效指标：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指标1：资金支付及时率，指标值：&gt;=90%，实际完成值：90%，指标完成率100%。无偏差。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指标2：疫情物资保障及时率，指标值：&gt;=90%，实际完成值：100%，指标完成率111.11%。无偏差。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④成本指标：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指标1：平均每个社区支出成本，指标值：&lt;=41.58万元，实际完成值：41.58万元，指标完成率100%。偏差原因：无偏差。</w:t>
      </w:r>
    </w:p>
    <w:p w14:paraId="404219E3">
      <w:pPr>
        <w:spacing w:line="540" w:lineRule="exact"/>
        <w:ind w:firstLine="567" w:firstLineChars="181"/>
        <w:rPr>
          <w:rFonts w:ascii="楷体" w:hAnsi="楷体" w:eastAsia="楷体"/>
          <w:b/>
          <w:color w:val="auto"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color w:val="auto"/>
          <w:spacing w:val="-4"/>
          <w:sz w:val="32"/>
          <w:szCs w:val="32"/>
        </w:rPr>
        <w:t>（四）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项目效益情况</w:t>
      </w:r>
    </w:p>
    <w:p w14:paraId="5CE82706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（四）项目效益情况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项目效益类指标包括项目实施效益和满意度两方面的内容，由4个三级指标构成，权重分为20分，实际得分20分，得分率为100%。具体效益指标及满意度指标完成情况如下：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1.实施效益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①经济效益指标：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2023年我单位该项目不涉及此条指标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②社会效益指标：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指标1：保障社区正常运转，加强社区建设，提高工作人员主动性、积极性，指标值：有效保障，实际完成值：有效保障，指标完成率100%。无偏差。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指标2：充分发挥了社区在社会稳定、服务群众和城市管理中的重要作用，指标值：充分发挥，实际完成值：充分发挥，指标完成率100%。无偏差。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③生态效益指标：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2023年我单位该项目不涉及此条指标</w:t>
      </w:r>
    </w:p>
    <w:p w14:paraId="57FD828A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2.满意度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满意度指标：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指标1：社区干部满意度，指标值：&gt;=95%，实际完成值：95%，指标完成率100%。无偏差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指标2：辖区居民满意度，指标值：&gt;=95%，实际完成值：95%，指标完成率100%。无偏差</w:t>
      </w:r>
    </w:p>
    <w:p w14:paraId="3385D9A6">
      <w:pPr>
        <w:spacing w:line="540" w:lineRule="exact"/>
        <w:ind w:firstLine="567"/>
        <w:rPr>
          <w:rStyle w:val="18"/>
          <w:rFonts w:ascii="楷体" w:hAnsi="楷体" w:eastAsia="楷体"/>
          <w:color w:val="auto"/>
          <w:spacing w:val="-4"/>
          <w:sz w:val="32"/>
          <w:szCs w:val="32"/>
        </w:rPr>
      </w:pPr>
    </w:p>
    <w:p w14:paraId="75C28D89">
      <w:pPr>
        <w:spacing w:line="540" w:lineRule="exact"/>
        <w:ind w:firstLine="640"/>
        <w:rPr>
          <w:rStyle w:val="18"/>
          <w:rFonts w:ascii="黑体" w:hAnsi="黑体" w:eastAsia="黑体"/>
          <w:b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五、主要经验及做法、存在的问题及原因分析</w:t>
      </w:r>
    </w:p>
    <w:p w14:paraId="43BCB296">
      <w:pPr>
        <w:spacing w:line="540" w:lineRule="exact"/>
        <w:ind w:firstLine="567"/>
        <w:rPr>
          <w:rFonts w:ascii="仿宋_GB2312" w:eastAsia="仿宋_GB2312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主要经验及做法、存在的问题及原因分析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（一）主要经验及做法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为确保项目顺利进行，提前做好项目规划，将所列计划再三审核。在项目实施过程中做好定期监督检查，严格按照项目管理规范进行，在项目资金使用过程中，严格落实把关，按照项目资金使用范围做好审核工作，让项目资金落于实处。在项目完成后，做好受益群众民意调查及项目防范工作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严格坚持先做事、后验收、再拨付的原则，基本杜绝了资金被挤占和挪用现象的发生，跟踪检查到位。财政、纪检、监察等职能部门全面参与专项资金事前、事中和事后全过程的监管。在监督环节上，实行关口前移，从事后监督管理转向事前审核，事中监督和事后检查稽核相结合的监督制度上来，形成多环节全过程的监督管理格局，尽量早发现问题，早解决问题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（二）存在的问题及原因分析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.相关绩效管理方面专业知识的系统性学习有待加强。各项指标的设置要进一步优化、完善，主要在细化、量化上改进。在绩效自评过程中，由于部分人员缺乏相关绩效管理专业知识，自评价工作还存在自我审定的局限性，影响评价质量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2.因轮岗、调动、等因素使我单位绩效工作人员流动频繁，造成了工作衔接不到位的情况。</w:t>
      </w:r>
    </w:p>
    <w:p w14:paraId="391BFB09">
      <w:pPr>
        <w:spacing w:line="540" w:lineRule="exact"/>
        <w:ind w:firstLine="640"/>
        <w:rPr>
          <w:rStyle w:val="18"/>
          <w:rFonts w:ascii="黑体" w:hAnsi="黑体" w:eastAsia="黑体"/>
          <w:b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六、有关建议</w:t>
      </w:r>
    </w:p>
    <w:p w14:paraId="017A5A3F">
      <w:pPr>
        <w:spacing w:line="540" w:lineRule="exact"/>
        <w:ind w:firstLine="567"/>
        <w:rPr>
          <w:rStyle w:val="18"/>
          <w:rFonts w:ascii="楷体" w:hAnsi="楷体" w:eastAsia="楷体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有关建议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1.多进行有关绩效管理工作方面的培训。积极组织第三方开展绩效管理工作培训，进一步夯实业务基础，提高我单位绩效人员水平。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2.专门设定对绩效工作人员定职、定岗、定责等相关制度措施，进一步提升我单位绩效管理工作业务水平，扎实做好绩效管理工作。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.进一步规范项目建设的程序。项目前期做好可行性研究报告，更加细化实施方案，严格执行资金管理办法和财政资金管理制度，严格按照项目实施方案、招投标管理办法等稳步推进工作，各部门单位根据自己项目的特点进行总结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4.进一步完善项目评价过程中有关数据和资料的收集、整理、审核及分析。项目启动时同步做好档案的归纳与整理，及时整理、收集、汇总，健全档案资料。项目后续管理有待进一步加强和跟踪。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5.进一步加强对绩效管理工作的组织领导，提高对预算绩效管理工作重要性的认识，总结经验查找问题，抓紧研究制定更全面更完善的绩效评价管理办法。结合食品安全考核建立绩效工作考核制度，加大全局对全面实施预算绩效管理和绩效管理工作的学习力度，让“花钱必问效，无效必问责”的理念深入工作每个环节。</w:t>
      </w:r>
    </w:p>
    <w:p w14:paraId="4DE4CB6C">
      <w:pPr>
        <w:spacing w:line="540" w:lineRule="exact"/>
        <w:ind w:firstLine="640"/>
        <w:rPr>
          <w:rStyle w:val="18"/>
          <w:rFonts w:ascii="黑体" w:hAnsi="黑体" w:eastAsia="黑体"/>
          <w:b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七、其他需要说明的问题</w:t>
      </w:r>
    </w:p>
    <w:p w14:paraId="5D5CD257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本项目无其他需说明的问题。</w:t>
      </w:r>
    </w:p>
    <w:p w14:paraId="4CFE2C52">
      <w:pPr>
        <w:spacing w:line="540" w:lineRule="exact"/>
        <w:ind w:firstLine="567"/>
        <w:rPr>
          <w:rStyle w:val="18"/>
          <w:rFonts w:ascii="仿宋" w:hAnsi="仿宋" w:eastAsia="仿宋"/>
          <w:b w:val="0"/>
          <w:color w:val="auto"/>
          <w:spacing w:val="-4"/>
          <w:sz w:val="32"/>
          <w:szCs w:val="32"/>
        </w:rPr>
      </w:pPr>
    </w:p>
    <w:p w14:paraId="4DF72206">
      <w:pPr>
        <w:spacing w:line="540" w:lineRule="exact"/>
        <w:ind w:firstLine="567"/>
        <w:rPr>
          <w:rStyle w:val="18"/>
          <w:rFonts w:ascii="仿宋" w:hAnsi="仿宋" w:eastAsia="仿宋"/>
          <w:b w:val="0"/>
          <w:color w:val="auto"/>
          <w:spacing w:val="-4"/>
          <w:sz w:val="32"/>
          <w:szCs w:val="32"/>
        </w:rPr>
      </w:pPr>
    </w:p>
    <w:p w14:paraId="1CE13106">
      <w:pPr>
        <w:spacing w:line="540" w:lineRule="exact"/>
        <w:ind w:firstLine="567"/>
        <w:rPr>
          <w:rStyle w:val="18"/>
          <w:rFonts w:ascii="仿宋" w:hAnsi="仿宋" w:eastAsia="仿宋"/>
          <w:b w:val="0"/>
          <w:color w:val="auto"/>
          <w:spacing w:val="-4"/>
          <w:sz w:val="32"/>
          <w:szCs w:val="32"/>
        </w:rPr>
      </w:pPr>
    </w:p>
    <w:p w14:paraId="06227BCA">
      <w:pPr>
        <w:spacing w:line="540" w:lineRule="exact"/>
        <w:ind w:firstLine="567"/>
        <w:rPr>
          <w:rStyle w:val="18"/>
          <w:rFonts w:ascii="仿宋" w:hAnsi="仿宋" w:eastAsia="仿宋"/>
          <w:b w:val="0"/>
          <w:color w:val="auto"/>
          <w:spacing w:val="-4"/>
          <w:sz w:val="32"/>
          <w:szCs w:val="32"/>
        </w:rPr>
      </w:pPr>
    </w:p>
    <w:p w14:paraId="73F3A83B">
      <w:pPr>
        <w:spacing w:line="540" w:lineRule="exact"/>
        <w:ind w:firstLine="567"/>
        <w:rPr>
          <w:rStyle w:val="18"/>
          <w:rFonts w:ascii="仿宋" w:hAnsi="仿宋" w:eastAsia="仿宋"/>
          <w:b w:val="0"/>
          <w:color w:val="auto"/>
          <w:spacing w:val="-4"/>
          <w:sz w:val="32"/>
          <w:szCs w:val="32"/>
        </w:rPr>
      </w:pPr>
    </w:p>
    <w:sectPr>
      <w:footerReference r:id="rId3" w:type="default"/>
      <w:pgSz w:w="11906" w:h="16838"/>
      <w:pgMar w:top="1440" w:right="1558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2003363"/>
    </w:sdtPr>
    <w:sdtContent>
      <w:p w14:paraId="24F5BCB1"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254A9D2"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ZGRhY2RiODFjZjAzZDFlMmZkYzIxMjU0YWNlNWYifQ=="/>
  </w:docVars>
  <w:rsids>
    <w:rsidRoot w:val="00CA6457"/>
    <w:rsid w:val="000048AA"/>
    <w:rsid w:val="00056465"/>
    <w:rsid w:val="000B0B98"/>
    <w:rsid w:val="00102DFF"/>
    <w:rsid w:val="00121AE4"/>
    <w:rsid w:val="00146AAD"/>
    <w:rsid w:val="001B3A40"/>
    <w:rsid w:val="00291BC0"/>
    <w:rsid w:val="00311DBE"/>
    <w:rsid w:val="003A1721"/>
    <w:rsid w:val="004366A8"/>
    <w:rsid w:val="00491B24"/>
    <w:rsid w:val="00502BA7"/>
    <w:rsid w:val="005162F1"/>
    <w:rsid w:val="00535153"/>
    <w:rsid w:val="00554F82"/>
    <w:rsid w:val="0056390D"/>
    <w:rsid w:val="005719B0"/>
    <w:rsid w:val="005D10D6"/>
    <w:rsid w:val="007E3CE9"/>
    <w:rsid w:val="0083370B"/>
    <w:rsid w:val="00855E3A"/>
    <w:rsid w:val="0091457F"/>
    <w:rsid w:val="00922CB9"/>
    <w:rsid w:val="009C229E"/>
    <w:rsid w:val="009E5CD9"/>
    <w:rsid w:val="00A26421"/>
    <w:rsid w:val="00A34588"/>
    <w:rsid w:val="00A4293B"/>
    <w:rsid w:val="00A67D50"/>
    <w:rsid w:val="00A8691A"/>
    <w:rsid w:val="00AC1946"/>
    <w:rsid w:val="00B40063"/>
    <w:rsid w:val="00B41F61"/>
    <w:rsid w:val="00BA46E6"/>
    <w:rsid w:val="00C56C72"/>
    <w:rsid w:val="00CA6457"/>
    <w:rsid w:val="00CE2FD9"/>
    <w:rsid w:val="00D17F2E"/>
    <w:rsid w:val="00D30354"/>
    <w:rsid w:val="00DF42A0"/>
    <w:rsid w:val="00E30E91"/>
    <w:rsid w:val="00E769FE"/>
    <w:rsid w:val="00EA2CBE"/>
    <w:rsid w:val="00F32FEE"/>
    <w:rsid w:val="00FB10BB"/>
    <w:rsid w:val="07261865"/>
    <w:rsid w:val="0856517C"/>
    <w:rsid w:val="0BFB189F"/>
    <w:rsid w:val="11BD75F7"/>
    <w:rsid w:val="13BE561A"/>
    <w:rsid w:val="15392994"/>
    <w:rsid w:val="18FE139B"/>
    <w:rsid w:val="2A891760"/>
    <w:rsid w:val="3029612C"/>
    <w:rsid w:val="32A221C5"/>
    <w:rsid w:val="33F20F2A"/>
    <w:rsid w:val="34C44675"/>
    <w:rsid w:val="3B5B5607"/>
    <w:rsid w:val="3CE21B3C"/>
    <w:rsid w:val="4D2606A1"/>
    <w:rsid w:val="4DAF3EC0"/>
    <w:rsid w:val="51830480"/>
    <w:rsid w:val="53A616BE"/>
    <w:rsid w:val="54662BFB"/>
    <w:rsid w:val="62051CA5"/>
    <w:rsid w:val="6C3A69EF"/>
    <w:rsid w:val="7DB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widowControl/>
      <w:spacing w:before="240" w:after="60"/>
      <w:jc w:val="left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Theme="majorHAnsi" w:hAnsiTheme="majorHAnsi" w:eastAsiaTheme="majorEastAsia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Theme="majorHAnsi" w:hAnsiTheme="majorHAnsi" w:eastAsiaTheme="majorEastAsia"/>
      <w:b/>
      <w:bCs/>
      <w:kern w:val="0"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widowControl/>
      <w:spacing w:before="240" w:after="60"/>
      <w:jc w:val="left"/>
      <w:outlineLvl w:val="3"/>
    </w:pPr>
    <w:rPr>
      <w:rFonts w:asciiTheme="minorHAnsi" w:hAnsiTheme="minorHAnsi" w:eastAsiaTheme="minorEastAs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widowControl/>
      <w:spacing w:before="240" w:after="60"/>
      <w:jc w:val="left"/>
      <w:outlineLvl w:val="4"/>
    </w:pPr>
    <w:rPr>
      <w:rFonts w:asciiTheme="minorHAnsi" w:hAnsiTheme="minorHAnsi" w:eastAsiaTheme="minorEastAsia"/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widowControl/>
      <w:spacing w:before="240" w:after="60"/>
      <w:jc w:val="left"/>
      <w:outlineLvl w:val="5"/>
    </w:pPr>
    <w:rPr>
      <w:rFonts w:asciiTheme="minorHAnsi" w:hAnsiTheme="minorHAnsi" w:eastAsiaTheme="minorEastAsia"/>
      <w:b/>
      <w:bCs/>
      <w:kern w:val="0"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widowControl/>
      <w:spacing w:before="240" w:after="60"/>
      <w:jc w:val="left"/>
      <w:outlineLvl w:val="6"/>
    </w:pPr>
    <w:rPr>
      <w:rFonts w:asciiTheme="minorHAnsi" w:hAnsiTheme="minorHAnsi" w:eastAsiaTheme="minorEastAsia"/>
      <w:kern w:val="0"/>
      <w:sz w:val="24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widowControl/>
      <w:spacing w:before="240" w:after="60"/>
      <w:jc w:val="left"/>
      <w:outlineLvl w:val="7"/>
    </w:pPr>
    <w:rPr>
      <w:rFonts w:asciiTheme="minorHAnsi" w:hAnsiTheme="minorHAnsi" w:eastAsiaTheme="minorEastAsia"/>
      <w:i/>
      <w:iCs/>
      <w:kern w:val="0"/>
      <w:sz w:val="24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widowControl/>
      <w:spacing w:before="240" w:after="60"/>
      <w:jc w:val="left"/>
      <w:outlineLvl w:val="8"/>
    </w:pPr>
    <w:rPr>
      <w:rFonts w:asciiTheme="majorHAnsi" w:hAnsiTheme="majorHAnsi" w:eastAsiaTheme="majorEastAsia"/>
      <w:kern w:val="0"/>
      <w:sz w:val="22"/>
      <w:szCs w:val="22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widowControl/>
      <w:spacing w:after="60"/>
      <w:jc w:val="center"/>
      <w:outlineLvl w:val="1"/>
    </w:pPr>
    <w:rPr>
      <w:rFonts w:asciiTheme="majorHAnsi" w:hAnsiTheme="majorHAnsi" w:eastAsiaTheme="majorEastAsia"/>
      <w:kern w:val="0"/>
      <w:sz w:val="24"/>
    </w:rPr>
  </w:style>
  <w:style w:type="paragraph" w:styleId="15">
    <w:name w:val="Title"/>
    <w:basedOn w:val="1"/>
    <w:next w:val="1"/>
    <w:link w:val="29"/>
    <w:qFormat/>
    <w:uiPriority w:val="10"/>
    <w:pPr>
      <w:widowControl/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Emphasis"/>
    <w:basedOn w:val="17"/>
    <w:qFormat/>
    <w:uiPriority w:val="20"/>
    <w:rPr>
      <w:rFonts w:asciiTheme="minorHAnsi" w:hAnsiTheme="minorHAnsi"/>
      <w:b/>
      <w:i/>
      <w:iCs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3">
    <w:name w:val="标题 4 字符"/>
    <w:basedOn w:val="17"/>
    <w:link w:val="5"/>
    <w:semiHidden/>
    <w:qFormat/>
    <w:uiPriority w:val="9"/>
    <w:rPr>
      <w:b/>
      <w:bCs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5">
    <w:name w:val="标题 6 字符"/>
    <w:basedOn w:val="17"/>
    <w:link w:val="7"/>
    <w:semiHidden/>
    <w:qFormat/>
    <w:uiPriority w:val="9"/>
    <w:rPr>
      <w:b/>
      <w:bCs/>
    </w:rPr>
  </w:style>
  <w:style w:type="character" w:customStyle="1" w:styleId="26">
    <w:name w:val="标题 7 字符"/>
    <w:basedOn w:val="17"/>
    <w:link w:val="8"/>
    <w:semiHidden/>
    <w:qFormat/>
    <w:uiPriority w:val="9"/>
    <w:rPr>
      <w:sz w:val="24"/>
      <w:szCs w:val="24"/>
    </w:rPr>
  </w:style>
  <w:style w:type="character" w:customStyle="1" w:styleId="27">
    <w:name w:val="标题 8 字符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0">
    <w:name w:val="副标题 字符"/>
    <w:basedOn w:val="17"/>
    <w:link w:val="14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1">
    <w:name w:val="No Spacing"/>
    <w:basedOn w:val="1"/>
    <w:qFormat/>
    <w:uiPriority w:val="1"/>
    <w:pPr>
      <w:widowControl/>
      <w:jc w:val="left"/>
    </w:pPr>
    <w:rPr>
      <w:rFonts w:asciiTheme="minorHAnsi" w:hAnsiTheme="minorHAnsi" w:eastAsiaTheme="minorEastAsia"/>
      <w:kern w:val="0"/>
      <w:sz w:val="24"/>
      <w:szCs w:val="32"/>
      <w:lang w:eastAsia="en-US" w:bidi="en-US"/>
    </w:rPr>
  </w:style>
  <w:style w:type="paragraph" w:styleId="32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Theme="minorHAnsi" w:hAnsiTheme="minorHAnsi" w:eastAsiaTheme="minorEastAsia"/>
      <w:kern w:val="0"/>
      <w:sz w:val="24"/>
      <w:lang w:eastAsia="en-US" w:bidi="en-US"/>
    </w:rPr>
  </w:style>
  <w:style w:type="paragraph" w:styleId="33">
    <w:name w:val="Quote"/>
    <w:basedOn w:val="1"/>
    <w:next w:val="1"/>
    <w:link w:val="34"/>
    <w:qFormat/>
    <w:uiPriority w:val="29"/>
    <w:pPr>
      <w:widowControl/>
      <w:jc w:val="left"/>
    </w:pPr>
    <w:rPr>
      <w:rFonts w:asciiTheme="minorHAnsi" w:hAnsiTheme="minorHAnsi" w:eastAsiaTheme="minorEastAsia"/>
      <w:i/>
      <w:kern w:val="0"/>
      <w:sz w:val="24"/>
    </w:rPr>
  </w:style>
  <w:style w:type="character" w:customStyle="1" w:styleId="34">
    <w:name w:val="引用 字符"/>
    <w:basedOn w:val="17"/>
    <w:link w:val="33"/>
    <w:qFormat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widowControl/>
      <w:ind w:left="720" w:right="720"/>
      <w:jc w:val="left"/>
    </w:pPr>
    <w:rPr>
      <w:rFonts w:asciiTheme="minorHAnsi" w:hAnsiTheme="minorHAnsi" w:eastAsiaTheme="minorEastAsia"/>
      <w:b/>
      <w:i/>
      <w:kern w:val="0"/>
      <w:sz w:val="24"/>
      <w:szCs w:val="22"/>
    </w:rPr>
  </w:style>
  <w:style w:type="character" w:customStyle="1" w:styleId="36">
    <w:name w:val="明显引用 字符"/>
    <w:basedOn w:val="17"/>
    <w:link w:val="35"/>
    <w:qFormat/>
    <w:uiPriority w:val="30"/>
    <w:rPr>
      <w:b/>
      <w:i/>
      <w:sz w:val="24"/>
    </w:rPr>
  </w:style>
  <w:style w:type="character" w:customStyle="1" w:styleId="37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明显强调1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39">
    <w:name w:val="不明显参考1"/>
    <w:basedOn w:val="17"/>
    <w:qFormat/>
    <w:uiPriority w:val="31"/>
    <w:rPr>
      <w:sz w:val="24"/>
      <w:szCs w:val="24"/>
      <w:u w:val="single"/>
    </w:rPr>
  </w:style>
  <w:style w:type="character" w:customStyle="1" w:styleId="40">
    <w:name w:val="明显参考1"/>
    <w:basedOn w:val="17"/>
    <w:qFormat/>
    <w:uiPriority w:val="32"/>
    <w:rPr>
      <w:b/>
      <w:sz w:val="24"/>
      <w:u w:val="single"/>
    </w:rPr>
  </w:style>
  <w:style w:type="character" w:customStyle="1" w:styleId="41">
    <w:name w:val="书籍标题1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标题1"/>
    <w:basedOn w:val="2"/>
    <w:next w:val="1"/>
    <w:semiHidden/>
    <w:unhideWhenUsed/>
    <w:qFormat/>
    <w:uiPriority w:val="39"/>
    <w:pPr>
      <w:outlineLvl w:val="9"/>
    </w:pPr>
    <w:rPr>
      <w:lang w:eastAsia="en-US" w:bidi="en-US"/>
    </w:rPr>
  </w:style>
  <w:style w:type="character" w:customStyle="1" w:styleId="43">
    <w:name w:val="页眉 字符"/>
    <w:basedOn w:val="17"/>
    <w:link w:val="13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4">
    <w:name w:val="页脚 字符"/>
    <w:basedOn w:val="17"/>
    <w:link w:val="12"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5">
    <w:name w:val="批注框文本 字符"/>
    <w:basedOn w:val="17"/>
    <w:link w:val="11"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7122</Words>
  <Characters>7383</Characters>
  <Lines>4</Lines>
  <Paragraphs>1</Paragraphs>
  <TotalTime>12</TotalTime>
  <ScaleCrop>false</ScaleCrop>
  <LinksUpToDate>false</LinksUpToDate>
  <CharactersWithSpaces>7411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2018-08-15T02:06:00Z</dcterms:created>
  <dc:creator>赵 恺（预算处）</dc:creator>
  <cp:lastModifiedBy>静待星空</cp:lastModifiedBy>
  <cp:lastPrinted>2018-12-31T10:56:00Z</cp:lastPrinted>
  <dcterms:modified xsi:type="dcterms:W3CDTF">2024-09-05T09:16:37Z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C734C92AAAF24344A0E4232D8EB3359B</vt:lpwstr>
  </property>
</Properties>
</file>