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D479C">
      <w:pPr>
        <w:spacing w:line="540" w:lineRule="exact"/>
        <w:jc w:val="center"/>
        <w:rPr>
          <w:rFonts w:eastAsia="华文中宋"/>
          <w:b/>
          <w:kern w:val="0"/>
          <w:sz w:val="52"/>
          <w:szCs w:val="52"/>
        </w:rPr>
      </w:pPr>
    </w:p>
    <w:p w14:paraId="7CF53B10">
      <w:pPr>
        <w:spacing w:line="540" w:lineRule="exact"/>
        <w:rPr>
          <w:rFonts w:eastAsia="华文中宋"/>
          <w:b/>
          <w:kern w:val="0"/>
          <w:sz w:val="52"/>
          <w:szCs w:val="52"/>
        </w:rPr>
      </w:pPr>
    </w:p>
    <w:p w14:paraId="7465461C">
      <w:pPr>
        <w:spacing w:line="540" w:lineRule="exact"/>
        <w:jc w:val="center"/>
        <w:rPr>
          <w:rFonts w:eastAsia="华文中宋"/>
          <w:b/>
          <w:kern w:val="0"/>
          <w:sz w:val="52"/>
          <w:szCs w:val="52"/>
        </w:rPr>
      </w:pPr>
    </w:p>
    <w:p w14:paraId="47204D13">
      <w:pPr>
        <w:spacing w:line="540" w:lineRule="exact"/>
        <w:jc w:val="center"/>
        <w:rPr>
          <w:rFonts w:eastAsia="华文中宋"/>
          <w:b/>
          <w:kern w:val="0"/>
          <w:sz w:val="52"/>
          <w:szCs w:val="52"/>
        </w:rPr>
      </w:pPr>
    </w:p>
    <w:p w14:paraId="5E11D5A7">
      <w:pPr>
        <w:spacing w:line="540" w:lineRule="exact"/>
        <w:jc w:val="center"/>
        <w:rPr>
          <w:rFonts w:eastAsia="方正小标宋_GBK"/>
          <w:kern w:val="0"/>
          <w:sz w:val="48"/>
          <w:szCs w:val="48"/>
        </w:rPr>
      </w:pPr>
      <w:r>
        <w:rPr>
          <w:rFonts w:eastAsia="方正小标宋_GBK"/>
          <w:kern w:val="0"/>
          <w:sz w:val="48"/>
          <w:szCs w:val="48"/>
        </w:rPr>
        <w:t>社区工作经费项目支出绩效评价</w:t>
      </w:r>
    </w:p>
    <w:p w14:paraId="2A66E519">
      <w:pPr>
        <w:spacing w:line="540" w:lineRule="exact"/>
        <w:jc w:val="center"/>
        <w:rPr>
          <w:rFonts w:eastAsia="方正小标宋_GBK"/>
          <w:kern w:val="0"/>
          <w:sz w:val="48"/>
          <w:szCs w:val="48"/>
        </w:rPr>
      </w:pPr>
      <w:r>
        <w:rPr>
          <w:rFonts w:eastAsia="方正小标宋_GBK"/>
          <w:kern w:val="0"/>
          <w:sz w:val="48"/>
          <w:szCs w:val="48"/>
        </w:rPr>
        <w:t>报告</w:t>
      </w:r>
    </w:p>
    <w:p w14:paraId="3435F33D">
      <w:pPr>
        <w:spacing w:line="540" w:lineRule="exact"/>
        <w:jc w:val="center"/>
        <w:rPr>
          <w:rFonts w:eastAsia="华文中宋"/>
          <w:b/>
          <w:kern w:val="0"/>
          <w:sz w:val="52"/>
          <w:szCs w:val="52"/>
        </w:rPr>
      </w:pPr>
    </w:p>
    <w:p w14:paraId="2C28A452">
      <w:pPr>
        <w:spacing w:line="540" w:lineRule="exact"/>
        <w:jc w:val="center"/>
        <w:rPr>
          <w:rFonts w:eastAsia="仿宋_GB2312"/>
          <w:kern w:val="0"/>
          <w:sz w:val="36"/>
          <w:szCs w:val="36"/>
        </w:rPr>
      </w:pPr>
      <w:r>
        <w:rPr>
          <w:rFonts w:eastAsia="仿宋_GB2312"/>
          <w:kern w:val="0"/>
          <w:sz w:val="36"/>
          <w:szCs w:val="36"/>
        </w:rPr>
        <w:t>（2024年度）</w:t>
      </w:r>
    </w:p>
    <w:p w14:paraId="1BF12FF7">
      <w:pPr>
        <w:spacing w:line="540" w:lineRule="exact"/>
        <w:jc w:val="center"/>
        <w:rPr>
          <w:rFonts w:eastAsia="仿宋_GB2312"/>
          <w:kern w:val="0"/>
          <w:sz w:val="30"/>
          <w:szCs w:val="30"/>
        </w:rPr>
      </w:pPr>
    </w:p>
    <w:p w14:paraId="24846776">
      <w:pPr>
        <w:spacing w:line="540" w:lineRule="exact"/>
        <w:jc w:val="center"/>
        <w:rPr>
          <w:rFonts w:eastAsia="仿宋_GB2312"/>
          <w:kern w:val="0"/>
          <w:sz w:val="30"/>
          <w:szCs w:val="30"/>
        </w:rPr>
      </w:pPr>
    </w:p>
    <w:p w14:paraId="58C16714">
      <w:pPr>
        <w:spacing w:line="540" w:lineRule="exact"/>
        <w:jc w:val="center"/>
        <w:rPr>
          <w:rFonts w:eastAsia="仿宋_GB2312"/>
          <w:kern w:val="0"/>
          <w:sz w:val="30"/>
          <w:szCs w:val="30"/>
        </w:rPr>
      </w:pPr>
    </w:p>
    <w:p w14:paraId="141D8E8F">
      <w:pPr>
        <w:pStyle w:val="11"/>
        <w:rPr>
          <w:rFonts w:ascii="Times New Roman" w:hAnsi="Times New Roman"/>
        </w:rPr>
      </w:pPr>
    </w:p>
    <w:p w14:paraId="02360C14">
      <w:pPr>
        <w:spacing w:line="540" w:lineRule="exact"/>
        <w:jc w:val="center"/>
        <w:rPr>
          <w:rFonts w:eastAsia="仿宋_GB2312"/>
          <w:kern w:val="0"/>
          <w:sz w:val="30"/>
          <w:szCs w:val="30"/>
        </w:rPr>
      </w:pPr>
    </w:p>
    <w:p w14:paraId="13AA2476">
      <w:pPr>
        <w:spacing w:line="540" w:lineRule="exact"/>
        <w:rPr>
          <w:rFonts w:eastAsia="仿宋_GB2312"/>
          <w:kern w:val="0"/>
          <w:sz w:val="30"/>
          <w:szCs w:val="30"/>
        </w:rPr>
      </w:pPr>
    </w:p>
    <w:p w14:paraId="2634DF05">
      <w:pPr>
        <w:spacing w:line="700" w:lineRule="exact"/>
        <w:ind w:firstLine="1440" w:firstLineChars="400"/>
        <w:jc w:val="left"/>
        <w:rPr>
          <w:rFonts w:eastAsia="仿宋_GB2312"/>
          <w:kern w:val="0"/>
          <w:sz w:val="36"/>
          <w:szCs w:val="36"/>
        </w:rPr>
      </w:pPr>
      <w:r>
        <w:rPr>
          <w:rFonts w:eastAsia="仿宋_GB2312"/>
          <w:kern w:val="0"/>
          <w:sz w:val="36"/>
          <w:szCs w:val="36"/>
        </w:rPr>
        <w:t>项目名称：社区工作经费</w:t>
      </w:r>
    </w:p>
    <w:p w14:paraId="6CF1E51E">
      <w:pPr>
        <w:spacing w:line="700" w:lineRule="exact"/>
        <w:ind w:firstLine="1440" w:firstLineChars="400"/>
        <w:jc w:val="left"/>
        <w:rPr>
          <w:rFonts w:eastAsia="仿宋_GB2312"/>
          <w:kern w:val="0"/>
          <w:sz w:val="36"/>
          <w:szCs w:val="36"/>
        </w:rPr>
      </w:pPr>
      <w:r>
        <w:rPr>
          <w:rFonts w:eastAsia="仿宋_GB2312"/>
          <w:kern w:val="0"/>
          <w:sz w:val="36"/>
          <w:szCs w:val="36"/>
        </w:rPr>
        <w:t>实施单位（公章）：乌鲁木齐市沙依巴克区和田街片区管理委员会</w:t>
      </w:r>
    </w:p>
    <w:p w14:paraId="5B928C7A">
      <w:pPr>
        <w:spacing w:line="700" w:lineRule="exact"/>
        <w:ind w:firstLine="1440" w:firstLineChars="400"/>
        <w:jc w:val="left"/>
        <w:rPr>
          <w:rFonts w:eastAsia="仿宋_GB2312"/>
          <w:kern w:val="0"/>
          <w:sz w:val="36"/>
          <w:szCs w:val="36"/>
        </w:rPr>
      </w:pPr>
      <w:r>
        <w:rPr>
          <w:rFonts w:eastAsia="仿宋_GB2312"/>
          <w:kern w:val="0"/>
          <w:sz w:val="36"/>
          <w:szCs w:val="36"/>
        </w:rPr>
        <w:t>主管部门（公章）：乌鲁木齐市沙依巴克区和田街片区管理委员会</w:t>
      </w:r>
    </w:p>
    <w:p w14:paraId="232611FB">
      <w:pPr>
        <w:spacing w:line="700" w:lineRule="exact"/>
        <w:ind w:firstLine="1440" w:firstLineChars="400"/>
        <w:jc w:val="left"/>
        <w:rPr>
          <w:rFonts w:eastAsia="仿宋_GB2312"/>
          <w:kern w:val="0"/>
          <w:sz w:val="36"/>
          <w:szCs w:val="36"/>
        </w:rPr>
      </w:pPr>
      <w:r>
        <w:rPr>
          <w:rFonts w:eastAsia="仿宋_GB2312"/>
          <w:kern w:val="0"/>
          <w:sz w:val="36"/>
          <w:szCs w:val="36"/>
        </w:rPr>
        <w:t>项目负责人（签章）：徐莹芮</w:t>
      </w:r>
    </w:p>
    <w:p w14:paraId="04A3D850">
      <w:pPr>
        <w:spacing w:line="700" w:lineRule="exact"/>
        <w:ind w:firstLine="1440" w:firstLineChars="40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rPr>
        <w:t>2025</w:t>
      </w:r>
      <w:r>
        <w:rPr>
          <w:rFonts w:eastAsia="仿宋_GB2312"/>
          <w:kern w:val="0"/>
          <w:sz w:val="36"/>
          <w:szCs w:val="36"/>
        </w:rPr>
        <w:t>年</w:t>
      </w:r>
      <w:r>
        <w:rPr>
          <w:rFonts w:hint="eastAsia" w:eastAsia="仿宋_GB2312"/>
          <w:kern w:val="0"/>
          <w:sz w:val="36"/>
          <w:szCs w:val="36"/>
        </w:rPr>
        <w:t>4</w:t>
      </w:r>
      <w:r>
        <w:rPr>
          <w:rFonts w:eastAsia="仿宋_GB2312"/>
          <w:kern w:val="0"/>
          <w:sz w:val="36"/>
          <w:szCs w:val="36"/>
        </w:rPr>
        <w:t>月</w:t>
      </w:r>
      <w:r>
        <w:rPr>
          <w:rFonts w:hint="eastAsia" w:eastAsia="仿宋_GB2312"/>
          <w:kern w:val="0"/>
          <w:sz w:val="36"/>
          <w:szCs w:val="36"/>
        </w:rPr>
        <w:t>1</w:t>
      </w:r>
      <w:r>
        <w:rPr>
          <w:rFonts w:eastAsia="仿宋_GB2312"/>
          <w:kern w:val="0"/>
          <w:sz w:val="36"/>
          <w:szCs w:val="36"/>
        </w:rPr>
        <w:t>日</w:t>
      </w:r>
    </w:p>
    <w:p w14:paraId="17A69604">
      <w:pPr>
        <w:spacing w:line="540" w:lineRule="exact"/>
        <w:jc w:val="center"/>
        <w:rPr>
          <w:rFonts w:eastAsia="仿宋_GB2312"/>
          <w:kern w:val="0"/>
          <w:sz w:val="30"/>
          <w:szCs w:val="30"/>
        </w:rPr>
      </w:pPr>
    </w:p>
    <w:p w14:paraId="7DC9BDB4">
      <w:pPr>
        <w:spacing w:line="540" w:lineRule="exact"/>
        <w:rPr>
          <w:rStyle w:val="17"/>
          <w:rFonts w:eastAsia="黑体"/>
          <w:b w:val="0"/>
          <w:spacing w:val="-4"/>
          <w:sz w:val="32"/>
          <w:szCs w:val="32"/>
        </w:rPr>
      </w:pPr>
    </w:p>
    <w:p w14:paraId="63FE8A21">
      <w:pPr>
        <w:spacing w:line="540" w:lineRule="exact"/>
        <w:ind w:firstLine="640"/>
        <w:rPr>
          <w:rStyle w:val="17"/>
          <w:rFonts w:eastAsia="黑体"/>
          <w:b w:val="0"/>
          <w:spacing w:val="-4"/>
          <w:sz w:val="32"/>
          <w:szCs w:val="32"/>
        </w:rPr>
      </w:pPr>
    </w:p>
    <w:p w14:paraId="27A2E9C7">
      <w:pPr>
        <w:spacing w:line="540" w:lineRule="exact"/>
        <w:rPr>
          <w:rStyle w:val="17"/>
          <w:rFonts w:eastAsia="黑体"/>
          <w:b w:val="0"/>
          <w:spacing w:val="-4"/>
          <w:sz w:val="32"/>
          <w:szCs w:val="32"/>
        </w:rPr>
      </w:pPr>
    </w:p>
    <w:p w14:paraId="16E59755">
      <w:pPr>
        <w:spacing w:line="560" w:lineRule="exact"/>
        <w:ind w:firstLine="640" w:firstLineChars="200"/>
        <w:rPr>
          <w:rFonts w:eastAsia="黑体"/>
          <w:bCs/>
          <w:sz w:val="32"/>
          <w:szCs w:val="32"/>
        </w:rPr>
        <w:sectPr>
          <w:pgSz w:w="11906" w:h="16838"/>
          <w:pgMar w:top="1440" w:right="1558" w:bottom="1440" w:left="1800" w:header="851" w:footer="992" w:gutter="0"/>
          <w:cols w:space="425" w:num="1"/>
          <w:docGrid w:type="lines" w:linePitch="312" w:charSpace="0"/>
        </w:sectPr>
      </w:pPr>
    </w:p>
    <w:p w14:paraId="69756A28">
      <w:pPr>
        <w:spacing w:line="560" w:lineRule="exact"/>
        <w:ind w:firstLine="640" w:firstLineChars="200"/>
        <w:rPr>
          <w:rFonts w:eastAsia="黑体"/>
          <w:bCs/>
          <w:sz w:val="32"/>
          <w:szCs w:val="32"/>
        </w:rPr>
      </w:pPr>
      <w:r>
        <w:rPr>
          <w:rFonts w:eastAsia="黑体"/>
          <w:bCs/>
          <w:sz w:val="32"/>
          <w:szCs w:val="32"/>
        </w:rPr>
        <w:t>一、基本情况</w:t>
      </w:r>
    </w:p>
    <w:p w14:paraId="1B940412">
      <w:pPr>
        <w:spacing w:line="560" w:lineRule="exact"/>
        <w:ind w:firstLine="643" w:firstLineChars="200"/>
        <w:rPr>
          <w:rFonts w:eastAsia="楷体_GB2312"/>
          <w:b/>
          <w:bCs/>
          <w:sz w:val="32"/>
          <w:szCs w:val="32"/>
        </w:rPr>
      </w:pPr>
      <w:r>
        <w:rPr>
          <w:rFonts w:eastAsia="楷体_GB2312"/>
          <w:b/>
          <w:bCs/>
          <w:sz w:val="32"/>
          <w:szCs w:val="32"/>
        </w:rPr>
        <w:t>（一）项目概况</w:t>
      </w:r>
    </w:p>
    <w:p w14:paraId="5D721A80">
      <w:pPr>
        <w:spacing w:line="560" w:lineRule="exact"/>
        <w:ind w:firstLine="643" w:firstLineChars="200"/>
        <w:rPr>
          <w:rFonts w:eastAsia="仿宋_GB2312"/>
          <w:b/>
          <w:bCs/>
          <w:sz w:val="32"/>
          <w:szCs w:val="32"/>
        </w:rPr>
      </w:pPr>
      <w:r>
        <w:rPr>
          <w:rFonts w:eastAsia="仿宋_GB2312"/>
          <w:b/>
          <w:bCs/>
          <w:sz w:val="32"/>
          <w:szCs w:val="32"/>
        </w:rPr>
        <w:t>1.项目背景</w:t>
      </w:r>
    </w:p>
    <w:p w14:paraId="3E9A9918">
      <w:pPr>
        <w:spacing w:line="560" w:lineRule="exact"/>
        <w:ind w:firstLine="600" w:firstLineChars="200"/>
        <w:rPr>
          <w:rStyle w:val="17"/>
          <w:rFonts w:eastAsia="黑体"/>
          <w:b w:val="0"/>
          <w:spacing w:val="-4"/>
          <w:sz w:val="32"/>
          <w:szCs w:val="32"/>
        </w:rPr>
      </w:pPr>
      <w:r>
        <w:rPr>
          <w:rFonts w:eastAsia="仿宋_GB2312"/>
          <w:sz w:val="30"/>
          <w:szCs w:val="30"/>
        </w:rPr>
        <w:t>近年来，国家强调“基层治理现代化”，出台《关于加强和完善城乡社区治理的意见》等文件，要求强化社区服务能力，推动资源下沉。“十四五”规划明确提出完善社区公共服务体系，鼓励多元主体参与社区建设。</w:t>
      </w:r>
      <w:r>
        <w:rPr>
          <w:rFonts w:hint="eastAsia" w:eastAsia="仿宋_GB2312"/>
          <w:sz w:val="30"/>
          <w:szCs w:val="30"/>
        </w:rPr>
        <w:t>沙依巴克区人大会议会议通过，2024年年初预算下达，为进一步强化片区综合治理，保障管委会各项工作的顺利开展，特成立该项目，计划为管委会后勤保障工作、城区管理工作、治安巡逻维护稳定工作提供经费保障和支持。</w:t>
      </w:r>
    </w:p>
    <w:p w14:paraId="1BC871C8">
      <w:pPr>
        <w:pStyle w:val="11"/>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2.项目主要内容：</w:t>
      </w:r>
    </w:p>
    <w:p w14:paraId="024B529F">
      <w:pPr>
        <w:spacing w:line="560" w:lineRule="exact"/>
        <w:ind w:firstLine="600" w:firstLineChars="200"/>
        <w:rPr>
          <w:rFonts w:eastAsia="黑体"/>
        </w:rPr>
      </w:pPr>
      <w:r>
        <w:rPr>
          <w:rFonts w:eastAsia="仿宋_GB2312"/>
          <w:sz w:val="30"/>
          <w:szCs w:val="30"/>
        </w:rPr>
        <w:t>项目主要内容：</w:t>
      </w:r>
      <w:r>
        <w:rPr>
          <w:rFonts w:hint="eastAsia" w:eastAsia="仿宋_GB2312"/>
          <w:sz w:val="30"/>
          <w:szCs w:val="30"/>
        </w:rPr>
        <w:t>根据社区综合治理后勤保障支出需求，保障管委会各社区的用餐支出。保障管委会社区工作人员每日用餐安全,每月按照食堂实际支出予以补助，为综合整治提供有力的后勤保障。进一步加强城市社区建设，发挥社区的战斗堡垒作用，保障了社区工作人员的就餐及运行，保证社区更好地做好法制教育、文化宣传、计划生育、社会救助、社会治安、服务群众等基层服务工作，增强社区成员的归属感和凝聚力，促进社会的和谐发展。完善工作人员的工作环境，提升在城市管理综合服务中的能力</w:t>
      </w:r>
      <w:r>
        <w:rPr>
          <w:rStyle w:val="17"/>
          <w:rFonts w:eastAsia="黑体"/>
          <w:b w:val="0"/>
          <w:spacing w:val="-4"/>
          <w:sz w:val="32"/>
          <w:szCs w:val="32"/>
        </w:rPr>
        <w:t>。</w:t>
      </w:r>
    </w:p>
    <w:p w14:paraId="36FD8169">
      <w:pPr>
        <w:spacing w:line="560" w:lineRule="exact"/>
        <w:ind w:firstLine="640" w:firstLineChars="200"/>
      </w:pPr>
      <w:r>
        <w:rPr>
          <w:rFonts w:eastAsia="仿宋_GB2312"/>
          <w:sz w:val="32"/>
          <w:szCs w:val="32"/>
        </w:rPr>
        <w:t>项目实施情况：</w:t>
      </w:r>
      <w:r>
        <w:rPr>
          <w:rFonts w:hint="eastAsia" w:eastAsia="仿宋_GB2312"/>
          <w:sz w:val="32"/>
          <w:szCs w:val="32"/>
        </w:rPr>
        <w:t>项目目前已经完成实际设立的目标，项目在实施过程中严格按照目标设立的各阶段任务进行开展工作，在前期立项过程中严格把质量关，建立安全防护机制，保证项目实施各阶段安全顺利进行</w:t>
      </w:r>
      <w:r>
        <w:rPr>
          <w:rFonts w:eastAsia="仿宋_GB2312"/>
          <w:sz w:val="32"/>
          <w:szCs w:val="32"/>
        </w:rPr>
        <w:t>。</w:t>
      </w:r>
      <w:r>
        <w:rPr>
          <w:rFonts w:hint="eastAsia" w:eastAsia="仿宋_GB2312"/>
          <w:sz w:val="32"/>
          <w:szCs w:val="32"/>
        </w:rPr>
        <w:t>截止24年底保障我街道辖区内10个社区正常运转，提升社区服务能力</w:t>
      </w:r>
    </w:p>
    <w:p w14:paraId="7330649E">
      <w:pPr>
        <w:spacing w:line="560" w:lineRule="exact"/>
        <w:ind w:firstLine="643" w:firstLineChars="200"/>
        <w:rPr>
          <w:rFonts w:eastAsia="仿宋_GB2312"/>
          <w:b/>
          <w:bCs/>
          <w:sz w:val="32"/>
          <w:szCs w:val="32"/>
        </w:rPr>
      </w:pPr>
      <w:r>
        <w:rPr>
          <w:rFonts w:eastAsia="仿宋_GB2312"/>
          <w:b/>
          <w:bCs/>
          <w:sz w:val="32"/>
          <w:szCs w:val="32"/>
        </w:rPr>
        <w:t>3.资金投入和使用情况</w:t>
      </w:r>
    </w:p>
    <w:p w14:paraId="64B8E369">
      <w:pPr>
        <w:spacing w:line="600" w:lineRule="exact"/>
        <w:ind w:firstLine="640" w:firstLineChars="200"/>
        <w:outlineLvl w:val="0"/>
        <w:rPr>
          <w:rFonts w:eastAsia="仿宋_GB2312"/>
          <w:sz w:val="32"/>
          <w:szCs w:val="32"/>
        </w:rPr>
      </w:pPr>
      <w:r>
        <w:rPr>
          <w:rFonts w:eastAsia="仿宋_GB2312"/>
          <w:sz w:val="32"/>
          <w:szCs w:val="32"/>
        </w:rPr>
        <w:t>（1）资金投入情况</w:t>
      </w:r>
    </w:p>
    <w:p w14:paraId="4D9D7928">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520</w:t>
      </w:r>
      <w:r>
        <w:rPr>
          <w:rFonts w:eastAsia="仿宋_GB2312"/>
          <w:sz w:val="32"/>
          <w:szCs w:val="32"/>
        </w:rPr>
        <w:t>万元，全年预算数</w:t>
      </w:r>
      <w:r>
        <w:rPr>
          <w:rFonts w:hint="eastAsia" w:eastAsia="仿宋_GB2312"/>
          <w:sz w:val="32"/>
          <w:szCs w:val="32"/>
        </w:rPr>
        <w:t>520</w:t>
      </w:r>
      <w:r>
        <w:rPr>
          <w:rFonts w:eastAsia="仿宋_GB2312"/>
          <w:sz w:val="32"/>
          <w:szCs w:val="32"/>
        </w:rPr>
        <w:t>万元，该项目资金已全部落实到位，</w:t>
      </w:r>
      <w:r>
        <w:rPr>
          <w:rFonts w:hint="eastAsia" w:eastAsia="仿宋_GB2312"/>
          <w:sz w:val="32"/>
          <w:szCs w:val="32"/>
        </w:rPr>
        <w:t>根据沙财发〔2024〕1号文件批准，项目系本级资金</w:t>
      </w:r>
      <w:r>
        <w:rPr>
          <w:rFonts w:eastAsia="仿宋_GB2312"/>
          <w:sz w:val="32"/>
          <w:szCs w:val="32"/>
        </w:rPr>
        <w:t>。</w:t>
      </w:r>
    </w:p>
    <w:p w14:paraId="0493974A">
      <w:pPr>
        <w:spacing w:line="600" w:lineRule="exact"/>
        <w:ind w:firstLine="640" w:firstLineChars="200"/>
        <w:outlineLvl w:val="0"/>
        <w:rPr>
          <w:rFonts w:eastAsia="仿宋_GB2312"/>
          <w:sz w:val="32"/>
          <w:szCs w:val="32"/>
        </w:rPr>
      </w:pPr>
      <w:r>
        <w:rPr>
          <w:rFonts w:eastAsia="仿宋_GB2312"/>
          <w:sz w:val="32"/>
          <w:szCs w:val="32"/>
        </w:rPr>
        <w:t>（2）资金使用情况</w:t>
      </w:r>
    </w:p>
    <w:p w14:paraId="0457426D">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520</w:t>
      </w:r>
      <w:r>
        <w:rPr>
          <w:rFonts w:eastAsia="仿宋_GB2312"/>
          <w:sz w:val="32"/>
          <w:szCs w:val="32"/>
        </w:rPr>
        <w:t>万元，全年预算数</w:t>
      </w:r>
      <w:r>
        <w:rPr>
          <w:rFonts w:hint="eastAsia" w:eastAsia="仿宋_GB2312"/>
          <w:sz w:val="32"/>
          <w:szCs w:val="32"/>
        </w:rPr>
        <w:t>520</w:t>
      </w:r>
      <w:r>
        <w:rPr>
          <w:rFonts w:eastAsia="仿宋_GB2312"/>
          <w:sz w:val="32"/>
          <w:szCs w:val="32"/>
        </w:rPr>
        <w:t>万元</w:t>
      </w:r>
      <w:r>
        <w:rPr>
          <w:rFonts w:hint="eastAsia" w:eastAsia="仿宋_GB2312"/>
          <w:sz w:val="32"/>
          <w:szCs w:val="32"/>
        </w:rPr>
        <w:t>，</w:t>
      </w:r>
      <w:r>
        <w:rPr>
          <w:rFonts w:eastAsia="仿宋_GB2312"/>
          <w:sz w:val="32"/>
          <w:szCs w:val="32"/>
        </w:rPr>
        <w:t>，全年执行数</w:t>
      </w:r>
      <w:r>
        <w:rPr>
          <w:rFonts w:hint="eastAsia" w:eastAsia="仿宋_GB2312"/>
          <w:sz w:val="32"/>
          <w:szCs w:val="32"/>
        </w:rPr>
        <w:t>520</w:t>
      </w:r>
      <w:r>
        <w:rPr>
          <w:rFonts w:eastAsia="仿宋_GB2312"/>
          <w:sz w:val="32"/>
          <w:szCs w:val="32"/>
        </w:rPr>
        <w:t>万元，预算执行率为</w:t>
      </w:r>
      <w:r>
        <w:rPr>
          <w:rFonts w:hint="eastAsia" w:eastAsia="仿宋_GB2312"/>
          <w:sz w:val="32"/>
          <w:szCs w:val="32"/>
        </w:rPr>
        <w:t>100</w:t>
      </w:r>
      <w:r>
        <w:rPr>
          <w:rFonts w:eastAsia="仿宋_GB2312"/>
          <w:sz w:val="32"/>
          <w:szCs w:val="32"/>
        </w:rPr>
        <w:t>%，主要用于：</w:t>
      </w:r>
      <w:r>
        <w:rPr>
          <w:rFonts w:hint="eastAsia" w:eastAsia="仿宋_GB2312"/>
          <w:sz w:val="32"/>
          <w:szCs w:val="32"/>
        </w:rPr>
        <w:t>我街道10个社区运转经费，平均每个社区52万元</w:t>
      </w:r>
      <w:r>
        <w:rPr>
          <w:rFonts w:eastAsia="仿宋_GB2312"/>
          <w:sz w:val="32"/>
          <w:szCs w:val="32"/>
        </w:rPr>
        <w:t>。</w:t>
      </w:r>
    </w:p>
    <w:p w14:paraId="46100D4F">
      <w:pPr>
        <w:spacing w:line="560" w:lineRule="exact"/>
        <w:ind w:firstLine="643" w:firstLineChars="200"/>
        <w:rPr>
          <w:rFonts w:eastAsia="楷体_GB2312"/>
          <w:b/>
          <w:bCs/>
          <w:sz w:val="32"/>
          <w:szCs w:val="32"/>
        </w:rPr>
      </w:pPr>
      <w:r>
        <w:rPr>
          <w:rFonts w:eastAsia="楷体_GB2312"/>
          <w:b/>
          <w:bCs/>
          <w:sz w:val="32"/>
          <w:szCs w:val="32"/>
        </w:rPr>
        <w:t>（二）项目绩效目标</w:t>
      </w:r>
    </w:p>
    <w:p w14:paraId="648A60AB">
      <w:pPr>
        <w:spacing w:line="560" w:lineRule="exact"/>
        <w:ind w:firstLine="640" w:firstLineChars="20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0279065">
      <w:pPr>
        <w:spacing w:line="560" w:lineRule="exact"/>
        <w:ind w:firstLine="640" w:firstLineChars="200"/>
        <w:rPr>
          <w:rFonts w:eastAsia="黑体"/>
          <w:bCs/>
        </w:rPr>
      </w:pPr>
      <w:r>
        <w:rPr>
          <w:rFonts w:hint="eastAsia" w:eastAsia="仿宋_GB2312"/>
          <w:sz w:val="32"/>
          <w:szCs w:val="32"/>
        </w:rPr>
        <w:t>根据社区综合治理后勤保障支出需求，保障管委会各社区的用餐支出。保障管委会社区工作人员每日用餐安全,每月按照食堂实际支出予以补助，为综合整治提供有力的后勤保障。进一步加强城市社区建设，发挥社区的战斗堡垒作用，保障了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r>
        <w:rPr>
          <w:rStyle w:val="17"/>
          <w:rFonts w:hint="eastAsia" w:eastAsia="黑体"/>
          <w:b w:val="0"/>
          <w:spacing w:val="-4"/>
          <w:sz w:val="32"/>
          <w:szCs w:val="32"/>
        </w:rPr>
        <w:t>。</w:t>
      </w:r>
    </w:p>
    <w:p w14:paraId="758C77B4">
      <w:pPr>
        <w:spacing w:line="560" w:lineRule="exact"/>
        <w:ind w:firstLine="640" w:firstLineChars="200"/>
        <w:rPr>
          <w:rFonts w:eastAsia="仿宋_GB2312"/>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3A862F7A">
      <w:pPr>
        <w:spacing w:line="560" w:lineRule="exact"/>
        <w:ind w:firstLine="640" w:firstLineChars="200"/>
        <w:rPr>
          <w:rFonts w:eastAsia="黑体"/>
          <w:bCs/>
        </w:rPr>
      </w:pPr>
      <w:r>
        <w:rPr>
          <w:rFonts w:hint="eastAsia" w:eastAsia="仿宋_GB2312"/>
          <w:sz w:val="32"/>
          <w:szCs w:val="32"/>
        </w:rPr>
        <w:t>保障我街道辖区内10个社区工作人员每日用餐安全,每月按照食堂实际支出予以补助，为综合整治提供有力的后勤保障。进一步加强城市社区建设，发挥社区的战斗堡垒作用，保障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r>
        <w:rPr>
          <w:rStyle w:val="17"/>
          <w:rFonts w:hint="eastAsia" w:eastAsia="黑体"/>
          <w:b w:val="0"/>
          <w:spacing w:val="-4"/>
          <w:sz w:val="32"/>
          <w:szCs w:val="32"/>
        </w:rPr>
        <w:t>。</w:t>
      </w:r>
    </w:p>
    <w:p w14:paraId="4219CEBC">
      <w:pPr>
        <w:spacing w:line="560" w:lineRule="exact"/>
        <w:ind w:firstLine="640" w:firstLineChars="200"/>
        <w:rPr>
          <w:rFonts w:eastAsia="黑体"/>
          <w:sz w:val="32"/>
          <w:szCs w:val="32"/>
        </w:rPr>
      </w:pPr>
      <w:r>
        <w:rPr>
          <w:rFonts w:eastAsia="黑体"/>
          <w:sz w:val="32"/>
          <w:szCs w:val="32"/>
        </w:rPr>
        <w:t>二、绩效评价工作开展情况</w:t>
      </w:r>
    </w:p>
    <w:p w14:paraId="25D15507">
      <w:pPr>
        <w:spacing w:line="560" w:lineRule="exact"/>
        <w:ind w:firstLine="643" w:firstLineChars="200"/>
        <w:rPr>
          <w:rFonts w:eastAsia="楷体_GB2312"/>
          <w:b/>
          <w:bCs/>
          <w:sz w:val="32"/>
          <w:szCs w:val="32"/>
        </w:rPr>
      </w:pPr>
      <w:r>
        <w:rPr>
          <w:rFonts w:eastAsia="楷体_GB2312"/>
          <w:b/>
          <w:bCs/>
          <w:sz w:val="32"/>
          <w:szCs w:val="32"/>
        </w:rPr>
        <w:t>（一）绩效评价目的、对象和范围</w:t>
      </w:r>
    </w:p>
    <w:p w14:paraId="5F8BEEC9">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1.绩效评价完整性</w:t>
      </w:r>
    </w:p>
    <w:p w14:paraId="4E57CD83">
      <w:pPr>
        <w:spacing w:line="560" w:lineRule="exact"/>
        <w:ind w:firstLine="640" w:firstLineChars="20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pPr>
        <w:spacing w:line="560" w:lineRule="exact"/>
        <w:ind w:firstLine="640" w:firstLineChars="20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社会效益，力求全方位反映项目的绩效状况。同时，对于每个指标的评价标准和数据来源均进行了明确说明，确保评价结果的客观性和可追溯性。</w:t>
      </w:r>
    </w:p>
    <w:p w14:paraId="6E47BAB8">
      <w:pPr>
        <w:spacing w:line="560" w:lineRule="exact"/>
        <w:ind w:firstLine="640" w:firstLineChars="20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pPr>
        <w:spacing w:line="560" w:lineRule="exact"/>
        <w:ind w:firstLine="640" w:firstLineChars="20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pPr>
        <w:spacing w:line="560" w:lineRule="exact"/>
        <w:ind w:firstLine="640" w:firstLineChars="20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pPr>
        <w:spacing w:line="560" w:lineRule="exact"/>
        <w:ind w:firstLine="640" w:firstLineChars="200"/>
        <w:rPr>
          <w:rFonts w:eastAsia="仿宋_GB2312"/>
          <w:sz w:val="32"/>
          <w:szCs w:val="32"/>
        </w:rPr>
      </w:pPr>
      <w:r>
        <w:rPr>
          <w:rFonts w:eastAsia="仿宋_GB2312"/>
          <w:sz w:val="32"/>
          <w:szCs w:val="32"/>
        </w:rPr>
        <w:t>2.绩效评价的目的</w:t>
      </w:r>
    </w:p>
    <w:p w14:paraId="4A05E6CB">
      <w:pPr>
        <w:spacing w:line="560" w:lineRule="exact"/>
        <w:ind w:firstLine="640" w:firstLineChars="200"/>
        <w:rPr>
          <w:rFonts w:eastAsia="仿宋_GB2312"/>
          <w:sz w:val="32"/>
          <w:szCs w:val="32"/>
        </w:rPr>
      </w:pPr>
      <w:r>
        <w:rPr>
          <w:rFonts w:eastAsia="仿宋_GB2312"/>
          <w:sz w:val="32"/>
          <w:szCs w:val="32"/>
        </w:rPr>
        <w:t>（1）评估项目实施效果</w:t>
      </w:r>
    </w:p>
    <w:p w14:paraId="3187A1FD">
      <w:pPr>
        <w:spacing w:line="560" w:lineRule="exact"/>
        <w:ind w:firstLine="640" w:firstLineChars="20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通过对项目预算执行情况及各项绩效目标达成程度的系统性分析，全面、客观地评估项目在预定周期内的实施效果，包括社会效益，为项目后续的改进与优化提供科学依据。</w:t>
      </w:r>
    </w:p>
    <w:p w14:paraId="2F44733F">
      <w:pPr>
        <w:spacing w:line="560" w:lineRule="exact"/>
        <w:ind w:firstLine="640" w:firstLineChars="200"/>
        <w:rPr>
          <w:rFonts w:eastAsia="仿宋_GB2312"/>
          <w:sz w:val="32"/>
          <w:szCs w:val="32"/>
        </w:rPr>
      </w:pPr>
      <w:r>
        <w:rPr>
          <w:rFonts w:eastAsia="仿宋_GB2312"/>
          <w:sz w:val="32"/>
          <w:szCs w:val="32"/>
        </w:rPr>
        <w:t>（2）提升资源利用效率</w:t>
      </w:r>
    </w:p>
    <w:p w14:paraId="753B14EE">
      <w:pPr>
        <w:spacing w:line="560" w:lineRule="exact"/>
        <w:ind w:firstLine="640" w:firstLineChars="20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pPr>
        <w:spacing w:line="560" w:lineRule="exact"/>
        <w:ind w:firstLine="640" w:firstLineChars="200"/>
        <w:rPr>
          <w:rFonts w:eastAsia="仿宋_GB2312"/>
          <w:sz w:val="32"/>
          <w:szCs w:val="32"/>
        </w:rPr>
      </w:pPr>
      <w:r>
        <w:rPr>
          <w:rFonts w:eastAsia="仿宋_GB2312"/>
          <w:sz w:val="32"/>
          <w:szCs w:val="32"/>
        </w:rPr>
        <w:t>（3）强化项目管理责任</w:t>
      </w:r>
    </w:p>
    <w:p w14:paraId="4D91154C">
      <w:pPr>
        <w:spacing w:line="560" w:lineRule="exact"/>
        <w:ind w:firstLine="640" w:firstLineChars="20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pPr>
        <w:spacing w:line="560" w:lineRule="exact"/>
        <w:ind w:firstLine="640" w:firstLineChars="200"/>
        <w:rPr>
          <w:rFonts w:eastAsia="仿宋_GB2312"/>
          <w:sz w:val="32"/>
          <w:szCs w:val="32"/>
        </w:rPr>
      </w:pPr>
      <w:r>
        <w:rPr>
          <w:rFonts w:eastAsia="仿宋_GB2312"/>
          <w:sz w:val="32"/>
          <w:szCs w:val="32"/>
        </w:rPr>
        <w:t>（4）为决策提供支持</w:t>
      </w:r>
    </w:p>
    <w:p w14:paraId="6E434331">
      <w:pPr>
        <w:spacing w:line="560" w:lineRule="exact"/>
        <w:ind w:firstLine="640" w:firstLineChars="20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pPr>
        <w:spacing w:line="560" w:lineRule="exact"/>
        <w:ind w:firstLine="640" w:firstLineChars="200"/>
        <w:rPr>
          <w:rFonts w:eastAsia="仿宋_GB2312"/>
          <w:sz w:val="32"/>
          <w:szCs w:val="32"/>
        </w:rPr>
      </w:pPr>
      <w:r>
        <w:rPr>
          <w:rFonts w:eastAsia="仿宋_GB2312"/>
          <w:sz w:val="32"/>
          <w:szCs w:val="32"/>
        </w:rPr>
        <w:t>（5）促进项目持续改进</w:t>
      </w:r>
    </w:p>
    <w:p w14:paraId="21104102">
      <w:pPr>
        <w:spacing w:line="560" w:lineRule="exact"/>
        <w:ind w:firstLine="640" w:firstLineChars="20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pPr>
        <w:spacing w:line="560" w:lineRule="exact"/>
        <w:ind w:firstLine="640" w:firstLineChars="20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w:t>
      </w:r>
      <w:r>
        <w:rPr>
          <w:rFonts w:ascii="Times New Roman" w:hAnsi="Times New Roman" w:eastAsia="仿宋_GB2312"/>
        </w:rPr>
        <w:t>.</w:t>
      </w:r>
      <w:r>
        <w:rPr>
          <w:rFonts w:ascii="Times New Roman" w:hAnsi="Times New Roman" w:eastAsia="仿宋_GB2312"/>
          <w:b w:val="0"/>
          <w:bCs w:val="0"/>
        </w:rPr>
        <w:t>绩效评价的对象</w:t>
      </w:r>
    </w:p>
    <w:p w14:paraId="64E69A45">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本项目预算绩效评价报告的评价对象是社区工作经费及其预算执行情况。该项目由乌鲁木齐市沙依巴克区和田街片区管理委员会负责实施，旨在</w:t>
      </w:r>
      <w:r>
        <w:rPr>
          <w:rFonts w:hint="eastAsia" w:ascii="Times New Roman" w:hAnsi="Times New Roman" w:eastAsia="仿宋_GB2312"/>
          <w:b w:val="0"/>
          <w:bCs w:val="0"/>
        </w:rPr>
        <w:t>保障我街道10个社区工作正常开展</w:t>
      </w:r>
      <w:r>
        <w:rPr>
          <w:rFonts w:ascii="Times New Roman" w:hAnsi="Times New Roman" w:eastAsia="仿宋_GB2312"/>
          <w:b w:val="0"/>
          <w:bCs w:val="0"/>
        </w:rPr>
        <w:t>。项目预算涵盖从</w:t>
      </w:r>
      <w:r>
        <w:rPr>
          <w:rFonts w:hint="eastAsia" w:ascii="Times New Roman" w:hAnsi="Times New Roman" w:eastAsia="仿宋_GB2312"/>
          <w:b w:val="0"/>
          <w:bCs w:val="0"/>
        </w:rPr>
        <w:t>2024年1月1日</w:t>
      </w:r>
      <w:r>
        <w:rPr>
          <w:rFonts w:ascii="Times New Roman" w:hAnsi="Times New Roman" w:eastAsia="仿宋_GB2312"/>
          <w:b w:val="0"/>
          <w:bCs w:val="0"/>
        </w:rPr>
        <w:t>至</w:t>
      </w:r>
      <w:r>
        <w:rPr>
          <w:rFonts w:hint="eastAsia" w:ascii="Times New Roman" w:hAnsi="Times New Roman" w:eastAsia="仿宋_GB2312"/>
          <w:b w:val="0"/>
          <w:bCs w:val="0"/>
        </w:rPr>
        <w:t>2024年12月31日</w:t>
      </w:r>
      <w:r>
        <w:rPr>
          <w:rFonts w:ascii="Times New Roman" w:hAnsi="Times New Roman" w:eastAsia="仿宋_GB2312"/>
          <w:b w:val="0"/>
          <w:bCs w:val="0"/>
        </w:rPr>
        <w:t>的全部资金投入与支出，涉及资金总额为</w:t>
      </w:r>
      <w:r>
        <w:rPr>
          <w:rFonts w:hint="eastAsia" w:ascii="Times New Roman" w:hAnsi="Times New Roman" w:eastAsia="仿宋_GB2312"/>
          <w:b w:val="0"/>
          <w:bCs w:val="0"/>
        </w:rPr>
        <w:t>520</w:t>
      </w:r>
      <w:r>
        <w:rPr>
          <w:rFonts w:ascii="Times New Roman" w:hAnsi="Times New Roman" w:eastAsia="仿宋_GB2312"/>
          <w:b w:val="0"/>
          <w:bCs w:val="0"/>
        </w:rPr>
        <w:t>万元。</w:t>
      </w:r>
    </w:p>
    <w:p w14:paraId="324B40BD">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4.绩效评价的范围</w:t>
      </w:r>
    </w:p>
    <w:p w14:paraId="3F83EA6E">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本项目预算绩效评价报告的评价范围广泛而全面，涵盖了从项目立项至评价时点期间的所有关键预算活动和财务流程。具体而言，评价范围包括但不限于以下几个方面：</w:t>
      </w:r>
    </w:p>
    <w:p w14:paraId="19EB23D8">
      <w:pPr>
        <w:pStyle w:val="11"/>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项目预算编制与执行：全面审视项目预算的编制依据、合理性、科学性以及实际执行情况，包括预算调整的原因和效果。</w:t>
      </w:r>
    </w:p>
    <w:p w14:paraId="267E8AEF">
      <w:pPr>
        <w:pStyle w:val="11"/>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资金管理：深入分析项目资金的分配、使用和监管情况，确保资金使用的合规性、高效性和透明度。</w:t>
      </w:r>
    </w:p>
    <w:p w14:paraId="19E01CD2">
      <w:pPr>
        <w:pStyle w:val="11"/>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项目实施进度与产出：评估项目是否按照既定计划顺利推进，各项任务是否按时完成，以及项目产出的数量、质量和时效性是否符合预期。</w:t>
      </w:r>
    </w:p>
    <w:p w14:paraId="1E59BB39">
      <w:pPr>
        <w:pStyle w:val="11"/>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社会影响：考察项目对社会方面的综合影响。</w:t>
      </w:r>
    </w:p>
    <w:p w14:paraId="07793574">
      <w:pPr>
        <w:spacing w:line="560" w:lineRule="exact"/>
        <w:ind w:firstLine="643" w:firstLineChars="200"/>
      </w:pPr>
      <w:r>
        <w:rPr>
          <w:rFonts w:eastAsia="楷体_GB2312"/>
          <w:b/>
          <w:bCs/>
          <w:sz w:val="32"/>
          <w:szCs w:val="32"/>
        </w:rPr>
        <w:t>（二）绩效评价原则、评价指标体系（详情见表1）、评价方法、评价标准。</w:t>
      </w:r>
    </w:p>
    <w:p w14:paraId="48E398F4">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w:t>
      </w:r>
      <w:r>
        <w:rPr>
          <w:rFonts w:ascii="Times New Roman" w:hAnsi="Times New Roman" w:eastAsia="仿宋_GB2312"/>
        </w:rPr>
        <w:t>.</w:t>
      </w:r>
      <w:r>
        <w:rPr>
          <w:rFonts w:ascii="Times New Roman" w:hAnsi="Times New Roman" w:eastAsia="仿宋_GB2312"/>
          <w:b w:val="0"/>
          <w:bCs w:val="0"/>
        </w:rPr>
        <w:t>绩效评价原则</w:t>
      </w:r>
    </w:p>
    <w:p w14:paraId="5AC985B3">
      <w:pPr>
        <w:spacing w:line="560" w:lineRule="exact"/>
        <w:ind w:firstLine="640" w:firstLineChars="200"/>
        <w:rPr>
          <w:rFonts w:eastAsia="仿宋_GB2312"/>
          <w:sz w:val="32"/>
          <w:szCs w:val="32"/>
        </w:rPr>
      </w:pPr>
      <w:r>
        <w:rPr>
          <w:rFonts w:eastAsia="仿宋_GB2312"/>
          <w:sz w:val="32"/>
          <w:szCs w:val="32"/>
        </w:rPr>
        <w:t>本次项目绩效评价遵循以下基本原则：</w:t>
      </w:r>
    </w:p>
    <w:p w14:paraId="3321091D">
      <w:pPr>
        <w:pStyle w:val="11"/>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（1）科学公正。绩效评价应当运用科学合理的方法，按照规范的程序，对项目绩效进行客观、公正的反映。</w:t>
      </w:r>
    </w:p>
    <w:p w14:paraId="6E20F725">
      <w:pPr>
        <w:pStyle w:val="11"/>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14:paraId="16346F89">
      <w:pPr>
        <w:pStyle w:val="11"/>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14:paraId="5CDA7C09">
      <w:pPr>
        <w:pStyle w:val="11"/>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14:paraId="34D246A9">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w:t>
      </w:r>
      <w:r>
        <w:rPr>
          <w:rFonts w:ascii="Times New Roman" w:hAnsi="Times New Roman" w:eastAsia="仿宋_GB2312"/>
        </w:rPr>
        <w:t>.</w:t>
      </w:r>
      <w:r>
        <w:rPr>
          <w:rFonts w:ascii="Times New Roman" w:hAnsi="Times New Roman" w:eastAsia="仿宋_GB2312"/>
          <w:b w:val="0"/>
          <w:bCs w:val="0"/>
        </w:rPr>
        <w:t>评价指标体系</w:t>
      </w:r>
    </w:p>
    <w:p w14:paraId="3AE91BB1">
      <w:pPr>
        <w:spacing w:line="560" w:lineRule="exact"/>
        <w:ind w:firstLine="708" w:firstLineChars="200"/>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1D02F596">
      <w:pPr>
        <w:spacing w:line="560" w:lineRule="exact"/>
        <w:ind w:firstLine="708" w:firstLineChars="200"/>
        <w:rPr>
          <w:rFonts w:eastAsia="仿宋_GB2312"/>
          <w:spacing w:val="17"/>
          <w:sz w:val="32"/>
          <w:szCs w:val="32"/>
        </w:rPr>
      </w:pPr>
      <w:r>
        <w:rPr>
          <w:rFonts w:eastAsia="仿宋_GB2312"/>
          <w:spacing w:val="17"/>
          <w:sz w:val="32"/>
          <w:szCs w:val="32"/>
        </w:rPr>
        <w:t>（1）确定评价指标</w:t>
      </w:r>
    </w:p>
    <w:p w14:paraId="3EC09052">
      <w:pPr>
        <w:spacing w:line="560" w:lineRule="exact"/>
        <w:ind w:firstLine="708" w:firstLineChars="200"/>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pPr>
        <w:spacing w:line="560" w:lineRule="exact"/>
        <w:ind w:firstLine="708" w:firstLineChars="200"/>
        <w:rPr>
          <w:rFonts w:eastAsia="仿宋_GB2312"/>
          <w:spacing w:val="17"/>
          <w:sz w:val="32"/>
          <w:szCs w:val="32"/>
        </w:rPr>
      </w:pPr>
      <w:r>
        <w:rPr>
          <w:rFonts w:eastAsia="仿宋_GB2312"/>
          <w:spacing w:val="17"/>
          <w:sz w:val="32"/>
          <w:szCs w:val="32"/>
        </w:rPr>
        <w:t>（2）确定权重</w:t>
      </w:r>
    </w:p>
    <w:p w14:paraId="74E07D02">
      <w:pPr>
        <w:spacing w:line="560" w:lineRule="exact"/>
        <w:ind w:firstLine="708" w:firstLineChars="200"/>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确定各个指标相对于项目总体绩效的权重分值。在绩效评价指标体系中，项目决策权重为20分，项目过程权重为20分，项目产出权重为40分，项目效益权重为20分。</w:t>
      </w:r>
    </w:p>
    <w:p w14:paraId="6FA1C4A1">
      <w:pPr>
        <w:spacing w:line="560" w:lineRule="exact"/>
        <w:ind w:firstLine="708" w:firstLineChars="200"/>
        <w:rPr>
          <w:rFonts w:eastAsia="仿宋_GB2312"/>
          <w:spacing w:val="17"/>
          <w:sz w:val="32"/>
          <w:szCs w:val="32"/>
        </w:rPr>
      </w:pPr>
      <w:r>
        <w:rPr>
          <w:rFonts w:eastAsia="仿宋_GB2312"/>
          <w:spacing w:val="17"/>
          <w:sz w:val="32"/>
          <w:szCs w:val="32"/>
        </w:rPr>
        <w:t>（3）确定指标标准值</w:t>
      </w:r>
    </w:p>
    <w:p w14:paraId="7CBC3BBF">
      <w:pPr>
        <w:spacing w:line="560" w:lineRule="exact"/>
        <w:ind w:firstLine="708" w:firstLineChars="200"/>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23FDC03B">
      <w:pPr>
        <w:pStyle w:val="11"/>
        <w:spacing w:before="0" w:after="0" w:line="560" w:lineRule="exact"/>
        <w:ind w:firstLine="708" w:firstLineChars="200"/>
        <w:jc w:val="both"/>
        <w:rPr>
          <w:rFonts w:ascii="Times New Roman" w:hAnsi="Times New Roman" w:eastAsia="仿宋_GB2312"/>
          <w:b w:val="0"/>
          <w:bCs w:val="0"/>
          <w:spacing w:val="17"/>
          <w:kern w:val="2"/>
        </w:rPr>
      </w:pPr>
      <w:r>
        <w:rPr>
          <w:rFonts w:ascii="Times New Roman" w:hAnsi="Times New Roman" w:eastAsia="仿宋_GB2312"/>
          <w:b w:val="0"/>
          <w:bCs w:val="0"/>
          <w:spacing w:val="17"/>
          <w:kern w:val="2"/>
        </w:rPr>
        <w:t>绩效评价总分值100分，根据综合评分结果，90（含）-100分为优、80（含）-90分为良、60（含）-80分为中、60分以下为差。</w:t>
      </w:r>
    </w:p>
    <w:p w14:paraId="18CE842B">
      <w:pPr>
        <w:pStyle w:val="11"/>
        <w:widowControl w:val="0"/>
        <w:spacing w:before="0" w:after="0" w:line="560" w:lineRule="exact"/>
        <w:ind w:firstLine="708" w:firstLineChars="200"/>
        <w:jc w:val="both"/>
        <w:outlineLvl w:val="9"/>
        <w:rPr>
          <w:rFonts w:ascii="Times New Roman" w:hAnsi="Times New Roman" w:eastAsia="仿宋_GB2312"/>
          <w:b w:val="0"/>
          <w:bCs w:val="0"/>
          <w:spacing w:val="17"/>
        </w:rPr>
      </w:pPr>
      <w:r>
        <w:rPr>
          <w:rFonts w:ascii="Times New Roman" w:hAnsi="Times New Roman" w:eastAsia="仿宋_GB2312"/>
          <w:b w:val="0"/>
          <w:bCs w:val="0"/>
          <w:spacing w:val="17"/>
        </w:rPr>
        <w:t>具体评价指标体系详情见附件1</w:t>
      </w:r>
    </w:p>
    <w:p w14:paraId="2C736C5E">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14:paraId="4EF86CD3">
      <w:pPr>
        <w:spacing w:line="560" w:lineRule="exact"/>
        <w:ind w:firstLine="708" w:firstLineChars="200"/>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4D549DA7">
      <w:pPr>
        <w:spacing w:line="560" w:lineRule="exact"/>
        <w:ind w:firstLine="708" w:firstLineChars="200"/>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192B2D6E">
      <w:pPr>
        <w:spacing w:line="560" w:lineRule="exact"/>
        <w:ind w:firstLine="708" w:firstLineChars="200"/>
        <w:rPr>
          <w:rFonts w:eastAsia="仿宋_GB2312"/>
          <w:spacing w:val="17"/>
          <w:sz w:val="32"/>
          <w:szCs w:val="32"/>
        </w:rPr>
      </w:pPr>
      <w:r>
        <w:rPr>
          <w:rFonts w:eastAsia="仿宋_GB2312"/>
          <w:spacing w:val="17"/>
          <w:sz w:val="32"/>
          <w:szCs w:val="32"/>
        </w:rPr>
        <w:t xml:space="preserve">（一）成本效益分析法。是指将投入与产出、效益进行关联性分析的方法。 </w:t>
      </w:r>
    </w:p>
    <w:p w14:paraId="4440403D">
      <w:pPr>
        <w:spacing w:line="560" w:lineRule="exact"/>
        <w:ind w:firstLine="708" w:firstLineChars="200"/>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p>
    <w:p w14:paraId="6AFCA546">
      <w:pPr>
        <w:spacing w:line="560" w:lineRule="exact"/>
        <w:ind w:firstLine="708" w:firstLineChars="200"/>
        <w:rPr>
          <w:rFonts w:eastAsia="仿宋_GB2312"/>
          <w:spacing w:val="17"/>
          <w:sz w:val="32"/>
          <w:szCs w:val="32"/>
        </w:rPr>
      </w:pPr>
      <w:r>
        <w:rPr>
          <w:rFonts w:eastAsia="仿宋_GB2312"/>
          <w:spacing w:val="17"/>
          <w:sz w:val="32"/>
          <w:szCs w:val="32"/>
        </w:rPr>
        <w:t>（三）因素分析法。是指综合分析影响绩效目标实现、实施效果的内外部因素的方法。</w:t>
      </w:r>
    </w:p>
    <w:p w14:paraId="57286475">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w:t>
      </w:r>
      <w:r>
        <w:rPr>
          <w:rFonts w:ascii="Times New Roman" w:hAnsi="Times New Roman" w:eastAsia="仿宋_GB2312"/>
        </w:rPr>
        <w:t>.</w:t>
      </w:r>
      <w:r>
        <w:rPr>
          <w:rFonts w:ascii="Times New Roman" w:hAnsi="Times New Roman" w:eastAsia="仿宋_GB2312"/>
          <w:b w:val="0"/>
          <w:bCs w:val="0"/>
        </w:rPr>
        <w:t>评价标准</w:t>
      </w:r>
    </w:p>
    <w:p w14:paraId="7355B2F0">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绩效评价标准通常包括计划标准、行业标准、历史标准等，用于对绩效指标完成情况进行比较、分析、评价。本次评价主要采用了</w:t>
      </w:r>
      <w:r>
        <w:rPr>
          <w:rFonts w:hint="eastAsia" w:ascii="Times New Roman" w:hAnsi="Times New Roman" w:eastAsia="仿宋_GB2312"/>
          <w:b w:val="0"/>
          <w:bCs w:val="0"/>
        </w:rPr>
        <w:t>计划</w:t>
      </w:r>
      <w:r>
        <w:rPr>
          <w:rFonts w:ascii="Times New Roman" w:hAnsi="Times New Roman" w:eastAsia="仿宋_GB2312"/>
          <w:b w:val="0"/>
          <w:bCs w:val="0"/>
        </w:rPr>
        <w:t>标准。</w:t>
      </w:r>
    </w:p>
    <w:p w14:paraId="22653DC3">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（1）计划标准。指以预先制定的目标、计划、预算、定额等作为评价标准。</w:t>
      </w:r>
    </w:p>
    <w:p w14:paraId="16A6311D">
      <w:pPr>
        <w:pStyle w:val="11"/>
        <w:numPr>
          <w:ilvl w:val="0"/>
          <w:numId w:val="2"/>
        </w:numPr>
        <w:spacing w:before="0" w:after="0" w:line="560" w:lineRule="exact"/>
        <w:ind w:firstLine="711"/>
        <w:jc w:val="both"/>
        <w:rPr>
          <w:rFonts w:ascii="Times New Roman" w:hAnsi="Times New Roman" w:eastAsia="楷体"/>
          <w:spacing w:val="17"/>
        </w:rPr>
      </w:pPr>
      <w:r>
        <w:rPr>
          <w:rFonts w:ascii="Times New Roman" w:hAnsi="Times New Roman" w:eastAsia="楷体"/>
          <w:spacing w:val="17"/>
        </w:rPr>
        <w:t>绩效评价工作过程</w:t>
      </w:r>
    </w:p>
    <w:p w14:paraId="5C2BE592">
      <w:pPr>
        <w:spacing w:line="560" w:lineRule="exact"/>
        <w:ind w:firstLine="640" w:firstLineChars="200"/>
        <w:rPr>
          <w:rFonts w:eastAsia="仿宋_GB2312"/>
          <w:sz w:val="32"/>
          <w:szCs w:val="32"/>
        </w:rPr>
      </w:pPr>
      <w:r>
        <w:rPr>
          <w:rFonts w:eastAsia="仿宋_GB2312"/>
          <w:sz w:val="32"/>
          <w:szCs w:val="32"/>
        </w:rPr>
        <w:t>（1）前期准备与规划</w:t>
      </w:r>
    </w:p>
    <w:p w14:paraId="31FCAA85">
      <w:pPr>
        <w:spacing w:line="560" w:lineRule="exact"/>
        <w:ind w:firstLine="640" w:firstLineChars="200"/>
        <w:rPr>
          <w:rFonts w:eastAsia="仿宋_GB2312"/>
          <w:sz w:val="32"/>
          <w:szCs w:val="32"/>
        </w:rPr>
      </w:pPr>
      <w:r>
        <w:rPr>
          <w:rFonts w:eastAsia="仿宋_GB2312"/>
          <w:sz w:val="32"/>
          <w:szCs w:val="32"/>
        </w:rPr>
        <w:t>在项目绩效评价工作启动之初，成立了专门的评价工作小组，小组成员由</w:t>
      </w:r>
      <w:r>
        <w:rPr>
          <w:rFonts w:hint="eastAsia" w:eastAsia="仿宋_GB2312"/>
          <w:sz w:val="32"/>
          <w:szCs w:val="32"/>
        </w:rPr>
        <w:t>社区负责人</w:t>
      </w:r>
      <w:r>
        <w:rPr>
          <w:rFonts w:eastAsia="仿宋_GB2312"/>
          <w:sz w:val="32"/>
          <w:szCs w:val="32"/>
        </w:rPr>
        <w:t>、项目管理专业人员及相关领域技术骨干组成，确保从多角度、全方位对项目绩效进行评价。同时，明确了评价工作的目标、范围、重点及时间安排，制定了详细的工作计划，为评价工作的顺利开展奠定了坚实基础。</w:t>
      </w:r>
    </w:p>
    <w:p w14:paraId="3AA1B9B9">
      <w:pPr>
        <w:spacing w:line="560" w:lineRule="exact"/>
        <w:ind w:firstLine="640" w:firstLineChars="200"/>
        <w:rPr>
          <w:rFonts w:eastAsia="仿宋_GB2312"/>
          <w:sz w:val="32"/>
          <w:szCs w:val="32"/>
        </w:rPr>
      </w:pPr>
      <w:r>
        <w:rPr>
          <w:rFonts w:eastAsia="仿宋_GB2312"/>
          <w:sz w:val="32"/>
          <w:szCs w:val="32"/>
        </w:rPr>
        <w:t>（2）指标体系构建</w:t>
      </w:r>
    </w:p>
    <w:p w14:paraId="42502E2B">
      <w:pPr>
        <w:spacing w:line="560" w:lineRule="exact"/>
        <w:ind w:firstLine="640" w:firstLineChars="20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10D60076">
      <w:pPr>
        <w:spacing w:line="560" w:lineRule="exact"/>
        <w:ind w:firstLine="640" w:firstLineChars="200"/>
        <w:rPr>
          <w:rFonts w:eastAsia="仿宋_GB2312"/>
          <w:sz w:val="32"/>
          <w:szCs w:val="32"/>
        </w:rPr>
      </w:pPr>
      <w:r>
        <w:rPr>
          <w:rFonts w:eastAsia="仿宋_GB2312"/>
          <w:sz w:val="32"/>
          <w:szCs w:val="32"/>
        </w:rPr>
        <w:t>（3）数据收集与整理</w:t>
      </w:r>
    </w:p>
    <w:p w14:paraId="5A220F80">
      <w:pPr>
        <w:spacing w:line="560" w:lineRule="exact"/>
        <w:ind w:firstLine="640" w:firstLineChars="20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64616C1">
      <w:pPr>
        <w:spacing w:line="560" w:lineRule="exact"/>
        <w:ind w:firstLine="640" w:firstLineChars="200"/>
        <w:rPr>
          <w:rFonts w:eastAsia="仿宋_GB2312"/>
          <w:sz w:val="32"/>
          <w:szCs w:val="32"/>
        </w:rPr>
      </w:pPr>
      <w:r>
        <w:rPr>
          <w:rFonts w:eastAsia="仿宋_GB2312"/>
          <w:sz w:val="32"/>
          <w:szCs w:val="32"/>
        </w:rPr>
        <w:t>（4）数据分析与评估</w:t>
      </w:r>
    </w:p>
    <w:p w14:paraId="51CCA7BC">
      <w:pPr>
        <w:spacing w:line="560" w:lineRule="exact"/>
        <w:ind w:firstLine="640" w:firstLineChars="20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pPr>
        <w:spacing w:line="560" w:lineRule="exact"/>
        <w:ind w:firstLine="640" w:firstLineChars="200"/>
        <w:rPr>
          <w:rFonts w:eastAsia="仿宋_GB2312"/>
          <w:sz w:val="32"/>
          <w:szCs w:val="32"/>
        </w:rPr>
      </w:pPr>
      <w:r>
        <w:rPr>
          <w:rFonts w:eastAsia="仿宋_GB2312"/>
          <w:sz w:val="32"/>
          <w:szCs w:val="32"/>
        </w:rPr>
        <w:t>（5）报告撰写与反馈</w:t>
      </w:r>
    </w:p>
    <w:p w14:paraId="68B78164">
      <w:pPr>
        <w:spacing w:line="560" w:lineRule="exact"/>
        <w:ind w:firstLine="640" w:firstLineChars="20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pPr>
        <w:spacing w:line="560" w:lineRule="exact"/>
        <w:ind w:firstLine="640" w:firstLineChars="200"/>
        <w:rPr>
          <w:rFonts w:eastAsia="仿宋_GB2312"/>
          <w:sz w:val="32"/>
          <w:szCs w:val="32"/>
        </w:rPr>
      </w:pPr>
      <w:r>
        <w:rPr>
          <w:rFonts w:eastAsia="仿宋_GB2312"/>
          <w:sz w:val="32"/>
          <w:szCs w:val="32"/>
        </w:rPr>
        <w:t>（6）后续跟踪与改进</w:t>
      </w:r>
    </w:p>
    <w:p w14:paraId="5BD08F05">
      <w:pPr>
        <w:spacing w:line="560" w:lineRule="exact"/>
        <w:ind w:firstLine="640" w:firstLineChars="20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pPr>
        <w:numPr>
          <w:ilvl w:val="0"/>
          <w:numId w:val="3"/>
        </w:numPr>
        <w:spacing w:line="560" w:lineRule="exact"/>
        <w:ind w:firstLine="640" w:firstLineChars="200"/>
        <w:rPr>
          <w:rFonts w:eastAsia="黑体"/>
          <w:sz w:val="32"/>
          <w:szCs w:val="32"/>
        </w:rPr>
      </w:pPr>
      <w:r>
        <w:rPr>
          <w:rFonts w:eastAsia="黑体"/>
          <w:sz w:val="32"/>
          <w:szCs w:val="32"/>
        </w:rPr>
        <w:t>综合评价情况及评价结论（附相关评分表）</w:t>
      </w:r>
    </w:p>
    <w:p w14:paraId="7B419597">
      <w:pPr>
        <w:pStyle w:val="11"/>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（一）评价情况</w:t>
      </w:r>
    </w:p>
    <w:p w14:paraId="68825DF6">
      <w:pPr>
        <w:pStyle w:val="10"/>
        <w:widowControl/>
        <w:spacing w:beforeAutospacing="0" w:afterAutospacing="0" w:line="560" w:lineRule="exact"/>
        <w:ind w:firstLine="640" w:firstLineChars="200"/>
        <w:rPr>
          <w:rFonts w:eastAsia="仿宋_GB2312"/>
          <w:sz w:val="32"/>
          <w:szCs w:val="32"/>
        </w:rPr>
      </w:pPr>
      <w:r>
        <w:rPr>
          <w:rFonts w:eastAsia="仿宋_GB2312"/>
          <w:sz w:val="32"/>
          <w:szCs w:val="32"/>
        </w:rPr>
        <w:t>本项目的综合评价基于对项目各方面绩效的深入分析与评估。从项目目标的达成情况来看，社区经费在</w:t>
      </w:r>
      <w:r>
        <w:rPr>
          <w:rFonts w:hint="eastAsia" w:eastAsia="仿宋_GB2312"/>
          <w:sz w:val="32"/>
          <w:szCs w:val="32"/>
        </w:rPr>
        <w:t>保障社区数量</w:t>
      </w:r>
      <w:r>
        <w:rPr>
          <w:rFonts w:eastAsia="仿宋_GB2312"/>
          <w:sz w:val="32"/>
          <w:szCs w:val="32"/>
        </w:rPr>
        <w:t>、经费支出合理性等方面表现出色，达到了预期的标准与要求。同时，项目也在提供充足的社区经费，用以保障辖区居民生活安全和提升幸福感取得了显著的成效，如经费支出合理性、经费支付及时性等。</w:t>
      </w:r>
    </w:p>
    <w:p w14:paraId="2E9EF157">
      <w:pPr>
        <w:pStyle w:val="10"/>
        <w:widowControl/>
        <w:spacing w:beforeAutospacing="0" w:afterAutospacing="0" w:line="560" w:lineRule="exact"/>
        <w:ind w:firstLine="640" w:firstLineChars="200"/>
        <w:rPr>
          <w:rFonts w:eastAsia="仿宋_GB2312"/>
          <w:sz w:val="32"/>
          <w:szCs w:val="32"/>
        </w:rPr>
      </w:pPr>
      <w:r>
        <w:rPr>
          <w:rFonts w:eastAsia="仿宋_GB2312"/>
          <w:sz w:val="32"/>
          <w:szCs w:val="32"/>
        </w:rPr>
        <w:t>在项目管理方面，乌鲁木齐市沙依巴克区和田街片区管理委员会通过有效的规划、组织与协调，项目得以顺利实施，并在预算与时间上保持了良好的控制。</w:t>
      </w:r>
    </w:p>
    <w:p w14:paraId="2C57A2AB">
      <w:pPr>
        <w:pStyle w:val="10"/>
        <w:widowControl/>
        <w:spacing w:beforeAutospacing="0" w:afterAutospacing="0" w:line="560" w:lineRule="exact"/>
        <w:ind w:firstLine="640" w:firstLineChars="200"/>
        <w:rPr>
          <w:rFonts w:eastAsia="仿宋_GB2312"/>
          <w:sz w:val="32"/>
          <w:szCs w:val="32"/>
        </w:rPr>
      </w:pPr>
      <w:r>
        <w:rPr>
          <w:rFonts w:eastAsia="仿宋_GB2312"/>
          <w:sz w:val="32"/>
          <w:szCs w:val="32"/>
        </w:rPr>
        <w:t>从项目效益的角度来看，本项目不仅实现了预期的社会效益方面产生了积极的影响。具体而言，提升社区服务能力</w:t>
      </w:r>
      <w:r>
        <w:rPr>
          <w:rFonts w:hint="eastAsia" w:eastAsia="仿宋_GB2312"/>
          <w:sz w:val="32"/>
          <w:szCs w:val="32"/>
        </w:rPr>
        <w:t>、保障社区工作正常运转</w:t>
      </w:r>
      <w:r>
        <w:rPr>
          <w:rFonts w:eastAsia="仿宋_GB2312"/>
          <w:sz w:val="32"/>
          <w:szCs w:val="32"/>
        </w:rPr>
        <w:t>方面的提升，为项目的利益相关者带来了实实在在的利益。</w:t>
      </w:r>
    </w:p>
    <w:p w14:paraId="65871231">
      <w:pPr>
        <w:pStyle w:val="10"/>
        <w:widowControl/>
        <w:spacing w:beforeAutospacing="0" w:afterAutospacing="0" w:line="560" w:lineRule="exact"/>
        <w:ind w:firstLine="640" w:firstLineChars="200"/>
      </w:pPr>
      <w:r>
        <w:rPr>
          <w:rFonts w:eastAsia="仿宋_GB2312"/>
          <w:sz w:val="32"/>
          <w:szCs w:val="32"/>
        </w:rPr>
        <w:t>综上所述，社区工作经费在绩效评价中表现出色，达到了项目的预期目标，并在多个方面取得了显著的成效。</w:t>
      </w:r>
    </w:p>
    <w:p w14:paraId="54598732">
      <w:pPr>
        <w:pStyle w:val="11"/>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（二）评价结论</w:t>
      </w:r>
    </w:p>
    <w:p w14:paraId="0AD22873">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运用绩效评价组制定的评价指标体系以及财政部《项目支出绩效评价管理办法》（财预〔2020〕10号）文件的评分标准，通过数据采集、问卷调查及访谈等方式，对本项目进行客观评价，最终评分结果：总得分为</w:t>
      </w:r>
      <w:r>
        <w:rPr>
          <w:rFonts w:hint="eastAsia" w:ascii="Times New Roman" w:hAnsi="Times New Roman" w:eastAsia="仿宋_GB2312"/>
          <w:b w:val="0"/>
          <w:bCs w:val="0"/>
        </w:rPr>
        <w:t>100</w:t>
      </w:r>
      <w:r>
        <w:rPr>
          <w:rFonts w:ascii="Times New Roman" w:hAnsi="Times New Roman" w:eastAsia="仿宋_GB2312"/>
          <w:b w:val="0"/>
          <w:bCs w:val="0"/>
        </w:rPr>
        <w:t>分，属于“优”。其中，项目决策类指标权重为20分，得分为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%。项目过程类指标权重为20分，得分为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%。项目产出类指标权重为40分，得分为</w:t>
      </w:r>
      <w:r>
        <w:rPr>
          <w:rFonts w:hint="eastAsia" w:ascii="Times New Roman" w:hAnsi="Times New Roman" w:eastAsia="仿宋_GB2312"/>
          <w:b w:val="0"/>
          <w:bCs w:val="0"/>
        </w:rPr>
        <w:t>40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%。项目效益类指标权重为20分，得分为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%。具体打分情况详见：附件1综合评分表。</w:t>
      </w:r>
    </w:p>
    <w:p w14:paraId="0DA8308E">
      <w:pPr>
        <w:pStyle w:val="11"/>
        <w:spacing w:before="0" w:after="0"/>
        <w:rPr>
          <w:rFonts w:ascii="Times New Roman" w:hAnsi="Times New Roman" w:eastAsia="仿宋_GB2312"/>
          <w:sz w:val="21"/>
          <w:szCs w:val="21"/>
        </w:rPr>
      </w:pPr>
      <w:r>
        <w:rPr>
          <w:rFonts w:ascii="Times New Roman" w:hAnsi="Times New Roman" w:eastAsia="仿宋_GB2312"/>
          <w:sz w:val="21"/>
          <w:szCs w:val="21"/>
        </w:rPr>
        <w:t>表1综合评分表</w:t>
      </w:r>
    </w:p>
    <w:tbl>
      <w:tblPr>
        <w:tblStyle w:val="15"/>
        <w:tblW w:w="4998" w:type="pct"/>
        <w:jc w:val="center"/>
        <w:tblLayout w:type="autofit"/>
        <w:tblCellMar>
          <w:top w:w="0" w:type="dxa"/>
          <w:left w:w="108" w:type="dxa"/>
          <w:bottom w:w="0" w:type="dxa"/>
          <w:right w:w="108" w:type="dxa"/>
        </w:tblCellMar>
      </w:tblPr>
      <w:tblGrid>
        <w:gridCol w:w="2787"/>
        <w:gridCol w:w="1927"/>
        <w:gridCol w:w="2023"/>
        <w:gridCol w:w="2023"/>
      </w:tblGrid>
      <w:tr w14:paraId="28F9F1EC">
        <w:tblPrEx>
          <w:tblCellMar>
            <w:top w:w="0" w:type="dxa"/>
            <w:left w:w="108" w:type="dxa"/>
            <w:bottom w:w="0" w:type="dxa"/>
            <w:right w:w="108" w:type="dxa"/>
          </w:tblCellMar>
        </w:tblPrEx>
        <w:trPr>
          <w:trHeight w:val="90" w:hRule="atLeast"/>
          <w:tblHeader/>
          <w:jc w:val="center"/>
        </w:trPr>
        <w:tc>
          <w:tcPr>
            <w:tcW w:w="1590" w:type="pct"/>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3C69E152">
            <w:pPr>
              <w:jc w:val="center"/>
              <w:rPr>
                <w:rFonts w:eastAsia="仿宋_GB2312"/>
                <w:b/>
                <w:bCs/>
                <w:szCs w:val="21"/>
              </w:rPr>
            </w:pPr>
            <w:r>
              <w:rPr>
                <w:rFonts w:eastAsia="仿宋_GB2312"/>
                <w:b/>
                <w:bCs/>
                <w:szCs w:val="21"/>
              </w:rPr>
              <w:t>一级指标</w:t>
            </w:r>
          </w:p>
        </w:tc>
        <w:tc>
          <w:tcPr>
            <w:tcW w:w="1099"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02746797">
            <w:pPr>
              <w:jc w:val="center"/>
              <w:rPr>
                <w:rFonts w:eastAsia="仿宋_GB2312"/>
                <w:b/>
                <w:bCs/>
                <w:szCs w:val="21"/>
              </w:rPr>
            </w:pPr>
            <w:r>
              <w:rPr>
                <w:rFonts w:eastAsia="仿宋_GB2312"/>
                <w:b/>
                <w:bCs/>
                <w:szCs w:val="21"/>
              </w:rPr>
              <w:t>权重分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15E4DA57">
            <w:pPr>
              <w:jc w:val="center"/>
              <w:rPr>
                <w:rFonts w:eastAsia="仿宋_GB2312"/>
                <w:b/>
                <w:bCs/>
                <w:szCs w:val="21"/>
              </w:rPr>
            </w:pPr>
            <w:r>
              <w:rPr>
                <w:rFonts w:eastAsia="仿宋_GB2312"/>
                <w:b/>
                <w:bCs/>
                <w:szCs w:val="21"/>
              </w:rPr>
              <w:t>得分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296F2C81">
            <w:pPr>
              <w:jc w:val="center"/>
              <w:rPr>
                <w:rFonts w:eastAsia="仿宋_GB2312"/>
                <w:b/>
                <w:bCs/>
                <w:szCs w:val="21"/>
              </w:rPr>
            </w:pPr>
            <w:r>
              <w:rPr>
                <w:rFonts w:hint="eastAsia" w:eastAsia="仿宋_GB2312"/>
                <w:b/>
                <w:bCs/>
                <w:szCs w:val="21"/>
              </w:rPr>
              <w:t>得分率</w:t>
            </w:r>
          </w:p>
        </w:tc>
      </w:tr>
      <w:tr w14:paraId="0F6F05CC">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7ECC2743">
            <w:pPr>
              <w:jc w:val="center"/>
              <w:rPr>
                <w:rFonts w:eastAsia="仿宋_GB2312"/>
                <w:szCs w:val="21"/>
              </w:rPr>
            </w:pPr>
            <w:r>
              <w:rPr>
                <w:rFonts w:eastAsia="仿宋_GB2312"/>
                <w:szCs w:val="21"/>
              </w:rPr>
              <w:t>项目决策</w:t>
            </w:r>
          </w:p>
        </w:tc>
        <w:tc>
          <w:tcPr>
            <w:tcW w:w="1099" w:type="pct"/>
            <w:tcBorders>
              <w:top w:val="nil"/>
              <w:left w:val="nil"/>
              <w:bottom w:val="single" w:color="auto" w:sz="4" w:space="0"/>
              <w:right w:val="single" w:color="auto" w:sz="4" w:space="0"/>
            </w:tcBorders>
            <w:vAlign w:val="center"/>
          </w:tcPr>
          <w:p w14:paraId="2BE7F794">
            <w:pPr>
              <w:jc w:val="center"/>
              <w:rPr>
                <w:rFonts w:eastAsia="仿宋_GB2312"/>
                <w:szCs w:val="21"/>
              </w:rPr>
            </w:pPr>
            <w:r>
              <w:rPr>
                <w:rFonts w:eastAsia="仿宋_GB2312"/>
                <w:szCs w:val="21"/>
              </w:rPr>
              <w:t>20</w:t>
            </w:r>
          </w:p>
        </w:tc>
        <w:tc>
          <w:tcPr>
            <w:tcW w:w="1154" w:type="pct"/>
            <w:tcBorders>
              <w:top w:val="nil"/>
              <w:left w:val="nil"/>
              <w:bottom w:val="single" w:color="auto" w:sz="4" w:space="0"/>
              <w:right w:val="single" w:color="auto" w:sz="4" w:space="0"/>
            </w:tcBorders>
            <w:vAlign w:val="center"/>
          </w:tcPr>
          <w:p w14:paraId="7BBDC4C6">
            <w:pPr>
              <w:jc w:val="center"/>
              <w:rPr>
                <w:rFonts w:eastAsia="仿宋_GB2312"/>
                <w:szCs w:val="21"/>
              </w:rPr>
            </w:pPr>
            <w:r>
              <w:rPr>
                <w:rFonts w:hint="eastAsia" w:eastAsia="仿宋_GB2312"/>
                <w:szCs w:val="21"/>
              </w:rPr>
              <w:t>20</w:t>
            </w:r>
          </w:p>
        </w:tc>
        <w:tc>
          <w:tcPr>
            <w:tcW w:w="1154" w:type="pct"/>
            <w:tcBorders>
              <w:top w:val="nil"/>
              <w:left w:val="nil"/>
              <w:bottom w:val="single" w:color="auto" w:sz="4" w:space="0"/>
              <w:right w:val="single" w:color="auto" w:sz="4" w:space="0"/>
            </w:tcBorders>
            <w:vAlign w:val="center"/>
          </w:tcPr>
          <w:p w14:paraId="4E0E0EDA">
            <w:pPr>
              <w:jc w:val="center"/>
              <w:rPr>
                <w:rFonts w:eastAsia="仿宋_GB2312"/>
                <w:szCs w:val="21"/>
              </w:rPr>
            </w:pPr>
            <w:r>
              <w:rPr>
                <w:rFonts w:hint="eastAsia" w:eastAsia="仿宋_GB2312"/>
                <w:szCs w:val="21"/>
              </w:rPr>
              <w:t>100%</w:t>
            </w:r>
          </w:p>
        </w:tc>
      </w:tr>
      <w:tr w14:paraId="0F91EAEA">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2891ECBD">
            <w:pPr>
              <w:jc w:val="center"/>
              <w:rPr>
                <w:rFonts w:eastAsia="仿宋_GB2312"/>
                <w:szCs w:val="21"/>
              </w:rPr>
            </w:pPr>
            <w:r>
              <w:rPr>
                <w:rFonts w:eastAsia="仿宋_GB2312"/>
                <w:szCs w:val="21"/>
              </w:rPr>
              <w:t>项目过程</w:t>
            </w:r>
          </w:p>
        </w:tc>
        <w:tc>
          <w:tcPr>
            <w:tcW w:w="1099" w:type="pct"/>
            <w:tcBorders>
              <w:top w:val="nil"/>
              <w:left w:val="nil"/>
              <w:bottom w:val="single" w:color="auto" w:sz="4" w:space="0"/>
              <w:right w:val="single" w:color="auto" w:sz="4" w:space="0"/>
            </w:tcBorders>
            <w:vAlign w:val="center"/>
          </w:tcPr>
          <w:p w14:paraId="6671F305">
            <w:pPr>
              <w:jc w:val="center"/>
              <w:rPr>
                <w:rFonts w:eastAsia="仿宋_GB2312"/>
                <w:szCs w:val="21"/>
              </w:rPr>
            </w:pPr>
            <w:r>
              <w:rPr>
                <w:rFonts w:eastAsia="仿宋_GB2312"/>
                <w:szCs w:val="21"/>
              </w:rPr>
              <w:t>20</w:t>
            </w:r>
          </w:p>
        </w:tc>
        <w:tc>
          <w:tcPr>
            <w:tcW w:w="1154" w:type="pct"/>
            <w:tcBorders>
              <w:top w:val="nil"/>
              <w:left w:val="nil"/>
              <w:bottom w:val="single" w:color="auto" w:sz="4" w:space="0"/>
              <w:right w:val="single" w:color="auto" w:sz="4" w:space="0"/>
            </w:tcBorders>
            <w:vAlign w:val="center"/>
          </w:tcPr>
          <w:p w14:paraId="4F78E977">
            <w:pPr>
              <w:jc w:val="center"/>
              <w:rPr>
                <w:rFonts w:eastAsia="仿宋_GB2312"/>
                <w:szCs w:val="21"/>
              </w:rPr>
            </w:pPr>
            <w:r>
              <w:rPr>
                <w:rFonts w:hint="eastAsia" w:eastAsia="仿宋_GB2312"/>
                <w:szCs w:val="21"/>
              </w:rPr>
              <w:t>20</w:t>
            </w:r>
          </w:p>
        </w:tc>
        <w:tc>
          <w:tcPr>
            <w:tcW w:w="1154" w:type="pct"/>
            <w:tcBorders>
              <w:top w:val="nil"/>
              <w:left w:val="nil"/>
              <w:bottom w:val="single" w:color="auto" w:sz="4" w:space="0"/>
              <w:right w:val="single" w:color="auto" w:sz="4" w:space="0"/>
            </w:tcBorders>
            <w:vAlign w:val="center"/>
          </w:tcPr>
          <w:p w14:paraId="286F0E6B">
            <w:pPr>
              <w:jc w:val="center"/>
              <w:rPr>
                <w:rFonts w:eastAsia="仿宋_GB2312"/>
                <w:szCs w:val="21"/>
              </w:rPr>
            </w:pPr>
            <w:r>
              <w:rPr>
                <w:rFonts w:hint="eastAsia" w:eastAsia="仿宋_GB2312"/>
                <w:szCs w:val="21"/>
              </w:rPr>
              <w:t>100%</w:t>
            </w:r>
          </w:p>
        </w:tc>
      </w:tr>
      <w:tr w14:paraId="1C5E97E9">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5B6ACF1C">
            <w:pPr>
              <w:jc w:val="center"/>
              <w:rPr>
                <w:rFonts w:eastAsia="仿宋_GB2312"/>
                <w:szCs w:val="21"/>
              </w:rPr>
            </w:pPr>
            <w:r>
              <w:rPr>
                <w:rFonts w:eastAsia="仿宋_GB2312"/>
                <w:szCs w:val="21"/>
              </w:rPr>
              <w:t>项目产出</w:t>
            </w:r>
          </w:p>
        </w:tc>
        <w:tc>
          <w:tcPr>
            <w:tcW w:w="1099" w:type="pct"/>
            <w:tcBorders>
              <w:top w:val="nil"/>
              <w:left w:val="nil"/>
              <w:bottom w:val="single" w:color="auto" w:sz="4" w:space="0"/>
              <w:right w:val="single" w:color="auto" w:sz="4" w:space="0"/>
            </w:tcBorders>
            <w:vAlign w:val="center"/>
          </w:tcPr>
          <w:p w14:paraId="41CBF47B">
            <w:pPr>
              <w:jc w:val="center"/>
              <w:rPr>
                <w:rFonts w:eastAsia="仿宋_GB2312"/>
                <w:szCs w:val="21"/>
              </w:rPr>
            </w:pPr>
            <w:r>
              <w:rPr>
                <w:rFonts w:eastAsia="仿宋_GB2312"/>
                <w:szCs w:val="21"/>
              </w:rPr>
              <w:t>40</w:t>
            </w:r>
          </w:p>
        </w:tc>
        <w:tc>
          <w:tcPr>
            <w:tcW w:w="1154" w:type="pct"/>
            <w:tcBorders>
              <w:top w:val="nil"/>
              <w:left w:val="nil"/>
              <w:bottom w:val="single" w:color="auto" w:sz="4" w:space="0"/>
              <w:right w:val="single" w:color="auto" w:sz="4" w:space="0"/>
            </w:tcBorders>
            <w:vAlign w:val="center"/>
          </w:tcPr>
          <w:p w14:paraId="6F3CC7FC">
            <w:pPr>
              <w:jc w:val="center"/>
              <w:rPr>
                <w:rFonts w:eastAsia="仿宋_GB2312"/>
                <w:szCs w:val="21"/>
              </w:rPr>
            </w:pPr>
            <w:r>
              <w:rPr>
                <w:rFonts w:hint="eastAsia" w:eastAsia="仿宋_GB2312"/>
                <w:szCs w:val="21"/>
              </w:rPr>
              <w:t>40</w:t>
            </w:r>
          </w:p>
        </w:tc>
        <w:tc>
          <w:tcPr>
            <w:tcW w:w="1154" w:type="pct"/>
            <w:tcBorders>
              <w:top w:val="nil"/>
              <w:left w:val="nil"/>
              <w:bottom w:val="single" w:color="auto" w:sz="4" w:space="0"/>
              <w:right w:val="single" w:color="auto" w:sz="4" w:space="0"/>
            </w:tcBorders>
            <w:vAlign w:val="center"/>
          </w:tcPr>
          <w:p w14:paraId="60AC4EC6">
            <w:pPr>
              <w:jc w:val="center"/>
              <w:rPr>
                <w:rFonts w:eastAsia="仿宋_GB2312"/>
                <w:szCs w:val="21"/>
              </w:rPr>
            </w:pPr>
            <w:r>
              <w:rPr>
                <w:rFonts w:hint="eastAsia" w:eastAsia="仿宋_GB2312"/>
                <w:szCs w:val="21"/>
              </w:rPr>
              <w:t>100%</w:t>
            </w:r>
          </w:p>
        </w:tc>
      </w:tr>
      <w:tr w14:paraId="1AF0D2B7">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45C36318">
            <w:pPr>
              <w:jc w:val="center"/>
              <w:rPr>
                <w:rFonts w:eastAsia="仿宋_GB2312"/>
                <w:szCs w:val="21"/>
              </w:rPr>
            </w:pPr>
            <w:r>
              <w:rPr>
                <w:rFonts w:eastAsia="仿宋_GB2312"/>
                <w:szCs w:val="21"/>
              </w:rPr>
              <w:t>项目效益</w:t>
            </w:r>
          </w:p>
        </w:tc>
        <w:tc>
          <w:tcPr>
            <w:tcW w:w="1099" w:type="pct"/>
            <w:tcBorders>
              <w:top w:val="nil"/>
              <w:left w:val="nil"/>
              <w:bottom w:val="single" w:color="auto" w:sz="4" w:space="0"/>
              <w:right w:val="single" w:color="auto" w:sz="4" w:space="0"/>
            </w:tcBorders>
            <w:vAlign w:val="center"/>
          </w:tcPr>
          <w:p w14:paraId="2F0F35F0">
            <w:pPr>
              <w:jc w:val="center"/>
              <w:rPr>
                <w:rFonts w:eastAsia="仿宋_GB2312"/>
                <w:szCs w:val="21"/>
              </w:rPr>
            </w:pPr>
            <w:r>
              <w:rPr>
                <w:rFonts w:eastAsia="仿宋_GB2312"/>
                <w:szCs w:val="21"/>
              </w:rPr>
              <w:t>20</w:t>
            </w:r>
          </w:p>
        </w:tc>
        <w:tc>
          <w:tcPr>
            <w:tcW w:w="1154" w:type="pct"/>
            <w:tcBorders>
              <w:top w:val="nil"/>
              <w:left w:val="nil"/>
              <w:bottom w:val="single" w:color="auto" w:sz="4" w:space="0"/>
              <w:right w:val="single" w:color="auto" w:sz="4" w:space="0"/>
            </w:tcBorders>
            <w:vAlign w:val="center"/>
          </w:tcPr>
          <w:p w14:paraId="1776DF05">
            <w:pPr>
              <w:jc w:val="center"/>
              <w:rPr>
                <w:rFonts w:eastAsia="仿宋_GB2312"/>
                <w:szCs w:val="21"/>
              </w:rPr>
            </w:pPr>
            <w:r>
              <w:rPr>
                <w:rFonts w:hint="eastAsia" w:eastAsia="仿宋_GB2312"/>
                <w:szCs w:val="21"/>
              </w:rPr>
              <w:t>20</w:t>
            </w:r>
          </w:p>
        </w:tc>
        <w:tc>
          <w:tcPr>
            <w:tcW w:w="1154" w:type="pct"/>
            <w:tcBorders>
              <w:top w:val="nil"/>
              <w:left w:val="nil"/>
              <w:bottom w:val="single" w:color="auto" w:sz="4" w:space="0"/>
              <w:right w:val="single" w:color="auto" w:sz="4" w:space="0"/>
            </w:tcBorders>
            <w:vAlign w:val="center"/>
          </w:tcPr>
          <w:p w14:paraId="1F715460">
            <w:pPr>
              <w:jc w:val="center"/>
              <w:rPr>
                <w:rFonts w:eastAsia="仿宋_GB2312"/>
                <w:szCs w:val="21"/>
              </w:rPr>
            </w:pPr>
            <w:r>
              <w:rPr>
                <w:rFonts w:hint="eastAsia" w:eastAsia="仿宋_GB2312"/>
                <w:szCs w:val="21"/>
              </w:rPr>
              <w:t>100%</w:t>
            </w:r>
          </w:p>
        </w:tc>
      </w:tr>
      <w:tr w14:paraId="1E117260">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334A823A">
            <w:pPr>
              <w:jc w:val="center"/>
              <w:rPr>
                <w:rFonts w:eastAsia="仿宋_GB2312"/>
                <w:b/>
                <w:bCs/>
                <w:szCs w:val="21"/>
              </w:rPr>
            </w:pPr>
            <w:r>
              <w:rPr>
                <w:rFonts w:eastAsia="仿宋_GB2312"/>
                <w:b/>
                <w:bCs/>
                <w:szCs w:val="21"/>
              </w:rPr>
              <w:t>合计</w:t>
            </w:r>
          </w:p>
        </w:tc>
        <w:tc>
          <w:tcPr>
            <w:tcW w:w="1099" w:type="pct"/>
            <w:tcBorders>
              <w:top w:val="nil"/>
              <w:left w:val="nil"/>
              <w:bottom w:val="single" w:color="auto" w:sz="4" w:space="0"/>
              <w:right w:val="single" w:color="auto" w:sz="4" w:space="0"/>
            </w:tcBorders>
            <w:vAlign w:val="center"/>
          </w:tcPr>
          <w:p w14:paraId="672AFE79">
            <w:pPr>
              <w:jc w:val="center"/>
              <w:rPr>
                <w:rFonts w:eastAsia="仿宋_GB2312"/>
                <w:b/>
                <w:bCs/>
                <w:szCs w:val="21"/>
              </w:rPr>
            </w:pPr>
            <w:r>
              <w:rPr>
                <w:rFonts w:eastAsia="仿宋_GB2312"/>
                <w:b/>
                <w:bCs/>
                <w:szCs w:val="21"/>
              </w:rPr>
              <w:t>100</w:t>
            </w:r>
          </w:p>
        </w:tc>
        <w:tc>
          <w:tcPr>
            <w:tcW w:w="1154" w:type="pct"/>
            <w:tcBorders>
              <w:top w:val="nil"/>
              <w:left w:val="nil"/>
              <w:bottom w:val="single" w:color="auto" w:sz="4" w:space="0"/>
              <w:right w:val="single" w:color="auto" w:sz="4" w:space="0"/>
            </w:tcBorders>
            <w:vAlign w:val="center"/>
          </w:tcPr>
          <w:p w14:paraId="49441720">
            <w:pPr>
              <w:jc w:val="center"/>
              <w:rPr>
                <w:rFonts w:eastAsia="仿宋_GB2312"/>
                <w:b/>
                <w:bCs/>
                <w:szCs w:val="21"/>
              </w:rPr>
            </w:pPr>
            <w:r>
              <w:rPr>
                <w:rFonts w:hint="eastAsia" w:eastAsia="仿宋_GB2312"/>
                <w:b/>
                <w:bCs/>
                <w:szCs w:val="21"/>
              </w:rPr>
              <w:t>100</w:t>
            </w:r>
          </w:p>
        </w:tc>
        <w:tc>
          <w:tcPr>
            <w:tcW w:w="1154" w:type="pct"/>
            <w:tcBorders>
              <w:top w:val="nil"/>
              <w:left w:val="nil"/>
              <w:bottom w:val="single" w:color="auto" w:sz="4" w:space="0"/>
              <w:right w:val="single" w:color="auto" w:sz="4" w:space="0"/>
            </w:tcBorders>
            <w:vAlign w:val="center"/>
          </w:tcPr>
          <w:p w14:paraId="69B1C941">
            <w:pPr>
              <w:jc w:val="center"/>
              <w:rPr>
                <w:rFonts w:eastAsia="仿宋_GB2312"/>
                <w:b/>
                <w:bCs/>
                <w:szCs w:val="21"/>
              </w:rPr>
            </w:pPr>
            <w:r>
              <w:rPr>
                <w:rFonts w:hint="eastAsia" w:eastAsia="仿宋_GB2312"/>
                <w:b/>
                <w:bCs/>
                <w:szCs w:val="21"/>
              </w:rPr>
              <w:t>100%</w:t>
            </w:r>
          </w:p>
        </w:tc>
      </w:tr>
    </w:tbl>
    <w:p w14:paraId="70F62D1C">
      <w:pPr>
        <w:spacing w:line="560" w:lineRule="exact"/>
        <w:ind w:firstLine="640" w:firstLineChars="200"/>
        <w:rPr>
          <w:rFonts w:eastAsia="黑体"/>
          <w:sz w:val="32"/>
          <w:szCs w:val="32"/>
        </w:rPr>
      </w:pPr>
      <w:r>
        <w:rPr>
          <w:rFonts w:eastAsia="黑体"/>
          <w:sz w:val="32"/>
          <w:szCs w:val="32"/>
        </w:rPr>
        <w:t>四、绩效评价指标分析</w:t>
      </w:r>
    </w:p>
    <w:p w14:paraId="50E41E5C">
      <w:pPr>
        <w:pStyle w:val="11"/>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（一）项目决策情况</w:t>
      </w:r>
    </w:p>
    <w:p w14:paraId="587CC5E6">
      <w:pPr>
        <w:spacing w:line="600" w:lineRule="exact"/>
        <w:ind w:firstLine="640" w:firstLineChars="200"/>
        <w:outlineLvl w:val="0"/>
        <w:rPr>
          <w:rFonts w:eastAsia="仿宋_GB2312"/>
          <w:sz w:val="32"/>
          <w:szCs w:val="32"/>
        </w:rPr>
      </w:pPr>
      <w:r>
        <w:rPr>
          <w:rFonts w:eastAsia="仿宋_GB2312"/>
          <w:sz w:val="32"/>
          <w:szCs w:val="32"/>
        </w:rPr>
        <w:t>项目决策类指标包括项目立项、绩效目标和资金投入三方面的内容，由6个三级指标构成，权重分值为20分，实际得分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0D3B82D2">
      <w:pPr>
        <w:pStyle w:val="20"/>
        <w:spacing w:line="560" w:lineRule="exact"/>
        <w:ind w:firstLine="640"/>
        <w:rPr>
          <w:rFonts w:eastAsia="仿宋_GB2312"/>
          <w:b/>
          <w:bCs/>
          <w:sz w:val="32"/>
          <w:szCs w:val="32"/>
        </w:rPr>
      </w:pPr>
      <w:r>
        <w:rPr>
          <w:rFonts w:eastAsia="仿宋_GB2312"/>
          <w:b/>
          <w:bCs/>
          <w:sz w:val="32"/>
          <w:szCs w:val="32"/>
        </w:rPr>
        <w:t>1.项目立项</w:t>
      </w:r>
    </w:p>
    <w:p w14:paraId="546A8D9C">
      <w:pPr>
        <w:spacing w:line="600" w:lineRule="exact"/>
        <w:ind w:firstLine="640" w:firstLineChars="200"/>
        <w:outlineLvl w:val="0"/>
        <w:rPr>
          <w:rFonts w:eastAsia="仿宋_GB2312"/>
          <w:sz w:val="32"/>
          <w:szCs w:val="32"/>
        </w:rPr>
      </w:pPr>
      <w:r>
        <w:rPr>
          <w:rFonts w:eastAsia="仿宋_GB2312"/>
          <w:sz w:val="32"/>
          <w:szCs w:val="32"/>
        </w:rPr>
        <w:t>（1）立项依据充分性</w:t>
      </w:r>
    </w:p>
    <w:p w14:paraId="497764CA">
      <w:pPr>
        <w:spacing w:line="600" w:lineRule="exact"/>
        <w:ind w:firstLine="640" w:firstLineChars="20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pPr>
        <w:spacing w:line="600" w:lineRule="exact"/>
        <w:ind w:firstLine="640" w:firstLineChars="200"/>
        <w:outlineLvl w:val="0"/>
        <w:rPr>
          <w:rFonts w:eastAsia="仿宋_GB2312"/>
          <w:sz w:val="32"/>
          <w:szCs w:val="32"/>
        </w:rPr>
      </w:pPr>
      <w:r>
        <w:rPr>
          <w:rFonts w:eastAsia="仿宋_GB2312"/>
          <w:sz w:val="32"/>
          <w:szCs w:val="32"/>
        </w:rPr>
        <w:t>（2）立项程序规范性</w:t>
      </w:r>
    </w:p>
    <w:p w14:paraId="6F9EC0D6">
      <w:pPr>
        <w:spacing w:line="600" w:lineRule="exact"/>
        <w:ind w:firstLine="640" w:firstLineChars="20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绩效评估、集体决策，保障了程序的规范性。</w:t>
      </w:r>
    </w:p>
    <w:p w14:paraId="5A9CF6C0">
      <w:pPr>
        <w:pStyle w:val="20"/>
        <w:spacing w:line="560" w:lineRule="exact"/>
        <w:ind w:firstLine="640"/>
        <w:rPr>
          <w:rFonts w:eastAsia="仿宋_GB2312"/>
          <w:b/>
          <w:bCs/>
          <w:sz w:val="32"/>
          <w:szCs w:val="32"/>
        </w:rPr>
      </w:pPr>
      <w:r>
        <w:rPr>
          <w:rFonts w:eastAsia="仿宋_GB2312"/>
          <w:b/>
          <w:bCs/>
          <w:sz w:val="32"/>
          <w:szCs w:val="32"/>
        </w:rPr>
        <w:t>2.绩效目标</w:t>
      </w:r>
    </w:p>
    <w:p w14:paraId="7050F070">
      <w:pPr>
        <w:spacing w:line="600" w:lineRule="exact"/>
        <w:ind w:firstLine="640" w:firstLineChars="200"/>
        <w:outlineLvl w:val="0"/>
        <w:rPr>
          <w:rFonts w:eastAsia="仿宋_GB2312"/>
          <w:sz w:val="32"/>
          <w:szCs w:val="32"/>
        </w:rPr>
      </w:pPr>
      <w:r>
        <w:rPr>
          <w:rFonts w:eastAsia="仿宋_GB2312"/>
          <w:sz w:val="32"/>
          <w:szCs w:val="32"/>
        </w:rPr>
        <w:t>（1）绩效目标合理性</w:t>
      </w:r>
    </w:p>
    <w:p w14:paraId="1B562BB6">
      <w:pPr>
        <w:spacing w:line="600" w:lineRule="exact"/>
        <w:ind w:firstLine="640" w:firstLineChars="20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788B39CA">
      <w:pPr>
        <w:spacing w:line="600" w:lineRule="exact"/>
        <w:ind w:firstLine="640" w:firstLineChars="200"/>
        <w:outlineLvl w:val="0"/>
        <w:rPr>
          <w:rFonts w:eastAsia="仿宋_GB2312"/>
          <w:sz w:val="32"/>
          <w:szCs w:val="32"/>
        </w:rPr>
      </w:pPr>
      <w:r>
        <w:rPr>
          <w:rFonts w:eastAsia="仿宋_GB2312"/>
          <w:sz w:val="32"/>
          <w:szCs w:val="32"/>
        </w:rPr>
        <w:t>（2）绩效指标明确性</w:t>
      </w:r>
    </w:p>
    <w:p w14:paraId="5B123CDC">
      <w:pPr>
        <w:spacing w:line="600" w:lineRule="exact"/>
        <w:ind w:firstLine="640" w:firstLineChars="20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hint="eastAsia" w:eastAsia="仿宋_GB2312"/>
          <w:sz w:val="32"/>
          <w:szCs w:val="32"/>
        </w:rPr>
        <w:t>数量指标：所辖资金使用对象社区数量10个。质量指标：经费支出合理性&gt;=95%。社区正常运转率&gt;=95%。时效指标：经费支付及时性&gt;=95%。经济成本指标：所辖各社区经费平均标准&lt;=52万元。社会效益指标：提供充足的社区经费，用以保障辖区居民生活安全和提升幸福感，有效提升。满意度指标：辖区居民满意度&gt;=95%。</w:t>
      </w:r>
      <w:r>
        <w:rPr>
          <w:rFonts w:eastAsia="仿宋_GB2312"/>
          <w:sz w:val="32"/>
          <w:szCs w:val="32"/>
        </w:rPr>
        <w:t>绩效目标与项目目标任务数相对应，绩效目标设定的绩效指标清晰、细化、可衡量。</w:t>
      </w:r>
    </w:p>
    <w:p w14:paraId="33A11470">
      <w:pPr>
        <w:pStyle w:val="20"/>
        <w:spacing w:line="560" w:lineRule="exact"/>
        <w:ind w:firstLine="640"/>
        <w:rPr>
          <w:rFonts w:eastAsia="仿宋_GB2312"/>
          <w:b/>
          <w:bCs/>
          <w:sz w:val="32"/>
          <w:szCs w:val="32"/>
        </w:rPr>
      </w:pPr>
      <w:r>
        <w:rPr>
          <w:rFonts w:eastAsia="仿宋_GB2312"/>
          <w:b/>
          <w:bCs/>
          <w:sz w:val="32"/>
          <w:szCs w:val="32"/>
        </w:rPr>
        <w:t>3.资金投入</w:t>
      </w:r>
    </w:p>
    <w:p w14:paraId="1C019F43">
      <w:pPr>
        <w:spacing w:line="600" w:lineRule="exact"/>
        <w:ind w:firstLine="640" w:firstLineChars="200"/>
        <w:outlineLvl w:val="0"/>
        <w:rPr>
          <w:rFonts w:eastAsia="仿宋_GB2312"/>
          <w:sz w:val="32"/>
          <w:szCs w:val="32"/>
        </w:rPr>
      </w:pPr>
      <w:r>
        <w:rPr>
          <w:rFonts w:eastAsia="仿宋_GB2312"/>
          <w:sz w:val="32"/>
          <w:szCs w:val="32"/>
        </w:rPr>
        <w:t>（1）预算编制科学性</w:t>
      </w:r>
    </w:p>
    <w:p w14:paraId="626E1A37">
      <w:pPr>
        <w:spacing w:line="560" w:lineRule="exact"/>
        <w:ind w:firstLine="640" w:firstLineChars="20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pPr>
        <w:spacing w:line="600" w:lineRule="exact"/>
        <w:ind w:firstLine="640" w:firstLineChars="20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pPr>
        <w:spacing w:line="600" w:lineRule="exact"/>
        <w:ind w:firstLine="640" w:firstLineChars="200"/>
        <w:outlineLvl w:val="0"/>
        <w:rPr>
          <w:rFonts w:eastAsia="仿宋_GB2312"/>
          <w:sz w:val="32"/>
          <w:szCs w:val="32"/>
        </w:rPr>
      </w:pPr>
      <w:r>
        <w:rPr>
          <w:rFonts w:eastAsia="仿宋_GB2312"/>
          <w:sz w:val="32"/>
          <w:szCs w:val="32"/>
        </w:rPr>
        <w:t>（2）资金分配合理性</w:t>
      </w:r>
    </w:p>
    <w:p w14:paraId="09A0F4A7">
      <w:pPr>
        <w:spacing w:line="560" w:lineRule="exact"/>
        <w:ind w:firstLine="640" w:firstLineChars="20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pPr>
        <w:spacing w:line="560" w:lineRule="exact"/>
        <w:ind w:firstLine="640" w:firstLineChars="20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pPr>
        <w:spacing w:line="560" w:lineRule="exact"/>
        <w:ind w:firstLine="640" w:firstLineChars="20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pPr>
        <w:pStyle w:val="11"/>
        <w:numPr>
          <w:ilvl w:val="0"/>
          <w:numId w:val="4"/>
        </w:numPr>
        <w:spacing w:before="0" w:after="0" w:line="560" w:lineRule="exact"/>
        <w:ind w:firstLine="643"/>
        <w:jc w:val="both"/>
        <w:rPr>
          <w:rFonts w:ascii="Times New Roman" w:hAnsi="Times New Roman" w:eastAsia="楷体"/>
        </w:rPr>
      </w:pPr>
      <w:r>
        <w:rPr>
          <w:rFonts w:ascii="Times New Roman" w:hAnsi="Times New Roman" w:eastAsia="楷体"/>
        </w:rPr>
        <w:t>项目过程情况</w:t>
      </w:r>
    </w:p>
    <w:p w14:paraId="217CF8C0">
      <w:pPr>
        <w:spacing w:line="600" w:lineRule="exact"/>
        <w:ind w:firstLine="640" w:firstLineChars="200"/>
        <w:outlineLvl w:val="0"/>
        <w:rPr>
          <w:rFonts w:eastAsia="仿宋_GB2312"/>
          <w:sz w:val="32"/>
          <w:szCs w:val="32"/>
        </w:rPr>
      </w:pPr>
      <w:r>
        <w:rPr>
          <w:rFonts w:eastAsia="仿宋_GB2312"/>
          <w:sz w:val="32"/>
          <w:szCs w:val="32"/>
        </w:rPr>
        <w:t>项目过程类指标包括资金管理和组织实施两方面的内容，由5个三级指标构成，权重分值为20分，实际得分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w:t>
      </w:r>
      <w:r>
        <w:rPr>
          <w:rFonts w:eastAsia="仿宋_GB2312"/>
          <w:sz w:val="32"/>
          <w:szCs w:val="32"/>
        </w:rPr>
        <w:t>%。</w:t>
      </w:r>
    </w:p>
    <w:p w14:paraId="348574CD">
      <w:pPr>
        <w:pStyle w:val="20"/>
        <w:spacing w:line="560" w:lineRule="exact"/>
        <w:ind w:firstLine="640"/>
        <w:rPr>
          <w:rFonts w:eastAsia="仿宋_GB2312"/>
          <w:b/>
          <w:bCs/>
          <w:sz w:val="32"/>
          <w:szCs w:val="32"/>
        </w:rPr>
      </w:pPr>
      <w:r>
        <w:rPr>
          <w:rFonts w:eastAsia="仿宋_GB2312"/>
          <w:b/>
          <w:bCs/>
          <w:sz w:val="32"/>
          <w:szCs w:val="32"/>
        </w:rPr>
        <w:t>1.资金管理</w:t>
      </w:r>
    </w:p>
    <w:p w14:paraId="290DB0EB">
      <w:pPr>
        <w:spacing w:line="600" w:lineRule="exact"/>
        <w:ind w:firstLine="640" w:firstLineChars="200"/>
        <w:outlineLvl w:val="0"/>
        <w:rPr>
          <w:rFonts w:eastAsia="仿宋_GB2312"/>
          <w:sz w:val="32"/>
          <w:szCs w:val="32"/>
        </w:rPr>
      </w:pPr>
      <w:r>
        <w:rPr>
          <w:rFonts w:eastAsia="仿宋_GB2312"/>
          <w:sz w:val="32"/>
          <w:szCs w:val="32"/>
        </w:rPr>
        <w:t>（1）资金到位率</w:t>
      </w:r>
    </w:p>
    <w:p w14:paraId="7BEFCB07">
      <w:pPr>
        <w:spacing w:line="600" w:lineRule="exact"/>
        <w:ind w:firstLine="640" w:firstLineChars="200"/>
        <w:outlineLvl w:val="0"/>
        <w:rPr>
          <w:rFonts w:eastAsia="仿宋_GB2312"/>
          <w:sz w:val="32"/>
          <w:szCs w:val="32"/>
        </w:rPr>
      </w:pPr>
      <w:r>
        <w:rPr>
          <w:rFonts w:eastAsia="仿宋_GB2312"/>
          <w:sz w:val="32"/>
          <w:szCs w:val="32"/>
        </w:rPr>
        <w:t>本项目总投资</w:t>
      </w:r>
      <w:r>
        <w:rPr>
          <w:rFonts w:hint="eastAsia" w:eastAsia="仿宋_GB2312"/>
          <w:sz w:val="32"/>
          <w:szCs w:val="32"/>
        </w:rPr>
        <w:t>520</w:t>
      </w:r>
      <w:r>
        <w:rPr>
          <w:rFonts w:eastAsia="仿宋_GB2312"/>
          <w:sz w:val="32"/>
          <w:szCs w:val="32"/>
        </w:rPr>
        <w:t>万元，财政资金及时足额到位，到位率</w:t>
      </w:r>
      <w:r>
        <w:rPr>
          <w:rFonts w:hint="eastAsia" w:eastAsia="仿宋_GB2312"/>
          <w:sz w:val="32"/>
          <w:szCs w:val="32"/>
        </w:rPr>
        <w:t>100</w:t>
      </w:r>
      <w:r>
        <w:rPr>
          <w:rFonts w:eastAsia="仿宋_GB2312"/>
          <w:sz w:val="32"/>
          <w:szCs w:val="32"/>
        </w:rPr>
        <w:t>%，预算资金按计划进度执行。</w:t>
      </w:r>
      <w:r>
        <w:rPr>
          <w:rFonts w:hint="eastAsia" w:eastAsia="仿宋_GB2312"/>
          <w:sz w:val="32"/>
          <w:szCs w:val="32"/>
        </w:rPr>
        <w:t>于2024年12月全部到位，用于支付我街道辖区内10个社区每月经费支出。</w:t>
      </w:r>
    </w:p>
    <w:p w14:paraId="2DFB9072">
      <w:pPr>
        <w:spacing w:line="600" w:lineRule="exact"/>
        <w:ind w:firstLine="640" w:firstLineChars="200"/>
        <w:outlineLvl w:val="0"/>
        <w:rPr>
          <w:rFonts w:eastAsia="仿宋_GB2312"/>
          <w:sz w:val="32"/>
          <w:szCs w:val="32"/>
        </w:rPr>
      </w:pPr>
      <w:r>
        <w:rPr>
          <w:rFonts w:eastAsia="仿宋_GB2312"/>
          <w:sz w:val="32"/>
          <w:szCs w:val="32"/>
        </w:rPr>
        <w:t>（2）预算执行率</w:t>
      </w:r>
    </w:p>
    <w:p w14:paraId="79A1A397">
      <w:pPr>
        <w:spacing w:line="600" w:lineRule="exact"/>
        <w:ind w:firstLine="640" w:firstLineChars="200"/>
        <w:outlineLvl w:val="0"/>
        <w:rPr>
          <w:rFonts w:eastAsia="仿宋_GB2312"/>
          <w:sz w:val="32"/>
          <w:szCs w:val="32"/>
        </w:rPr>
      </w:pPr>
      <w:r>
        <w:rPr>
          <w:rFonts w:eastAsia="仿宋_GB2312"/>
          <w:sz w:val="32"/>
          <w:szCs w:val="32"/>
        </w:rPr>
        <w:t>预算编制较为详细，项目资金支出总体能够按照预算执行，预算资金支出</w:t>
      </w:r>
      <w:r>
        <w:rPr>
          <w:rFonts w:hint="eastAsia" w:eastAsia="仿宋_GB2312"/>
          <w:sz w:val="32"/>
          <w:szCs w:val="32"/>
        </w:rPr>
        <w:t>520</w:t>
      </w:r>
      <w:r>
        <w:rPr>
          <w:rFonts w:eastAsia="仿宋_GB2312"/>
          <w:sz w:val="32"/>
          <w:szCs w:val="32"/>
        </w:rPr>
        <w:t>万元，预算执行率为</w:t>
      </w:r>
      <w:r>
        <w:rPr>
          <w:rFonts w:hint="eastAsia" w:eastAsia="仿宋_GB2312"/>
          <w:sz w:val="32"/>
          <w:szCs w:val="32"/>
        </w:rPr>
        <w:t>100</w:t>
      </w:r>
      <w:r>
        <w:rPr>
          <w:rFonts w:eastAsia="仿宋_GB2312"/>
          <w:sz w:val="32"/>
          <w:szCs w:val="32"/>
        </w:rPr>
        <w:t>%。</w:t>
      </w:r>
      <w:r>
        <w:rPr>
          <w:rFonts w:hint="eastAsia" w:eastAsia="仿宋_GB2312"/>
          <w:sz w:val="32"/>
          <w:szCs w:val="32"/>
        </w:rPr>
        <w:t>用于支付我街道辖区内10个社区每月经费支出。</w:t>
      </w:r>
    </w:p>
    <w:p w14:paraId="68A681F4">
      <w:pPr>
        <w:spacing w:line="600" w:lineRule="exact"/>
        <w:ind w:firstLine="640" w:firstLineChars="200"/>
        <w:outlineLvl w:val="0"/>
        <w:rPr>
          <w:rFonts w:eastAsia="仿宋_GB2312"/>
          <w:sz w:val="32"/>
          <w:szCs w:val="32"/>
        </w:rPr>
      </w:pPr>
      <w:r>
        <w:rPr>
          <w:rFonts w:eastAsia="仿宋_GB2312"/>
          <w:sz w:val="32"/>
          <w:szCs w:val="32"/>
        </w:rPr>
        <w:t>（3）资金使用合规性</w:t>
      </w:r>
    </w:p>
    <w:p w14:paraId="7F3A7F83">
      <w:pPr>
        <w:spacing w:line="560" w:lineRule="exact"/>
        <w:ind w:firstLine="640" w:firstLineChars="200"/>
        <w:rPr>
          <w:rFonts w:eastAsia="仿宋_GB2312"/>
          <w:sz w:val="32"/>
          <w:szCs w:val="32"/>
        </w:rPr>
      </w:pPr>
      <w:r>
        <w:rPr>
          <w:rFonts w:eastAsia="仿宋_GB2312"/>
          <w:sz w:val="32"/>
          <w:szCs w:val="32"/>
        </w:rPr>
        <w:t>本项目的资金使用严格遵循了国家相关法律法规与财务制度，确保了资金的合规性与安全性。在资金使用过程中，我们建立了完善的财务管理体系，对资金的流动进行了全程监控与记录。</w:t>
      </w:r>
    </w:p>
    <w:p w14:paraId="718A73DD">
      <w:pPr>
        <w:spacing w:line="560" w:lineRule="exact"/>
        <w:ind w:firstLine="640" w:firstLineChars="20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pPr>
        <w:spacing w:line="560" w:lineRule="exact"/>
        <w:ind w:firstLine="640" w:firstLineChars="20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6A02A652">
      <w:pPr>
        <w:pStyle w:val="20"/>
        <w:spacing w:line="560" w:lineRule="exact"/>
        <w:ind w:firstLine="640"/>
        <w:rPr>
          <w:rFonts w:eastAsia="仿宋_GB2312"/>
          <w:b/>
          <w:bCs/>
          <w:sz w:val="32"/>
          <w:szCs w:val="32"/>
        </w:rPr>
      </w:pPr>
      <w:r>
        <w:rPr>
          <w:rFonts w:eastAsia="仿宋_GB2312"/>
          <w:b/>
          <w:bCs/>
          <w:sz w:val="32"/>
          <w:szCs w:val="32"/>
        </w:rPr>
        <w:t>2.组织实施</w:t>
      </w:r>
    </w:p>
    <w:p w14:paraId="26449666">
      <w:pPr>
        <w:spacing w:line="600" w:lineRule="exact"/>
        <w:ind w:firstLine="640" w:firstLineChars="200"/>
        <w:outlineLvl w:val="0"/>
        <w:rPr>
          <w:rFonts w:eastAsia="仿宋_GB2312"/>
          <w:sz w:val="32"/>
          <w:szCs w:val="32"/>
        </w:rPr>
      </w:pPr>
      <w:r>
        <w:rPr>
          <w:rFonts w:eastAsia="仿宋_GB2312"/>
          <w:sz w:val="32"/>
          <w:szCs w:val="32"/>
        </w:rPr>
        <w:t>（1）管理制度健全性</w:t>
      </w:r>
    </w:p>
    <w:p w14:paraId="60CF81D1">
      <w:pPr>
        <w:spacing w:line="560" w:lineRule="exact"/>
        <w:ind w:firstLine="640" w:firstLineChars="20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pPr>
        <w:spacing w:line="560" w:lineRule="exact"/>
        <w:ind w:firstLine="640" w:firstLineChars="20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pPr>
        <w:spacing w:line="560" w:lineRule="exact"/>
        <w:ind w:firstLine="640" w:firstLineChars="20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pPr>
        <w:spacing w:line="600" w:lineRule="exact"/>
        <w:ind w:firstLine="640" w:firstLineChars="20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pPr>
        <w:spacing w:line="600" w:lineRule="exact"/>
        <w:ind w:firstLine="640" w:firstLineChars="200"/>
        <w:outlineLvl w:val="0"/>
        <w:rPr>
          <w:rFonts w:eastAsia="仿宋_GB2312"/>
          <w:sz w:val="32"/>
          <w:szCs w:val="32"/>
        </w:rPr>
      </w:pPr>
      <w:r>
        <w:rPr>
          <w:rFonts w:eastAsia="仿宋_GB2312"/>
          <w:sz w:val="32"/>
          <w:szCs w:val="32"/>
        </w:rPr>
        <w:t>（2）制度执行有效性</w:t>
      </w:r>
    </w:p>
    <w:p w14:paraId="3C68E471">
      <w:pPr>
        <w:spacing w:line="560" w:lineRule="exact"/>
        <w:ind w:firstLine="640" w:firstLineChars="20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36D5217">
      <w:pPr>
        <w:spacing w:line="560" w:lineRule="exact"/>
        <w:ind w:firstLine="640" w:firstLineChars="20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pPr>
        <w:spacing w:line="560" w:lineRule="exact"/>
        <w:ind w:firstLine="640" w:firstLineChars="20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pPr>
        <w:pStyle w:val="13"/>
        <w:numPr>
          <w:ilvl w:val="0"/>
          <w:numId w:val="4"/>
        </w:numPr>
        <w:spacing w:line="560" w:lineRule="exact"/>
        <w:ind w:firstLine="643" w:firstLineChars="0"/>
        <w:rPr>
          <w:rFonts w:eastAsia="楷体_GB2312"/>
          <w:b/>
          <w:bCs/>
          <w:sz w:val="32"/>
          <w:szCs w:val="32"/>
        </w:rPr>
      </w:pPr>
      <w:r>
        <w:rPr>
          <w:rFonts w:eastAsia="楷体_GB2312"/>
          <w:b/>
          <w:bCs/>
          <w:sz w:val="32"/>
          <w:szCs w:val="32"/>
        </w:rPr>
        <w:t>项目产出情况</w:t>
      </w:r>
    </w:p>
    <w:p w14:paraId="3A60F9D9">
      <w:pPr>
        <w:spacing w:line="600" w:lineRule="exact"/>
        <w:ind w:firstLine="640" w:firstLineChars="200"/>
        <w:outlineLvl w:val="0"/>
        <w:rPr>
          <w:rFonts w:eastAsia="仿宋_GB2312"/>
          <w:sz w:val="32"/>
          <w:szCs w:val="32"/>
        </w:rPr>
      </w:pPr>
      <w:r>
        <w:rPr>
          <w:rFonts w:eastAsia="仿宋_GB2312"/>
          <w:sz w:val="32"/>
          <w:szCs w:val="32"/>
        </w:rPr>
        <w:t>项目产出类指标包括产出数量、产出质量、产出时效、产出成本四方面的内容，由</w:t>
      </w:r>
      <w:r>
        <w:rPr>
          <w:rFonts w:hint="eastAsia" w:eastAsia="仿宋_GB2312"/>
          <w:sz w:val="32"/>
          <w:szCs w:val="32"/>
        </w:rPr>
        <w:t>5</w:t>
      </w:r>
      <w:r>
        <w:rPr>
          <w:rFonts w:eastAsia="仿宋_GB2312"/>
          <w:sz w:val="32"/>
          <w:szCs w:val="32"/>
        </w:rPr>
        <w:t>个三级指标构成，权重分为40分，实际得分</w:t>
      </w:r>
      <w:r>
        <w:rPr>
          <w:rFonts w:hint="eastAsia" w:eastAsia="仿宋_GB2312"/>
          <w:sz w:val="32"/>
          <w:szCs w:val="32"/>
        </w:rPr>
        <w:t>40</w:t>
      </w:r>
      <w:r>
        <w:rPr>
          <w:rFonts w:eastAsia="仿宋_GB2312"/>
          <w:sz w:val="32"/>
          <w:szCs w:val="32"/>
        </w:rPr>
        <w:t>分，得分率为</w:t>
      </w:r>
      <w:r>
        <w:rPr>
          <w:rFonts w:hint="eastAsia" w:eastAsia="仿宋_GB2312"/>
          <w:sz w:val="32"/>
          <w:szCs w:val="32"/>
        </w:rPr>
        <w:t>100</w:t>
      </w:r>
      <w:r>
        <w:rPr>
          <w:rFonts w:eastAsia="仿宋_GB2312"/>
          <w:sz w:val="32"/>
          <w:szCs w:val="32"/>
        </w:rPr>
        <w:t>%。具体产出指标完成情况如下：</w:t>
      </w:r>
    </w:p>
    <w:p w14:paraId="2D98E942">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1D326A95">
      <w:pPr>
        <w:spacing w:line="600" w:lineRule="exact"/>
        <w:ind w:firstLine="640" w:firstLineChars="200"/>
        <w:outlineLvl w:val="0"/>
        <w:rPr>
          <w:rFonts w:eastAsia="仿宋_GB2312"/>
          <w:sz w:val="32"/>
          <w:szCs w:val="32"/>
        </w:rPr>
      </w:pPr>
      <w:r>
        <w:rPr>
          <w:rFonts w:eastAsia="仿宋_GB2312"/>
          <w:sz w:val="32"/>
          <w:szCs w:val="32"/>
        </w:rPr>
        <w:t>指标1：所辖资金使用对象社区数量 ，指标值：</w:t>
      </w:r>
      <w:r>
        <w:rPr>
          <w:rFonts w:hint="eastAsia" w:eastAsia="仿宋_GB2312"/>
          <w:sz w:val="32"/>
          <w:szCs w:val="32"/>
        </w:rPr>
        <w:t>10个</w:t>
      </w:r>
      <w:r>
        <w:rPr>
          <w:rFonts w:eastAsia="仿宋_GB2312"/>
          <w:sz w:val="32"/>
          <w:szCs w:val="32"/>
        </w:rPr>
        <w:t>，实际完成值：</w:t>
      </w:r>
      <w:r>
        <w:rPr>
          <w:rFonts w:hint="eastAsia" w:eastAsia="仿宋_GB2312"/>
          <w:sz w:val="32"/>
          <w:szCs w:val="32"/>
        </w:rPr>
        <w:t>10个</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10个社区分别为黄河社区，水利社区，东一街社区，东二街社区，交通社区，公安社区，建机社区，河滩南路西社区，珠江路北社区，彩云社区。保障10个社区各项工作正常开展。</w:t>
      </w:r>
    </w:p>
    <w:p w14:paraId="4D1BB961">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14AE270A">
      <w:pPr>
        <w:spacing w:line="600" w:lineRule="exact"/>
        <w:ind w:firstLine="640" w:firstLineChars="200"/>
        <w:outlineLvl w:val="0"/>
        <w:rPr>
          <w:rFonts w:eastAsia="仿宋_GB2312"/>
          <w:sz w:val="32"/>
          <w:szCs w:val="32"/>
        </w:rPr>
      </w:pPr>
      <w:r>
        <w:rPr>
          <w:rFonts w:eastAsia="仿宋_GB2312"/>
          <w:sz w:val="32"/>
          <w:szCs w:val="32"/>
        </w:rPr>
        <w:t>指标1：经费支出合理性 ，指标值：</w:t>
      </w:r>
      <w:r>
        <w:rPr>
          <w:rFonts w:hint="eastAsia" w:eastAsia="仿宋_GB2312"/>
          <w:sz w:val="32"/>
          <w:szCs w:val="32"/>
        </w:rPr>
        <w:t>&gt;=95%</w:t>
      </w:r>
      <w:r>
        <w:rPr>
          <w:rFonts w:eastAsia="仿宋_GB2312"/>
          <w:sz w:val="32"/>
          <w:szCs w:val="32"/>
        </w:rPr>
        <w:t>，实际完成值：</w:t>
      </w:r>
      <w:r>
        <w:rPr>
          <w:rFonts w:hint="eastAsia" w:eastAsia="仿宋_GB2312"/>
          <w:sz w:val="32"/>
          <w:szCs w:val="32"/>
        </w:rPr>
        <w:t>95%</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经全面核查，未发现虚假行为和骗取财政资金的问题。通过财务审计、现场检查等多种监督方式，确认项目资金使用规范，支出凭证齐全，报销手续完备。所有资金流向清晰可查，使用效益显著，不存在虚报冒领、挤占挪用等违规情况。</w:t>
      </w:r>
    </w:p>
    <w:p w14:paraId="23E0E441">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2</w:t>
      </w:r>
      <w:r>
        <w:rPr>
          <w:rFonts w:eastAsia="仿宋_GB2312"/>
          <w:sz w:val="32"/>
          <w:szCs w:val="32"/>
        </w:rPr>
        <w:t>：社区正常运转率 ，指标值：</w:t>
      </w:r>
      <w:r>
        <w:rPr>
          <w:rFonts w:hint="eastAsia" w:eastAsia="仿宋_GB2312"/>
          <w:sz w:val="32"/>
          <w:szCs w:val="32"/>
        </w:rPr>
        <w:t>&gt;=95%</w:t>
      </w:r>
      <w:r>
        <w:rPr>
          <w:rFonts w:eastAsia="仿宋_GB2312"/>
          <w:sz w:val="32"/>
          <w:szCs w:val="32"/>
        </w:rPr>
        <w:t>，实际完成值：</w:t>
      </w:r>
      <w:r>
        <w:rPr>
          <w:rFonts w:hint="eastAsia" w:eastAsia="仿宋_GB2312"/>
          <w:sz w:val="32"/>
          <w:szCs w:val="32"/>
        </w:rPr>
        <w:t>95%</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该条指标截止24年底完成较好，无偏差。通过此项目开展保障我街道辖区内10个社区各项工作正常开展。</w:t>
      </w:r>
    </w:p>
    <w:p w14:paraId="5DA8440A">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73CF71B5">
      <w:pPr>
        <w:spacing w:line="600" w:lineRule="exact"/>
        <w:ind w:firstLine="640" w:firstLineChars="200"/>
        <w:outlineLvl w:val="0"/>
        <w:rPr>
          <w:rFonts w:eastAsia="仿宋_GB2312"/>
          <w:sz w:val="32"/>
          <w:szCs w:val="32"/>
        </w:rPr>
      </w:pPr>
      <w:r>
        <w:rPr>
          <w:rFonts w:eastAsia="仿宋_GB2312"/>
          <w:sz w:val="32"/>
          <w:szCs w:val="32"/>
        </w:rPr>
        <w:t>指标1：经费支付及时性 ，指标值：</w:t>
      </w:r>
      <w:r>
        <w:rPr>
          <w:rFonts w:hint="eastAsia" w:eastAsia="仿宋_GB2312"/>
          <w:sz w:val="32"/>
          <w:szCs w:val="32"/>
        </w:rPr>
        <w:t>&gt;=95%</w:t>
      </w:r>
      <w:r>
        <w:rPr>
          <w:rFonts w:eastAsia="仿宋_GB2312"/>
          <w:sz w:val="32"/>
          <w:szCs w:val="32"/>
        </w:rPr>
        <w:t>，实际完成值：</w:t>
      </w:r>
      <w:r>
        <w:rPr>
          <w:rFonts w:hint="eastAsia" w:eastAsia="仿宋_GB2312"/>
          <w:sz w:val="32"/>
          <w:szCs w:val="32"/>
        </w:rPr>
        <w:t>95%</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该条指标截止24年底完成较好，无偏差。按时支付辖区内10个社区所需各项经费。</w:t>
      </w:r>
    </w:p>
    <w:p w14:paraId="3DB30436">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451CF14F">
      <w:pPr>
        <w:spacing w:line="600" w:lineRule="exact"/>
        <w:ind w:firstLine="640" w:firstLineChars="200"/>
        <w:outlineLvl w:val="0"/>
        <w:rPr>
          <w:rFonts w:eastAsia="仿宋_GB2312"/>
          <w:sz w:val="32"/>
          <w:szCs w:val="32"/>
        </w:rPr>
      </w:pPr>
      <w:r>
        <w:rPr>
          <w:rFonts w:eastAsia="仿宋_GB2312"/>
          <w:sz w:val="32"/>
          <w:szCs w:val="32"/>
        </w:rPr>
        <w:t>指标1：所辖各社区经费平均标准 ，指标值：</w:t>
      </w:r>
      <w:r>
        <w:rPr>
          <w:rFonts w:hint="eastAsia" w:eastAsia="仿宋_GB2312"/>
          <w:sz w:val="32"/>
          <w:szCs w:val="32"/>
        </w:rPr>
        <w:t>&lt;=52万元</w:t>
      </w:r>
      <w:r>
        <w:rPr>
          <w:rFonts w:eastAsia="仿宋_GB2312"/>
          <w:sz w:val="32"/>
          <w:szCs w:val="32"/>
        </w:rPr>
        <w:t>，实际完成值：</w:t>
      </w:r>
      <w:r>
        <w:rPr>
          <w:rFonts w:hint="eastAsia" w:eastAsia="仿宋_GB2312"/>
          <w:sz w:val="32"/>
          <w:szCs w:val="32"/>
        </w:rPr>
        <w:t>52万</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该条指标截止24年底完成较好，无偏差。本项目实际支出520万元，平均每个社区52万元。无超支情况，项目资金全部完成。</w:t>
      </w:r>
    </w:p>
    <w:p w14:paraId="140CAF6E">
      <w:pPr>
        <w:pStyle w:val="13"/>
        <w:numPr>
          <w:ilvl w:val="0"/>
          <w:numId w:val="4"/>
        </w:numPr>
        <w:spacing w:line="560" w:lineRule="exact"/>
        <w:ind w:firstLine="643" w:firstLineChars="0"/>
        <w:rPr>
          <w:rFonts w:eastAsia="楷体_GB2312"/>
          <w:b/>
          <w:bCs/>
          <w:sz w:val="32"/>
          <w:szCs w:val="32"/>
        </w:rPr>
      </w:pPr>
      <w:r>
        <w:rPr>
          <w:rFonts w:eastAsia="楷体_GB2312"/>
          <w:b/>
          <w:bCs/>
          <w:sz w:val="32"/>
          <w:szCs w:val="32"/>
        </w:rPr>
        <w:t>项目效益情况</w:t>
      </w:r>
    </w:p>
    <w:p w14:paraId="2FA1B2FB">
      <w:pPr>
        <w:spacing w:line="600" w:lineRule="exact"/>
        <w:ind w:firstLine="640" w:firstLineChars="200"/>
        <w:outlineLvl w:val="0"/>
        <w:rPr>
          <w:rFonts w:eastAsia="仿宋_GB2312"/>
          <w:sz w:val="32"/>
          <w:szCs w:val="32"/>
        </w:rPr>
      </w:pPr>
      <w:r>
        <w:rPr>
          <w:rFonts w:eastAsia="仿宋_GB2312"/>
          <w:sz w:val="32"/>
          <w:szCs w:val="32"/>
        </w:rPr>
        <w:t>项目效益类指标包括项目实施效益和满意度两方面的内容，由</w:t>
      </w:r>
      <w:r>
        <w:rPr>
          <w:rFonts w:hint="eastAsia" w:eastAsia="仿宋_GB2312"/>
          <w:sz w:val="32"/>
          <w:szCs w:val="32"/>
        </w:rPr>
        <w:t>2</w:t>
      </w:r>
      <w:r>
        <w:rPr>
          <w:rFonts w:eastAsia="仿宋_GB2312"/>
          <w:sz w:val="32"/>
          <w:szCs w:val="32"/>
        </w:rPr>
        <w:t>个三级指标构成，权重分为20分，实际得分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%。具体效益指标及满意度指标完成情况如下：</w:t>
      </w:r>
    </w:p>
    <w:p w14:paraId="4768F74D">
      <w:pPr>
        <w:spacing w:line="600" w:lineRule="exact"/>
        <w:ind w:firstLine="640" w:firstLineChars="200"/>
        <w:outlineLvl w:val="0"/>
        <w:rPr>
          <w:rFonts w:eastAsia="仿宋_GB2312"/>
          <w:sz w:val="32"/>
          <w:szCs w:val="32"/>
        </w:rPr>
      </w:pPr>
      <w:r>
        <w:rPr>
          <w:rFonts w:eastAsia="仿宋_GB2312"/>
          <w:sz w:val="32"/>
          <w:szCs w:val="32"/>
        </w:rPr>
        <w:t>1.实施效益</w:t>
      </w:r>
    </w:p>
    <w:p w14:paraId="0B50CAB7">
      <w:pPr>
        <w:spacing w:line="600" w:lineRule="exact"/>
        <w:ind w:firstLine="640" w:firstLineChars="200"/>
        <w:outlineLvl w:val="0"/>
        <w:rPr>
          <w:rFonts w:eastAsia="仿宋_GB2312"/>
          <w:sz w:val="32"/>
          <w:szCs w:val="32"/>
        </w:rPr>
      </w:pPr>
      <w:r>
        <w:rPr>
          <w:rFonts w:eastAsia="仿宋_GB2312"/>
          <w:sz w:val="32"/>
          <w:szCs w:val="32"/>
        </w:rPr>
        <w:t>①经济效益指标：</w:t>
      </w:r>
    </w:p>
    <w:p w14:paraId="4EBB78D0">
      <w:pPr>
        <w:spacing w:line="600" w:lineRule="exact"/>
        <w:ind w:firstLine="640" w:firstLineChars="200"/>
        <w:outlineLvl w:val="0"/>
        <w:rPr>
          <w:rFonts w:eastAsia="仿宋_GB2312"/>
          <w:sz w:val="32"/>
          <w:szCs w:val="32"/>
        </w:rPr>
      </w:pPr>
      <w:r>
        <w:rPr>
          <w:rFonts w:hint="eastAsia" w:eastAsia="仿宋_GB2312"/>
          <w:sz w:val="32"/>
          <w:szCs w:val="32"/>
        </w:rPr>
        <w:t>2024年该项目不涉及此条指标</w:t>
      </w:r>
    </w:p>
    <w:p w14:paraId="0FF2E104">
      <w:pPr>
        <w:spacing w:line="600" w:lineRule="exact"/>
        <w:ind w:firstLine="640" w:firstLineChars="200"/>
        <w:outlineLvl w:val="0"/>
        <w:rPr>
          <w:rFonts w:eastAsia="仿宋_GB2312"/>
          <w:sz w:val="32"/>
          <w:szCs w:val="32"/>
        </w:rPr>
      </w:pPr>
      <w:r>
        <w:rPr>
          <w:rFonts w:eastAsia="仿宋_GB2312"/>
          <w:sz w:val="32"/>
          <w:szCs w:val="32"/>
        </w:rPr>
        <w:t>②社会效益指标：</w:t>
      </w:r>
    </w:p>
    <w:p w14:paraId="0CDA1BBD">
      <w:pPr>
        <w:spacing w:line="600" w:lineRule="exact"/>
        <w:ind w:firstLine="640" w:firstLineChars="200"/>
        <w:outlineLvl w:val="0"/>
        <w:rPr>
          <w:rFonts w:eastAsia="仿宋_GB2312"/>
          <w:sz w:val="32"/>
          <w:szCs w:val="32"/>
        </w:rPr>
      </w:pPr>
      <w:r>
        <w:rPr>
          <w:rFonts w:eastAsia="仿宋_GB2312"/>
          <w:sz w:val="32"/>
          <w:szCs w:val="32"/>
        </w:rPr>
        <w:t>指标1：提供充足的社区经费，用以保障辖区居民生活安全和提升幸福感，指标值：</w:t>
      </w:r>
      <w:r>
        <w:rPr>
          <w:rFonts w:hint="eastAsia" w:eastAsia="仿宋_GB2312"/>
          <w:sz w:val="32"/>
          <w:szCs w:val="32"/>
        </w:rPr>
        <w:t>有效提升和保障</w:t>
      </w:r>
      <w:r>
        <w:rPr>
          <w:rFonts w:eastAsia="仿宋_GB2312"/>
          <w:sz w:val="32"/>
          <w:szCs w:val="32"/>
        </w:rPr>
        <w:t>，实际完成值：</w:t>
      </w:r>
      <w:r>
        <w:rPr>
          <w:rFonts w:hint="eastAsia" w:eastAsia="仿宋_GB2312"/>
          <w:sz w:val="32"/>
          <w:szCs w:val="32"/>
        </w:rPr>
        <w:t>完全达到预期指标</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该条指标截止24年底完成较好，无偏差。有效保障辖区内10个社区为民提供社区服务，供给充足的社区经费，用以保障辖区居民生活安全和提升幸福感。</w:t>
      </w:r>
    </w:p>
    <w:p w14:paraId="2E8F0F2F">
      <w:pPr>
        <w:spacing w:line="600" w:lineRule="exact"/>
        <w:ind w:firstLine="640" w:firstLineChars="200"/>
        <w:outlineLvl w:val="0"/>
        <w:rPr>
          <w:rFonts w:eastAsia="仿宋_GB2312"/>
          <w:sz w:val="32"/>
          <w:szCs w:val="32"/>
        </w:rPr>
      </w:pPr>
      <w:r>
        <w:rPr>
          <w:rFonts w:eastAsia="仿宋_GB2312"/>
          <w:sz w:val="32"/>
          <w:szCs w:val="32"/>
        </w:rPr>
        <w:t>③生态效益指标：</w:t>
      </w:r>
    </w:p>
    <w:p w14:paraId="55B24744">
      <w:pPr>
        <w:spacing w:line="600" w:lineRule="exact"/>
        <w:ind w:firstLine="640" w:firstLineChars="200"/>
        <w:outlineLvl w:val="0"/>
        <w:rPr>
          <w:rFonts w:eastAsia="仿宋_GB2312"/>
          <w:sz w:val="32"/>
          <w:szCs w:val="32"/>
        </w:rPr>
      </w:pPr>
      <w:r>
        <w:rPr>
          <w:rFonts w:hint="eastAsia" w:eastAsia="仿宋_GB2312"/>
          <w:sz w:val="32"/>
          <w:szCs w:val="32"/>
        </w:rPr>
        <w:t>2024年该项目不涉及此条指标</w:t>
      </w:r>
    </w:p>
    <w:p w14:paraId="3A376B71">
      <w:pPr>
        <w:spacing w:line="600" w:lineRule="exact"/>
        <w:ind w:firstLine="640" w:firstLineChars="200"/>
        <w:outlineLvl w:val="0"/>
        <w:rPr>
          <w:rFonts w:eastAsia="仿宋_GB2312"/>
          <w:sz w:val="32"/>
          <w:szCs w:val="32"/>
        </w:rPr>
      </w:pPr>
      <w:r>
        <w:rPr>
          <w:rFonts w:eastAsia="仿宋_GB2312"/>
          <w:sz w:val="32"/>
          <w:szCs w:val="32"/>
        </w:rPr>
        <w:t>2.满意度</w:t>
      </w:r>
    </w:p>
    <w:p w14:paraId="441C2673">
      <w:pPr>
        <w:spacing w:line="560" w:lineRule="exact"/>
        <w:ind w:firstLine="640" w:firstLineChars="200"/>
        <w:rPr>
          <w:rFonts w:eastAsia="仿宋_GB2312"/>
          <w:sz w:val="32"/>
          <w:szCs w:val="32"/>
        </w:rPr>
      </w:pPr>
      <w:r>
        <w:rPr>
          <w:rFonts w:eastAsia="仿宋_GB2312"/>
          <w:sz w:val="32"/>
          <w:szCs w:val="32"/>
        </w:rPr>
        <w:t>指标1：辖区居民满意度</w:t>
      </w:r>
      <w:r>
        <w:rPr>
          <w:rFonts w:hint="eastAsia" w:eastAsia="仿宋_GB2312"/>
          <w:sz w:val="32"/>
          <w:szCs w:val="32"/>
        </w:rPr>
        <w:t>，</w:t>
      </w:r>
      <w:r>
        <w:rPr>
          <w:rFonts w:eastAsia="仿宋_GB2312"/>
          <w:sz w:val="32"/>
          <w:szCs w:val="32"/>
        </w:rPr>
        <w:t>指标值：</w:t>
      </w:r>
      <w:r>
        <w:rPr>
          <w:rFonts w:hint="eastAsia" w:eastAsia="仿宋_GB2312"/>
          <w:sz w:val="32"/>
          <w:szCs w:val="32"/>
        </w:rPr>
        <w:t>&gt;=95%</w:t>
      </w:r>
      <w:r>
        <w:rPr>
          <w:rFonts w:eastAsia="仿宋_GB2312"/>
          <w:sz w:val="32"/>
          <w:szCs w:val="32"/>
        </w:rPr>
        <w:t>，实际完成值：</w:t>
      </w:r>
      <w:r>
        <w:rPr>
          <w:rFonts w:hint="eastAsia" w:eastAsia="仿宋_GB2312"/>
          <w:sz w:val="32"/>
          <w:szCs w:val="32"/>
        </w:rPr>
        <w:t>95%</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w:t>
      </w:r>
    </w:p>
    <w:p w14:paraId="4E8E84AD">
      <w:pPr>
        <w:spacing w:line="560" w:lineRule="exact"/>
        <w:ind w:firstLine="643" w:firstLineChars="200"/>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pPr>
        <w:pStyle w:val="20"/>
        <w:spacing w:line="560" w:lineRule="exact"/>
        <w:ind w:firstLine="640"/>
        <w:rPr>
          <w:rFonts w:eastAsia="方正仿宋_GBK"/>
          <w:sz w:val="32"/>
          <w:szCs w:val="32"/>
        </w:rPr>
      </w:pPr>
      <w:r>
        <w:rPr>
          <w:rFonts w:eastAsia="方正仿宋_GBK"/>
          <w:sz w:val="32"/>
          <w:szCs w:val="32"/>
        </w:rPr>
        <w:t>社区工作经费项目年初预算</w:t>
      </w:r>
      <w:r>
        <w:rPr>
          <w:rFonts w:hint="eastAsia" w:eastAsia="方正仿宋_GBK"/>
          <w:sz w:val="32"/>
          <w:szCs w:val="32"/>
        </w:rPr>
        <w:t>520</w:t>
      </w:r>
      <w:r>
        <w:rPr>
          <w:rFonts w:eastAsia="方正仿宋_GBK"/>
          <w:sz w:val="32"/>
          <w:szCs w:val="32"/>
        </w:rPr>
        <w:t>万元，全年预算</w:t>
      </w:r>
      <w:r>
        <w:rPr>
          <w:rFonts w:hint="eastAsia" w:eastAsia="方正仿宋_GBK"/>
          <w:sz w:val="32"/>
          <w:szCs w:val="32"/>
        </w:rPr>
        <w:t>520</w:t>
      </w:r>
      <w:r>
        <w:rPr>
          <w:rFonts w:eastAsia="方正仿宋_GBK"/>
          <w:sz w:val="32"/>
          <w:szCs w:val="32"/>
        </w:rPr>
        <w:t>万元，实际支出</w:t>
      </w:r>
      <w:r>
        <w:rPr>
          <w:rFonts w:hint="eastAsia" w:eastAsia="方正仿宋_GBK"/>
          <w:sz w:val="32"/>
          <w:szCs w:val="32"/>
        </w:rPr>
        <w:t>520</w:t>
      </w:r>
      <w:r>
        <w:rPr>
          <w:rFonts w:eastAsia="方正仿宋_GBK"/>
          <w:sz w:val="32"/>
          <w:szCs w:val="32"/>
        </w:rPr>
        <w:t>万元，预算执行率为</w:t>
      </w:r>
      <w:r>
        <w:rPr>
          <w:rFonts w:hint="eastAsia" w:eastAsia="方正仿宋_GBK"/>
          <w:sz w:val="32"/>
          <w:szCs w:val="32"/>
        </w:rPr>
        <w:t>100</w:t>
      </w:r>
      <w:r>
        <w:rPr>
          <w:rFonts w:eastAsia="方正仿宋_GBK"/>
          <w:sz w:val="32"/>
          <w:szCs w:val="32"/>
        </w:rPr>
        <w:t>%，项目绩效指标总体完成率为</w:t>
      </w:r>
      <w:r>
        <w:rPr>
          <w:rFonts w:hint="eastAsia" w:eastAsia="方正仿宋_GBK"/>
          <w:sz w:val="32"/>
          <w:szCs w:val="32"/>
        </w:rPr>
        <w:t>100</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hint="eastAsia" w:eastAsia="方正仿宋_GBK"/>
          <w:sz w:val="32"/>
          <w:szCs w:val="32"/>
        </w:rPr>
        <w:t>0</w:t>
      </w:r>
      <w:r>
        <w:rPr>
          <w:rFonts w:eastAsia="方正仿宋_GBK"/>
          <w:sz w:val="32"/>
          <w:szCs w:val="32"/>
        </w:rPr>
        <w:t>%</w:t>
      </w:r>
      <w:r>
        <w:rPr>
          <w:rFonts w:hint="eastAsia"/>
        </w:rPr>
        <w:t>，</w:t>
      </w:r>
      <w:r>
        <w:rPr>
          <w:rFonts w:hint="eastAsia" w:eastAsia="仿宋_GB2312"/>
          <w:sz w:val="32"/>
          <w:szCs w:val="32"/>
        </w:rPr>
        <w:t>该项目截止24年底完成较好，无偏差</w:t>
      </w:r>
      <w:r>
        <w:rPr>
          <w:rFonts w:eastAsia="方正仿宋_GBK"/>
          <w:sz w:val="32"/>
          <w:szCs w:val="32"/>
        </w:rPr>
        <w:t>。</w:t>
      </w:r>
    </w:p>
    <w:p w14:paraId="5DED8768">
      <w:pPr>
        <w:spacing w:line="560" w:lineRule="exact"/>
        <w:ind w:firstLine="640" w:firstLineChars="200"/>
        <w:rPr>
          <w:rStyle w:val="19"/>
          <w:rFonts w:ascii="Times New Roman" w:hAnsi="Times New Roman" w:cs="Times New Roman"/>
          <w:color w:val="auto"/>
        </w:rPr>
      </w:pPr>
      <w:r>
        <w:rPr>
          <w:rFonts w:hint="eastAsia" w:eastAsia="黑体"/>
          <w:sz w:val="32"/>
          <w:szCs w:val="32"/>
        </w:rPr>
        <w:t>五、</w:t>
      </w:r>
      <w:r>
        <w:rPr>
          <w:rFonts w:eastAsia="黑体"/>
          <w:sz w:val="32"/>
          <w:szCs w:val="32"/>
        </w:rPr>
        <w:t>主要经验及做法、存在的问题及原因分析</w:t>
      </w:r>
    </w:p>
    <w:p w14:paraId="5F9FADCA">
      <w:pPr>
        <w:spacing w:line="560" w:lineRule="exact"/>
        <w:ind w:firstLine="627" w:firstLineChars="200"/>
        <w:rPr>
          <w:rFonts w:eastAsia="楷体"/>
          <w:b/>
          <w:spacing w:val="-4"/>
          <w:sz w:val="32"/>
          <w:szCs w:val="32"/>
        </w:rPr>
      </w:pPr>
      <w:r>
        <w:rPr>
          <w:rFonts w:eastAsia="楷体"/>
          <w:b/>
          <w:spacing w:val="-4"/>
          <w:sz w:val="32"/>
          <w:szCs w:val="32"/>
        </w:rPr>
        <w:t>（一）主要经验及做法</w:t>
      </w:r>
    </w:p>
    <w:p w14:paraId="5A952AAD">
      <w:pPr>
        <w:spacing w:line="560" w:lineRule="exact"/>
        <w:ind w:firstLine="640" w:firstLineChars="20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pPr>
        <w:pStyle w:val="11"/>
        <w:spacing w:before="0" w:after="0" w:line="560" w:lineRule="exact"/>
        <w:ind w:firstLine="640" w:firstLineChars="200"/>
        <w:jc w:val="left"/>
        <w:rPr>
          <w:rFonts w:ascii="Times New Roman" w:hAnsi="Times New Roman" w:eastAsia="仿宋_GB2312"/>
          <w:b w:val="0"/>
          <w:bCs w:val="0"/>
          <w:kern w:val="2"/>
        </w:rPr>
      </w:pPr>
      <w:r>
        <w:rPr>
          <w:rFonts w:ascii="Times New Roman" w:hAnsi="Times New Roman" w:eastAsia="仿宋_GB2312"/>
          <w:b w:val="0"/>
          <w:bCs w:val="0"/>
          <w:kern w:val="2"/>
        </w:rPr>
        <w:t>严格坚持先做事、后验收、再拨付的原则，</w:t>
      </w:r>
      <w:r>
        <w:rPr>
          <w:rFonts w:hint="eastAsia" w:ascii="Times New Roman" w:hAnsi="Times New Roman" w:eastAsia="仿宋_GB2312"/>
          <w:b w:val="0"/>
          <w:bCs w:val="0"/>
          <w:kern w:val="2"/>
        </w:rPr>
        <w:t>杜绝</w:t>
      </w:r>
      <w:r>
        <w:rPr>
          <w:rFonts w:ascii="Times New Roman" w:hAnsi="Times New Roman" w:eastAsia="仿宋_GB2312"/>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pPr>
        <w:keepNext/>
        <w:keepLines/>
        <w:numPr>
          <w:ilvl w:val="0"/>
          <w:numId w:val="5"/>
        </w:numPr>
        <w:spacing w:line="560" w:lineRule="exact"/>
        <w:ind w:firstLine="643" w:firstLineChars="200"/>
        <w:rPr>
          <w:rFonts w:eastAsia="楷体_GB2312"/>
          <w:b/>
          <w:bCs/>
          <w:sz w:val="32"/>
          <w:szCs w:val="32"/>
        </w:rPr>
      </w:pPr>
      <w:r>
        <w:rPr>
          <w:rFonts w:eastAsia="楷体_GB2312"/>
          <w:b/>
          <w:bCs/>
          <w:sz w:val="32"/>
          <w:szCs w:val="32"/>
        </w:rPr>
        <w:t>存在的问题及原因分析</w:t>
      </w:r>
    </w:p>
    <w:p w14:paraId="1F4B0372">
      <w:pPr>
        <w:snapToGrid w:val="0"/>
        <w:spacing w:line="560" w:lineRule="exact"/>
        <w:ind w:firstLine="640"/>
        <w:rPr>
          <w:sz w:val="32"/>
          <w:szCs w:val="32"/>
        </w:rPr>
      </w:pPr>
      <w:r>
        <w:rPr>
          <w:rFonts w:hint="eastAsia"/>
          <w:sz w:val="32"/>
          <w:szCs w:val="32"/>
        </w:rPr>
        <w:t>1</w:t>
      </w:r>
      <w:r>
        <w:rPr>
          <w:sz w:val="32"/>
          <w:szCs w:val="32"/>
        </w:rPr>
        <w:t>.</w:t>
      </w:r>
      <w:r>
        <w:rPr>
          <w:rFonts w:hint="eastAsia"/>
          <w:sz w:val="32"/>
          <w:szCs w:val="32"/>
        </w:rPr>
        <w:t>项目目标设置不明确，绩效目标模糊，量化不足，目标过高或过低，缺乏可行性分析。因专业能力欠缺，人员缺乏绩效管理培训，指标设计方法不科学。</w:t>
      </w:r>
    </w:p>
    <w:p w14:paraId="4F8E6581">
      <w:pPr>
        <w:snapToGrid w:val="0"/>
        <w:spacing w:line="560" w:lineRule="exact"/>
        <w:ind w:firstLine="640"/>
        <w:rPr>
          <w:sz w:val="32"/>
          <w:szCs w:val="32"/>
        </w:rPr>
      </w:pPr>
      <w:r>
        <w:rPr>
          <w:rFonts w:hint="eastAsia"/>
          <w:sz w:val="32"/>
          <w:szCs w:val="32"/>
        </w:rPr>
        <w:t>2.项目指标设置不合理，侧重投入类指标（如资金使用率，忽视产出效果类指标（如公众满意度、社会效益）。指标缺乏差异性，未能体现部门核心职能，财务、业务部门协同不足。</w:t>
      </w:r>
    </w:p>
    <w:p w14:paraId="64E7BB1D">
      <w:pPr>
        <w:snapToGrid w:val="0"/>
        <w:spacing w:line="560" w:lineRule="exact"/>
        <w:ind w:firstLine="640"/>
        <w:rPr>
          <w:sz w:val="32"/>
          <w:szCs w:val="32"/>
        </w:rPr>
      </w:pPr>
      <w:r>
        <w:rPr>
          <w:rFonts w:hint="eastAsia"/>
          <w:sz w:val="32"/>
          <w:szCs w:val="32"/>
        </w:rPr>
        <w:t>3.项目预算编制科学性的问题。首先项目预算编制之合理性相对不足，主要表现在预算调整数较大，年度目标与长期规划衔接的紧密程度需要增强，编制项目预算绩效缺乏细化规定，操作性不强。</w:t>
      </w:r>
    </w:p>
    <w:p w14:paraId="14F5671E">
      <w:pPr>
        <w:pStyle w:val="2"/>
        <w:spacing w:line="560" w:lineRule="exact"/>
        <w:jc w:val="left"/>
        <w:rPr>
          <w:rFonts w:hint="eastAsia" w:ascii="仿宋" w:hAnsi="仿宋" w:eastAsia="仿宋"/>
          <w:sz w:val="36"/>
          <w:szCs w:val="36"/>
          <w:lang w:bidi="en-US"/>
        </w:rPr>
      </w:pPr>
      <w:bookmarkStart w:id="0" w:name="_Toc67911620"/>
      <w:bookmarkStart w:id="1" w:name="_Toc165277259"/>
      <w:r>
        <w:rPr>
          <w:rFonts w:hint="eastAsia" w:ascii="仿宋" w:hAnsi="仿宋" w:eastAsia="仿宋"/>
          <w:sz w:val="36"/>
          <w:szCs w:val="36"/>
          <w:lang w:bidi="en-US"/>
        </w:rPr>
        <w:t>六、有关建议</w:t>
      </w:r>
      <w:bookmarkEnd w:id="0"/>
      <w:bookmarkEnd w:id="1"/>
    </w:p>
    <w:p w14:paraId="6B8A5CBE">
      <w:pPr>
        <w:snapToGrid w:val="0"/>
        <w:spacing w:line="560" w:lineRule="exact"/>
        <w:ind w:firstLine="640"/>
        <w:rPr>
          <w:sz w:val="32"/>
          <w:szCs w:val="32"/>
        </w:rPr>
      </w:pPr>
      <w:r>
        <w:rPr>
          <w:rFonts w:hint="eastAsia"/>
          <w:sz w:val="32"/>
          <w:szCs w:val="32"/>
        </w:rPr>
        <w:t>1.提升数据质量，加强绩效人员培训和专业能力，推动绩效管理信息化和专业化。</w:t>
      </w:r>
    </w:p>
    <w:p w14:paraId="6656C538">
      <w:pPr>
        <w:snapToGrid w:val="0"/>
        <w:spacing w:line="560" w:lineRule="exact"/>
        <w:ind w:firstLine="640"/>
        <w:rPr>
          <w:sz w:val="32"/>
          <w:szCs w:val="32"/>
        </w:rPr>
      </w:pPr>
      <w:r>
        <w:rPr>
          <w:rFonts w:hint="eastAsia"/>
          <w:sz w:val="32"/>
          <w:szCs w:val="32"/>
        </w:rPr>
        <w:t>2.优化绩效指标设定，根据岗位特点，设计科学合理的绩效指标体系，以全面反映我单位实际工作表现，同时，应重指标的难易程度，确保既不过高也不过低。</w:t>
      </w:r>
    </w:p>
    <w:p w14:paraId="65053A88">
      <w:pPr>
        <w:spacing w:line="560" w:lineRule="exact"/>
        <w:ind w:firstLine="640" w:firstLineChars="200"/>
        <w:rPr>
          <w:sz w:val="32"/>
          <w:szCs w:val="32"/>
        </w:rPr>
      </w:pPr>
      <w:r>
        <w:rPr>
          <w:rFonts w:hint="eastAsia"/>
          <w:sz w:val="32"/>
          <w:szCs w:val="32"/>
        </w:rPr>
        <w:t>3.加强预算编制科学性、完善预算编制细化，建立分层的绩效指标体系，明确核心绩效目标。将绩效结果与预算、人事管理挂钩，强化激励约束。</w:t>
      </w:r>
    </w:p>
    <w:p w14:paraId="3AB05DC2">
      <w:pPr>
        <w:spacing w:line="560" w:lineRule="exact"/>
        <w:ind w:firstLine="640" w:firstLineChars="200"/>
        <w:rPr>
          <w:rFonts w:eastAsia="黑体"/>
          <w:sz w:val="32"/>
          <w:szCs w:val="32"/>
        </w:rPr>
      </w:pPr>
      <w:r>
        <w:rPr>
          <w:rFonts w:hint="eastAsia" w:eastAsia="黑体"/>
          <w:sz w:val="32"/>
          <w:szCs w:val="32"/>
        </w:rPr>
        <w:t>七、</w:t>
      </w:r>
      <w:r>
        <w:rPr>
          <w:rFonts w:eastAsia="黑体"/>
          <w:sz w:val="32"/>
          <w:szCs w:val="32"/>
        </w:rPr>
        <w:t>其他需要说</w:t>
      </w:r>
      <w:bookmarkStart w:id="2" w:name="page8"/>
      <w:bookmarkEnd w:id="2"/>
      <w:r>
        <w:rPr>
          <w:rFonts w:eastAsia="黑体"/>
          <w:sz w:val="32"/>
          <w:szCs w:val="32"/>
        </w:rPr>
        <w:t>明的问题</w:t>
      </w:r>
    </w:p>
    <w:p w14:paraId="31428C30">
      <w:pPr>
        <w:spacing w:line="600" w:lineRule="exact"/>
        <w:ind w:firstLine="640" w:firstLineChars="200"/>
        <w:outlineLvl w:val="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项目支出政策和路径设计科学，符合实际需要；</w:t>
      </w:r>
    </w:p>
    <w:p w14:paraId="1FC76872">
      <w:pPr>
        <w:spacing w:line="600" w:lineRule="exact"/>
        <w:ind w:firstLine="640" w:firstLineChars="200"/>
        <w:outlineLvl w:val="0"/>
        <w:rPr>
          <w:rFonts w:eastAsia="仿宋_GB2312"/>
          <w:sz w:val="32"/>
          <w:szCs w:val="32"/>
        </w:rPr>
      </w:pPr>
      <w:r>
        <w:rPr>
          <w:rFonts w:eastAsia="仿宋_GB2312"/>
          <w:sz w:val="32"/>
          <w:szCs w:val="32"/>
        </w:rPr>
        <w:t>2.</w:t>
      </w:r>
      <w:r>
        <w:rPr>
          <w:rFonts w:hint="eastAsia" w:eastAsia="仿宋_GB2312"/>
          <w:sz w:val="32"/>
          <w:szCs w:val="32"/>
        </w:rPr>
        <w:t>项目安排准确，未发现背离项目立项初衷的情况；</w:t>
      </w:r>
    </w:p>
    <w:p w14:paraId="3FFEAA84">
      <w:pPr>
        <w:spacing w:line="600" w:lineRule="exact"/>
        <w:ind w:firstLine="640" w:firstLineChars="200"/>
        <w:outlineLvl w:val="0"/>
        <w:rPr>
          <w:rFonts w:eastAsia="仿宋_GB2312"/>
          <w:sz w:val="32"/>
          <w:szCs w:val="32"/>
        </w:rPr>
      </w:pPr>
      <w:r>
        <w:rPr>
          <w:rFonts w:eastAsia="仿宋_GB2312"/>
          <w:sz w:val="32"/>
          <w:szCs w:val="32"/>
        </w:rPr>
        <w:t>3.</w:t>
      </w:r>
      <w:r>
        <w:rPr>
          <w:rFonts w:hint="eastAsia" w:eastAsia="仿宋_GB2312"/>
          <w:sz w:val="32"/>
          <w:szCs w:val="32"/>
        </w:rPr>
        <w:t>项目的申报、审核机制完善；</w:t>
      </w:r>
    </w:p>
    <w:p w14:paraId="1C7E97CB">
      <w:pPr>
        <w:spacing w:line="600" w:lineRule="exact"/>
        <w:ind w:firstLine="640" w:firstLineChars="200"/>
        <w:outlineLvl w:val="0"/>
        <w:rPr>
          <w:rFonts w:eastAsia="仿宋_GB2312"/>
          <w:sz w:val="32"/>
          <w:szCs w:val="32"/>
          <w:lang w:eastAsia="zh-Hans"/>
        </w:rPr>
      </w:pPr>
      <w:r>
        <w:rPr>
          <w:rFonts w:eastAsia="仿宋_GB2312"/>
          <w:sz w:val="32"/>
          <w:szCs w:val="32"/>
        </w:rPr>
        <w:t>4.</w:t>
      </w:r>
      <w:r>
        <w:rPr>
          <w:rFonts w:hint="eastAsia" w:eastAsia="仿宋_GB2312"/>
          <w:sz w:val="32"/>
          <w:szCs w:val="32"/>
        </w:rPr>
        <w:t>未发现虚假行为和骗取财政资金的问题</w:t>
      </w:r>
      <w:r>
        <w:rPr>
          <w:rFonts w:eastAsia="仿宋_GB2312"/>
          <w:sz w:val="32"/>
          <w:szCs w:val="32"/>
          <w:lang w:eastAsia="zh-Hans"/>
        </w:rPr>
        <w:t>。</w:t>
      </w:r>
    </w:p>
    <w:p w14:paraId="297CAE91">
      <w:pPr>
        <w:pStyle w:val="14"/>
        <w:spacing w:after="0" w:line="560" w:lineRule="exact"/>
        <w:ind w:left="0" w:leftChars="0" w:firstLine="0" w:firstLineChars="0"/>
        <w:rPr>
          <w:rFonts w:ascii="Times New Roman" w:hAnsi="Times New Roman" w:eastAsia="仿宋_GB2312"/>
          <w:sz w:val="32"/>
          <w:szCs w:val="32"/>
        </w:rPr>
      </w:pPr>
    </w:p>
    <w:p w14:paraId="3AD50DE0">
      <w:pPr>
        <w:pStyle w:val="14"/>
        <w:spacing w:after="0" w:line="560" w:lineRule="exact"/>
        <w:ind w:left="0" w:leftChars="0" w:firstLine="640"/>
        <w:rPr>
          <w:rFonts w:ascii="Times New Roman" w:hAnsi="Times New Roman" w:eastAsia="仿宋_GB2312"/>
          <w:sz w:val="32"/>
          <w:szCs w:val="32"/>
        </w:rPr>
      </w:pPr>
    </w:p>
    <w:p w14:paraId="168A380C">
      <w:pPr>
        <w:pStyle w:val="14"/>
        <w:spacing w:after="0" w:line="560" w:lineRule="exact"/>
        <w:ind w:left="0" w:leftChars="0" w:firstLine="640"/>
        <w:rPr>
          <w:rFonts w:ascii="Times New Roman" w:hAnsi="Times New Roman" w:eastAsia="仿宋_GB2312"/>
          <w:sz w:val="32"/>
          <w:szCs w:val="32"/>
        </w:rPr>
      </w:pPr>
    </w:p>
    <w:p w14:paraId="5AF7B446">
      <w:pPr>
        <w:pStyle w:val="14"/>
        <w:spacing w:after="0" w:line="560" w:lineRule="exact"/>
        <w:ind w:left="0" w:leftChars="0" w:firstLine="0" w:firstLineChars="0"/>
        <w:rPr>
          <w:rFonts w:ascii="Times New Roman" w:hAnsi="Times New Roman" w:eastAsia="仿宋_GB2312"/>
          <w:sz w:val="32"/>
          <w:szCs w:val="32"/>
        </w:rPr>
      </w:pPr>
    </w:p>
    <w:p w14:paraId="573D47C3">
      <w:pPr>
        <w:spacing w:line="600" w:lineRule="exact"/>
        <w:rPr>
          <w:rFonts w:eastAsia="黑体"/>
          <w:sz w:val="32"/>
          <w:szCs w:val="32"/>
        </w:rPr>
        <w:sectPr>
          <w:footerReference r:id="rId3" w:type="default"/>
          <w:pgSz w:w="11906" w:h="16838"/>
          <w:pgMar w:top="1440" w:right="1558" w:bottom="1440" w:left="1800" w:header="851" w:footer="992" w:gutter="0"/>
          <w:pgNumType w:start="1"/>
          <w:cols w:space="425" w:num="1"/>
          <w:docGrid w:type="lines" w:linePitch="312" w:charSpace="0"/>
        </w:sectPr>
      </w:pPr>
    </w:p>
    <w:p w14:paraId="3B939547">
      <w:pPr>
        <w:spacing w:line="600" w:lineRule="exact"/>
        <w:rPr>
          <w:rFonts w:eastAsia="黑体"/>
          <w:sz w:val="32"/>
          <w:szCs w:val="32"/>
        </w:rPr>
      </w:pPr>
      <w:r>
        <w:rPr>
          <w:rFonts w:hint="eastAsia" w:eastAsia="黑体"/>
          <w:sz w:val="32"/>
          <w:szCs w:val="32"/>
        </w:rPr>
        <w:t>附件1</w:t>
      </w:r>
    </w:p>
    <w:p w14:paraId="4F6B37B4">
      <w:pPr>
        <w:pStyle w:val="20"/>
        <w:ind w:firstLine="562"/>
        <w:jc w:val="center"/>
        <w:rPr>
          <w:rFonts w:hint="eastAsia" w:ascii="仿宋_GB2312" w:hAnsi="仿宋_GB2312" w:eastAsia="仿宋_GB2312" w:cs="仿宋_GB2312"/>
          <w:sz w:val="28"/>
          <w:szCs w:val="40"/>
        </w:rPr>
      </w:pPr>
      <w:bookmarkStart w:id="3" w:name="_Toc30064_WPSOffice_Level1"/>
      <w:bookmarkStart w:id="4" w:name="_Toc26499_WPSOffice_Level2"/>
      <w:r>
        <w:rPr>
          <w:rFonts w:hint="eastAsia" w:ascii="仿宋_GB2312" w:hAnsi="仿宋_GB2312" w:eastAsia="仿宋_GB2312" w:cs="仿宋_GB2312"/>
          <w:b/>
          <w:bCs/>
          <w:sz w:val="28"/>
          <w:szCs w:val="40"/>
        </w:rPr>
        <w:t>社区工作经费项目绩效评价指标体系及综合评分表</w:t>
      </w:r>
      <w:bookmarkEnd w:id="3"/>
      <w:bookmarkEnd w:id="4"/>
    </w:p>
    <w:tbl>
      <w:tblPr>
        <w:tblStyle w:val="15"/>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02"/>
        <w:gridCol w:w="999"/>
        <w:gridCol w:w="1070"/>
        <w:gridCol w:w="1725"/>
        <w:gridCol w:w="5220"/>
        <w:gridCol w:w="1304"/>
        <w:gridCol w:w="1363"/>
      </w:tblGrid>
      <w:tr w14:paraId="4F107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395" w:type="pct"/>
            <w:shd w:val="clear" w:color="auto" w:fill="FFFFFF"/>
            <w:vAlign w:val="center"/>
          </w:tcPr>
          <w:p w14:paraId="61AA652F">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3CCC7E8D">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5EABFBA4">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5175A39E">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130905C5">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43943279">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shd w:val="clear" w:color="auto" w:fill="FFFFFF"/>
            <w:vAlign w:val="center"/>
          </w:tcPr>
          <w:p w14:paraId="47675841">
            <w:pPr>
              <w:widowControl/>
              <w:spacing w:line="0" w:lineRule="atLeast"/>
              <w:jc w:val="center"/>
              <w:rPr>
                <w:rFonts w:eastAsia="仿宋_GB2312"/>
                <w:b/>
                <w:bCs/>
                <w:kern w:val="0"/>
                <w:sz w:val="18"/>
                <w:szCs w:val="18"/>
              </w:rPr>
            </w:pPr>
            <w:r>
              <w:rPr>
                <w:rFonts w:eastAsia="仿宋_GB2312"/>
                <w:b/>
                <w:bCs/>
                <w:kern w:val="0"/>
                <w:sz w:val="18"/>
                <w:szCs w:val="18"/>
              </w:rPr>
              <w:t>得分</w:t>
            </w:r>
          </w:p>
        </w:tc>
      </w:tr>
      <w:tr w14:paraId="507B5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95" w:type="pct"/>
            <w:vMerge w:val="restart"/>
            <w:shd w:val="clear" w:color="auto" w:fill="FFFFFF"/>
            <w:vAlign w:val="center"/>
          </w:tcPr>
          <w:p w14:paraId="30DD2841">
            <w:pPr>
              <w:widowControl/>
              <w:spacing w:line="0" w:lineRule="atLeast"/>
              <w:jc w:val="center"/>
              <w:rPr>
                <w:rFonts w:eastAsia="仿宋_GB2312"/>
                <w:kern w:val="0"/>
                <w:sz w:val="18"/>
                <w:szCs w:val="18"/>
              </w:rPr>
            </w:pPr>
          </w:p>
          <w:p w14:paraId="5C999CB4">
            <w:pPr>
              <w:widowControl/>
              <w:spacing w:line="0" w:lineRule="atLeast"/>
              <w:jc w:val="center"/>
              <w:rPr>
                <w:rFonts w:eastAsia="仿宋_GB2312"/>
                <w:kern w:val="0"/>
                <w:sz w:val="18"/>
                <w:szCs w:val="18"/>
              </w:rPr>
            </w:pPr>
          </w:p>
          <w:p w14:paraId="5F6B9081">
            <w:pPr>
              <w:widowControl/>
              <w:spacing w:line="0" w:lineRule="atLeast"/>
              <w:jc w:val="center"/>
              <w:rPr>
                <w:rFonts w:eastAsia="仿宋_GB2312"/>
                <w:kern w:val="0"/>
                <w:sz w:val="18"/>
                <w:szCs w:val="18"/>
              </w:rPr>
            </w:pPr>
          </w:p>
          <w:p w14:paraId="2928D8E8">
            <w:pPr>
              <w:widowControl/>
              <w:spacing w:line="0" w:lineRule="atLeast"/>
              <w:jc w:val="center"/>
              <w:rPr>
                <w:rFonts w:eastAsia="仿宋_GB2312"/>
                <w:kern w:val="0"/>
                <w:sz w:val="18"/>
                <w:szCs w:val="18"/>
              </w:rPr>
            </w:pPr>
          </w:p>
          <w:p w14:paraId="5B7A878C">
            <w:pPr>
              <w:widowControl/>
              <w:spacing w:line="0" w:lineRule="atLeast"/>
              <w:jc w:val="center"/>
              <w:rPr>
                <w:rFonts w:eastAsia="仿宋_GB2312"/>
                <w:kern w:val="0"/>
                <w:sz w:val="18"/>
                <w:szCs w:val="18"/>
              </w:rPr>
            </w:pPr>
          </w:p>
          <w:p w14:paraId="785F3821">
            <w:pPr>
              <w:widowControl/>
              <w:spacing w:line="0" w:lineRule="atLeast"/>
              <w:jc w:val="center"/>
              <w:rPr>
                <w:rFonts w:eastAsia="仿宋_GB2312"/>
                <w:kern w:val="0"/>
                <w:sz w:val="18"/>
                <w:szCs w:val="18"/>
              </w:rPr>
            </w:pPr>
          </w:p>
          <w:p w14:paraId="59E640C7">
            <w:pPr>
              <w:widowControl/>
              <w:spacing w:line="0" w:lineRule="atLeast"/>
              <w:jc w:val="center"/>
              <w:rPr>
                <w:rFonts w:eastAsia="仿宋_GB2312"/>
                <w:kern w:val="0"/>
                <w:sz w:val="18"/>
                <w:szCs w:val="18"/>
              </w:rPr>
            </w:pPr>
            <w:r>
              <w:rPr>
                <w:rFonts w:eastAsia="仿宋_GB2312"/>
                <w:kern w:val="0"/>
                <w:sz w:val="18"/>
                <w:szCs w:val="18"/>
              </w:rPr>
              <w:t>决策　</w:t>
            </w:r>
          </w:p>
        </w:tc>
        <w:tc>
          <w:tcPr>
            <w:tcW w:w="394" w:type="pct"/>
            <w:vMerge w:val="restart"/>
            <w:shd w:val="clear" w:color="auto" w:fill="FFFFFF"/>
            <w:vAlign w:val="center"/>
          </w:tcPr>
          <w:p w14:paraId="2D23D204">
            <w:pPr>
              <w:widowControl/>
              <w:spacing w:line="0" w:lineRule="atLeast"/>
              <w:jc w:val="center"/>
              <w:rPr>
                <w:rFonts w:eastAsia="仿宋_GB2312"/>
                <w:kern w:val="0"/>
                <w:sz w:val="18"/>
                <w:szCs w:val="18"/>
              </w:rPr>
            </w:pPr>
            <w:r>
              <w:rPr>
                <w:rFonts w:eastAsia="仿宋_GB2312"/>
                <w:kern w:val="0"/>
                <w:sz w:val="18"/>
                <w:szCs w:val="18"/>
              </w:rPr>
              <w:t>项目立项　</w:t>
            </w:r>
          </w:p>
        </w:tc>
        <w:tc>
          <w:tcPr>
            <w:tcW w:w="422" w:type="pct"/>
            <w:shd w:val="clear" w:color="auto" w:fill="FFFFFF"/>
            <w:vAlign w:val="center"/>
          </w:tcPr>
          <w:p w14:paraId="2B8C2283">
            <w:pPr>
              <w:widowControl/>
              <w:spacing w:line="0" w:lineRule="atLeast"/>
              <w:jc w:val="center"/>
              <w:rPr>
                <w:rFonts w:eastAsia="仿宋_GB2312"/>
                <w:kern w:val="0"/>
                <w:sz w:val="18"/>
                <w:szCs w:val="18"/>
              </w:rPr>
            </w:pPr>
            <w:r>
              <w:rPr>
                <w:rFonts w:eastAsia="仿宋_GB2312"/>
                <w:kern w:val="0"/>
                <w:sz w:val="18"/>
                <w:szCs w:val="18"/>
              </w:rPr>
              <w:t>立项依据</w:t>
            </w:r>
          </w:p>
          <w:p w14:paraId="7ECB52F3">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6F22700C">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①项目立项是否符合国家法律法规、国民经济发展规划和相关政策；</w:t>
            </w:r>
            <w:r>
              <w:rPr>
                <w:rFonts w:eastAsia="仿宋_GB2312"/>
                <w:kern w:val="0"/>
                <w:sz w:val="18"/>
                <w:szCs w:val="18"/>
              </w:rPr>
              <w:br w:type="textWrapping"/>
            </w:r>
            <w:r>
              <w:rPr>
                <w:rFonts w:eastAsia="仿宋_GB2312"/>
                <w:kern w:val="0"/>
                <w:sz w:val="18"/>
                <w:szCs w:val="18"/>
              </w:rPr>
              <w:t>②项目立项是否符合行业发展规划和政策要求；</w:t>
            </w:r>
            <w:r>
              <w:rPr>
                <w:rFonts w:eastAsia="仿宋_GB2312"/>
                <w:kern w:val="0"/>
                <w:sz w:val="18"/>
                <w:szCs w:val="18"/>
              </w:rPr>
              <w:br w:type="textWrapping"/>
            </w:r>
            <w:r>
              <w:rPr>
                <w:rFonts w:eastAsia="仿宋_GB2312"/>
                <w:kern w:val="0"/>
                <w:sz w:val="18"/>
                <w:szCs w:val="18"/>
              </w:rPr>
              <w:t>③项目立项是否与部门职责范围相符，属于部门履职所需；</w:t>
            </w:r>
            <w:r>
              <w:rPr>
                <w:rFonts w:eastAsia="仿宋_GB2312"/>
                <w:kern w:val="0"/>
                <w:sz w:val="18"/>
                <w:szCs w:val="18"/>
              </w:rPr>
              <w:br w:type="textWrapping"/>
            </w:r>
            <w:r>
              <w:rPr>
                <w:rFonts w:eastAsia="仿宋_GB2312"/>
                <w:kern w:val="0"/>
                <w:sz w:val="18"/>
                <w:szCs w:val="18"/>
              </w:rPr>
              <w:t>④项目是否属于公共财政支持范围，是否符合中央、地方事权支出责任划分原则；</w:t>
            </w:r>
            <w:r>
              <w:rPr>
                <w:rFonts w:eastAsia="仿宋_GB2312"/>
                <w:kern w:val="0"/>
                <w:sz w:val="18"/>
                <w:szCs w:val="18"/>
              </w:rPr>
              <w:br w:type="textWrapping"/>
            </w:r>
            <w:r>
              <w:rPr>
                <w:rFonts w:eastAsia="仿宋_GB2312"/>
                <w:kern w:val="0"/>
                <w:sz w:val="18"/>
                <w:szCs w:val="18"/>
              </w:rPr>
              <w:t>⑤项目是否与相关部门同类项目或部门内部相关项目重复。</w:t>
            </w:r>
          </w:p>
        </w:tc>
        <w:tc>
          <w:tcPr>
            <w:tcW w:w="514" w:type="pct"/>
            <w:shd w:val="clear" w:color="auto" w:fill="FFFFFF"/>
            <w:vAlign w:val="center"/>
          </w:tcPr>
          <w:p w14:paraId="5BD2F436">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10DEA741">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2EDD1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6DAC2A7E">
            <w:pPr>
              <w:spacing w:line="0" w:lineRule="atLeast"/>
              <w:jc w:val="center"/>
              <w:rPr>
                <w:rFonts w:eastAsia="仿宋_GB2312"/>
                <w:kern w:val="0"/>
                <w:sz w:val="18"/>
                <w:szCs w:val="18"/>
              </w:rPr>
            </w:pPr>
          </w:p>
        </w:tc>
        <w:tc>
          <w:tcPr>
            <w:tcW w:w="394" w:type="pct"/>
            <w:vMerge w:val="continue"/>
            <w:shd w:val="clear" w:color="auto" w:fill="FFFFFF"/>
            <w:vAlign w:val="center"/>
          </w:tcPr>
          <w:p w14:paraId="751F725A">
            <w:pPr>
              <w:widowControl/>
              <w:spacing w:line="0" w:lineRule="atLeast"/>
              <w:jc w:val="center"/>
              <w:rPr>
                <w:rFonts w:eastAsia="仿宋_GB2312"/>
                <w:kern w:val="0"/>
                <w:sz w:val="18"/>
                <w:szCs w:val="18"/>
              </w:rPr>
            </w:pPr>
          </w:p>
        </w:tc>
        <w:tc>
          <w:tcPr>
            <w:tcW w:w="422" w:type="pct"/>
            <w:shd w:val="clear" w:color="auto" w:fill="FFFFFF"/>
            <w:vAlign w:val="center"/>
          </w:tcPr>
          <w:p w14:paraId="3969873F">
            <w:pPr>
              <w:widowControl/>
              <w:spacing w:line="0" w:lineRule="atLeast"/>
              <w:jc w:val="center"/>
              <w:rPr>
                <w:rFonts w:eastAsia="仿宋_GB2312"/>
                <w:kern w:val="0"/>
                <w:sz w:val="18"/>
                <w:szCs w:val="18"/>
              </w:rPr>
            </w:pPr>
            <w:r>
              <w:rPr>
                <w:rFonts w:eastAsia="仿宋_GB2312"/>
                <w:kern w:val="0"/>
                <w:sz w:val="18"/>
                <w:szCs w:val="18"/>
              </w:rPr>
              <w:t>立项程序</w:t>
            </w:r>
          </w:p>
          <w:p w14:paraId="5D3E465B">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7724E69D">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53E8B962">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①项目是否按照规定的程序申请设立；</w:t>
            </w:r>
            <w:r>
              <w:rPr>
                <w:rFonts w:eastAsia="仿宋_GB2312"/>
                <w:kern w:val="0"/>
                <w:sz w:val="18"/>
                <w:szCs w:val="18"/>
              </w:rPr>
              <w:br w:type="textWrapping"/>
            </w:r>
            <w:r>
              <w:rPr>
                <w:rFonts w:eastAsia="仿宋_GB2312"/>
                <w:kern w:val="0"/>
                <w:sz w:val="18"/>
                <w:szCs w:val="18"/>
              </w:rPr>
              <w:t>②审批文件、材料是否符合相关要求；</w:t>
            </w:r>
            <w:r>
              <w:rPr>
                <w:rFonts w:eastAsia="仿宋_GB2312"/>
                <w:kern w:val="0"/>
                <w:sz w:val="18"/>
                <w:szCs w:val="18"/>
              </w:rPr>
              <w:br w:type="textWrapping"/>
            </w:r>
            <w:r>
              <w:rPr>
                <w:rFonts w:eastAsia="仿宋_GB2312"/>
                <w:kern w:val="0"/>
                <w:sz w:val="18"/>
                <w:szCs w:val="18"/>
              </w:rPr>
              <w:t>③事前是否已经过必要的可行性研究、专家论证、风险评估、绩效评估、集体决策。</w:t>
            </w:r>
          </w:p>
        </w:tc>
        <w:tc>
          <w:tcPr>
            <w:tcW w:w="514" w:type="pct"/>
            <w:shd w:val="clear" w:color="auto" w:fill="FFFFFF"/>
            <w:vAlign w:val="center"/>
          </w:tcPr>
          <w:p w14:paraId="72414527">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46BCF098">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73B3B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1ACA9E2A">
            <w:pPr>
              <w:spacing w:line="0" w:lineRule="atLeast"/>
              <w:jc w:val="center"/>
              <w:rPr>
                <w:rFonts w:eastAsia="仿宋_GB2312"/>
                <w:kern w:val="0"/>
                <w:sz w:val="18"/>
                <w:szCs w:val="18"/>
              </w:rPr>
            </w:pPr>
          </w:p>
        </w:tc>
        <w:tc>
          <w:tcPr>
            <w:tcW w:w="394" w:type="pct"/>
            <w:vMerge w:val="restart"/>
            <w:shd w:val="clear" w:color="auto" w:fill="FFFFFF"/>
            <w:vAlign w:val="center"/>
          </w:tcPr>
          <w:p w14:paraId="75FA35D5">
            <w:pPr>
              <w:widowControl/>
              <w:spacing w:line="0" w:lineRule="atLeast"/>
              <w:jc w:val="center"/>
              <w:rPr>
                <w:rFonts w:eastAsia="仿宋_GB2312"/>
                <w:kern w:val="0"/>
                <w:sz w:val="18"/>
                <w:szCs w:val="18"/>
              </w:rPr>
            </w:pPr>
            <w:r>
              <w:rPr>
                <w:rFonts w:eastAsia="仿宋_GB2312"/>
                <w:kern w:val="0"/>
                <w:sz w:val="18"/>
                <w:szCs w:val="18"/>
              </w:rPr>
              <w:t>绩效目标　</w:t>
            </w:r>
          </w:p>
        </w:tc>
        <w:tc>
          <w:tcPr>
            <w:tcW w:w="422" w:type="pct"/>
            <w:shd w:val="clear" w:color="auto" w:fill="FFFFFF"/>
            <w:vAlign w:val="center"/>
          </w:tcPr>
          <w:p w14:paraId="5F69D0F0">
            <w:pPr>
              <w:widowControl/>
              <w:spacing w:line="0" w:lineRule="atLeast"/>
              <w:jc w:val="center"/>
              <w:rPr>
                <w:rFonts w:eastAsia="仿宋_GB2312"/>
                <w:kern w:val="0"/>
                <w:sz w:val="18"/>
                <w:szCs w:val="18"/>
              </w:rPr>
            </w:pPr>
            <w:r>
              <w:rPr>
                <w:rFonts w:eastAsia="仿宋_GB2312"/>
                <w:kern w:val="0"/>
                <w:sz w:val="18"/>
                <w:szCs w:val="18"/>
              </w:rPr>
              <w:t>绩效目标</w:t>
            </w:r>
          </w:p>
          <w:p w14:paraId="25AD37D1">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123B6686">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（如未设定预算绩效目标，也可考核其他工作任务目标）</w:t>
            </w:r>
            <w:r>
              <w:rPr>
                <w:rFonts w:eastAsia="仿宋_GB2312"/>
                <w:kern w:val="0"/>
                <w:sz w:val="18"/>
                <w:szCs w:val="18"/>
              </w:rPr>
              <w:br w:type="textWrapping"/>
            </w:r>
            <w:r>
              <w:rPr>
                <w:rFonts w:eastAsia="仿宋_GB2312"/>
                <w:kern w:val="0"/>
                <w:sz w:val="18"/>
                <w:szCs w:val="18"/>
              </w:rPr>
              <w:t>①项目是否有绩效目标；</w:t>
            </w:r>
            <w:r>
              <w:rPr>
                <w:rFonts w:eastAsia="仿宋_GB2312"/>
                <w:kern w:val="0"/>
                <w:sz w:val="18"/>
                <w:szCs w:val="18"/>
              </w:rPr>
              <w:br w:type="textWrapping"/>
            </w:r>
            <w:r>
              <w:rPr>
                <w:rFonts w:eastAsia="仿宋_GB2312"/>
                <w:kern w:val="0"/>
                <w:sz w:val="18"/>
                <w:szCs w:val="18"/>
              </w:rPr>
              <w:t>②项目绩效目标与实际工作内容是否具有相关性；</w:t>
            </w:r>
            <w:r>
              <w:rPr>
                <w:rFonts w:eastAsia="仿宋_GB2312"/>
                <w:kern w:val="0"/>
                <w:sz w:val="18"/>
                <w:szCs w:val="18"/>
              </w:rPr>
              <w:br w:type="textWrapping"/>
            </w:r>
            <w:r>
              <w:rPr>
                <w:rFonts w:eastAsia="仿宋_GB2312"/>
                <w:kern w:val="0"/>
                <w:sz w:val="18"/>
                <w:szCs w:val="18"/>
              </w:rPr>
              <w:t>③项目预期产出效益和效果是否符合正常的业绩水平；</w:t>
            </w:r>
          </w:p>
          <w:p w14:paraId="57C3E388">
            <w:pPr>
              <w:widowControl/>
              <w:spacing w:line="0" w:lineRule="atLeast"/>
              <w:jc w:val="left"/>
              <w:rPr>
                <w:rFonts w:eastAsia="仿宋_GB2312"/>
                <w:kern w:val="0"/>
                <w:sz w:val="18"/>
                <w:szCs w:val="18"/>
              </w:rPr>
            </w:pPr>
            <w:r>
              <w:rPr>
                <w:rFonts w:eastAsia="仿宋_GB2312"/>
                <w:kern w:val="0"/>
                <w:sz w:val="18"/>
                <w:szCs w:val="18"/>
              </w:rPr>
              <w:t>④是否与预算确定的项目投资额或资金量相匹配。</w:t>
            </w:r>
          </w:p>
        </w:tc>
        <w:tc>
          <w:tcPr>
            <w:tcW w:w="514" w:type="pct"/>
            <w:shd w:val="clear" w:color="000000" w:fill="FFFFFF"/>
            <w:vAlign w:val="center"/>
          </w:tcPr>
          <w:p w14:paraId="1B7DE25B">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170418A3">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1FED1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95" w:type="pct"/>
            <w:vMerge w:val="continue"/>
            <w:shd w:val="clear" w:color="auto" w:fill="FFFFFF"/>
            <w:vAlign w:val="center"/>
          </w:tcPr>
          <w:p w14:paraId="2ED24D4D">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61109314">
            <w:pPr>
              <w:widowControl/>
              <w:spacing w:line="0" w:lineRule="atLeast"/>
              <w:jc w:val="center"/>
              <w:rPr>
                <w:rFonts w:eastAsia="仿宋_GB2312"/>
                <w:kern w:val="0"/>
                <w:sz w:val="18"/>
                <w:szCs w:val="18"/>
              </w:rPr>
            </w:pPr>
          </w:p>
        </w:tc>
        <w:tc>
          <w:tcPr>
            <w:tcW w:w="422" w:type="pct"/>
            <w:shd w:val="clear" w:color="auto" w:fill="FFFFFF"/>
            <w:vAlign w:val="center"/>
          </w:tcPr>
          <w:p w14:paraId="4EECA303">
            <w:pPr>
              <w:widowControl/>
              <w:spacing w:line="0" w:lineRule="atLeast"/>
              <w:jc w:val="center"/>
              <w:rPr>
                <w:rFonts w:eastAsia="仿宋_GB2312"/>
                <w:kern w:val="0"/>
                <w:sz w:val="18"/>
                <w:szCs w:val="18"/>
              </w:rPr>
            </w:pPr>
            <w:r>
              <w:rPr>
                <w:rFonts w:eastAsia="仿宋_GB2312"/>
                <w:kern w:val="0"/>
                <w:sz w:val="18"/>
                <w:szCs w:val="18"/>
              </w:rPr>
              <w:t>绩效指标</w:t>
            </w:r>
          </w:p>
          <w:p w14:paraId="5BD192DA">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791318B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依据绩效目标设定的绩效指标是否清晰、细化、可衡量等，用以反映和考核项目绩效目标的明细化情况。</w:t>
            </w:r>
          </w:p>
        </w:tc>
        <w:tc>
          <w:tcPr>
            <w:tcW w:w="2056" w:type="pct"/>
            <w:shd w:val="clear" w:color="000000" w:fill="FFFFFF"/>
            <w:vAlign w:val="center"/>
          </w:tcPr>
          <w:p w14:paraId="56DCA368">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①是否将项目绩效目标细化分解为具体的绩效指标；</w:t>
            </w:r>
            <w:r>
              <w:rPr>
                <w:rFonts w:eastAsia="仿宋_GB2312"/>
                <w:kern w:val="0"/>
                <w:sz w:val="18"/>
                <w:szCs w:val="18"/>
              </w:rPr>
              <w:br w:type="textWrapping"/>
            </w:r>
            <w:r>
              <w:rPr>
                <w:rFonts w:eastAsia="仿宋_GB2312"/>
                <w:kern w:val="0"/>
                <w:sz w:val="18"/>
                <w:szCs w:val="18"/>
              </w:rPr>
              <w:t>②是否通过清晰、可衡量的指标值予以体现；</w:t>
            </w:r>
            <w:r>
              <w:rPr>
                <w:rFonts w:eastAsia="仿宋_GB2312"/>
                <w:kern w:val="0"/>
                <w:sz w:val="18"/>
                <w:szCs w:val="18"/>
              </w:rPr>
              <w:br w:type="textWrapping"/>
            </w:r>
            <w:r>
              <w:rPr>
                <w:rFonts w:eastAsia="仿宋_GB2312"/>
                <w:kern w:val="0"/>
                <w:sz w:val="18"/>
                <w:szCs w:val="18"/>
              </w:rPr>
              <w:t>③是否与项目目标任务数或计划数相对应。</w:t>
            </w:r>
            <w:r>
              <w:rPr>
                <w:rFonts w:eastAsia="仿宋_GB2312"/>
                <w:kern w:val="0"/>
                <w:sz w:val="18"/>
                <w:szCs w:val="18"/>
              </w:rPr>
              <w:br w:type="textWrapping"/>
            </w:r>
          </w:p>
        </w:tc>
        <w:tc>
          <w:tcPr>
            <w:tcW w:w="514" w:type="pct"/>
            <w:shd w:val="clear" w:color="000000" w:fill="FFFFFF"/>
            <w:vAlign w:val="center"/>
          </w:tcPr>
          <w:p w14:paraId="1FF2814D">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51C95082">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43B06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95" w:type="pct"/>
            <w:vMerge w:val="continue"/>
            <w:shd w:val="clear" w:color="auto" w:fill="FFFFFF"/>
            <w:vAlign w:val="center"/>
          </w:tcPr>
          <w:p w14:paraId="1D1B8680">
            <w:pPr>
              <w:spacing w:line="0" w:lineRule="atLeast"/>
              <w:jc w:val="center"/>
              <w:rPr>
                <w:rFonts w:eastAsia="仿宋_GB2312"/>
                <w:kern w:val="0"/>
                <w:sz w:val="18"/>
                <w:szCs w:val="18"/>
              </w:rPr>
            </w:pPr>
          </w:p>
        </w:tc>
        <w:tc>
          <w:tcPr>
            <w:tcW w:w="394" w:type="pct"/>
            <w:vMerge w:val="restart"/>
            <w:shd w:val="clear" w:color="auto" w:fill="FFFFFF"/>
            <w:vAlign w:val="center"/>
          </w:tcPr>
          <w:p w14:paraId="785CDAD6">
            <w:pPr>
              <w:widowControl/>
              <w:spacing w:line="0" w:lineRule="atLeast"/>
              <w:jc w:val="center"/>
              <w:rPr>
                <w:rFonts w:eastAsia="仿宋_GB2312"/>
                <w:kern w:val="0"/>
                <w:sz w:val="18"/>
                <w:szCs w:val="18"/>
              </w:rPr>
            </w:pPr>
            <w:r>
              <w:rPr>
                <w:rFonts w:eastAsia="仿宋_GB2312"/>
                <w:kern w:val="0"/>
                <w:sz w:val="18"/>
                <w:szCs w:val="18"/>
              </w:rPr>
              <w:t>资金投入</w:t>
            </w:r>
          </w:p>
          <w:p w14:paraId="01B842D7">
            <w:pPr>
              <w:spacing w:line="0" w:lineRule="atLeast"/>
              <w:jc w:val="center"/>
              <w:rPr>
                <w:rFonts w:eastAsia="仿宋_GB2312"/>
                <w:kern w:val="0"/>
                <w:sz w:val="18"/>
                <w:szCs w:val="18"/>
              </w:rPr>
            </w:pPr>
            <w:r>
              <w:rPr>
                <w:rFonts w:eastAsia="仿宋_GB2312"/>
                <w:kern w:val="0"/>
                <w:sz w:val="18"/>
                <w:szCs w:val="18"/>
              </w:rPr>
              <w:t>　</w:t>
            </w:r>
          </w:p>
        </w:tc>
        <w:tc>
          <w:tcPr>
            <w:tcW w:w="422" w:type="pct"/>
            <w:shd w:val="clear" w:color="auto" w:fill="FFFFFF"/>
            <w:vAlign w:val="center"/>
          </w:tcPr>
          <w:p w14:paraId="38345BA2">
            <w:pPr>
              <w:widowControl/>
              <w:spacing w:line="0" w:lineRule="atLeast"/>
              <w:jc w:val="center"/>
              <w:rPr>
                <w:rFonts w:eastAsia="仿宋_GB2312"/>
                <w:kern w:val="0"/>
                <w:sz w:val="18"/>
                <w:szCs w:val="18"/>
              </w:rPr>
            </w:pPr>
            <w:r>
              <w:rPr>
                <w:rFonts w:eastAsia="仿宋_GB2312"/>
                <w:kern w:val="0"/>
                <w:sz w:val="18"/>
                <w:szCs w:val="18"/>
              </w:rPr>
              <w:t>预算编制</w:t>
            </w:r>
          </w:p>
          <w:p w14:paraId="523FA000">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21B04E7E">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①预算编制是否经过科学论证；</w:t>
            </w:r>
            <w:r>
              <w:rPr>
                <w:rFonts w:eastAsia="仿宋_GB2312"/>
                <w:kern w:val="0"/>
                <w:sz w:val="18"/>
                <w:szCs w:val="18"/>
              </w:rPr>
              <w:br w:type="textWrapping"/>
            </w:r>
            <w:r>
              <w:rPr>
                <w:rFonts w:eastAsia="仿宋_GB2312"/>
                <w:kern w:val="0"/>
                <w:sz w:val="18"/>
                <w:szCs w:val="18"/>
              </w:rPr>
              <w:t>②预算内容与项目内容是否匹配；</w:t>
            </w:r>
            <w:r>
              <w:rPr>
                <w:rFonts w:eastAsia="仿宋_GB2312"/>
                <w:kern w:val="0"/>
                <w:sz w:val="18"/>
                <w:szCs w:val="18"/>
              </w:rPr>
              <w:br w:type="textWrapping"/>
            </w:r>
            <w:r>
              <w:rPr>
                <w:rFonts w:eastAsia="仿宋_GB2312"/>
                <w:kern w:val="0"/>
                <w:sz w:val="18"/>
                <w:szCs w:val="18"/>
              </w:rPr>
              <w:t>③预算额度测算依据是否充分，是否按照标准编制；</w:t>
            </w:r>
            <w:r>
              <w:rPr>
                <w:rFonts w:eastAsia="仿宋_GB2312"/>
                <w:kern w:val="0"/>
                <w:sz w:val="18"/>
                <w:szCs w:val="18"/>
              </w:rPr>
              <w:br w:type="textWrapping"/>
            </w:r>
            <w:r>
              <w:rPr>
                <w:rFonts w:eastAsia="仿宋_GB2312"/>
                <w:kern w:val="0"/>
                <w:sz w:val="18"/>
                <w:szCs w:val="18"/>
              </w:rPr>
              <w:t>④预算确定的项目投资额或资金量是否与工作任务相匹配。</w:t>
            </w:r>
          </w:p>
        </w:tc>
        <w:tc>
          <w:tcPr>
            <w:tcW w:w="514" w:type="pct"/>
            <w:shd w:val="clear" w:color="auto" w:fill="FFFFFF"/>
            <w:vAlign w:val="center"/>
          </w:tcPr>
          <w:p w14:paraId="53DE22F6">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67F1ABA">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450C7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95" w:type="pct"/>
            <w:vMerge w:val="continue"/>
            <w:shd w:val="clear" w:color="auto" w:fill="FFFFFF"/>
            <w:vAlign w:val="center"/>
          </w:tcPr>
          <w:p w14:paraId="20E93017">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138AC310">
            <w:pPr>
              <w:widowControl/>
              <w:spacing w:line="0" w:lineRule="atLeast"/>
              <w:jc w:val="center"/>
              <w:rPr>
                <w:rFonts w:eastAsia="仿宋_GB2312"/>
                <w:kern w:val="0"/>
                <w:sz w:val="18"/>
                <w:szCs w:val="18"/>
              </w:rPr>
            </w:pPr>
          </w:p>
        </w:tc>
        <w:tc>
          <w:tcPr>
            <w:tcW w:w="422" w:type="pct"/>
            <w:shd w:val="clear" w:color="auto" w:fill="FFFFFF"/>
            <w:vAlign w:val="center"/>
          </w:tcPr>
          <w:p w14:paraId="6566EAEB">
            <w:pPr>
              <w:widowControl/>
              <w:spacing w:line="0" w:lineRule="atLeast"/>
              <w:jc w:val="center"/>
              <w:rPr>
                <w:rFonts w:eastAsia="仿宋_GB2312"/>
                <w:kern w:val="0"/>
                <w:sz w:val="18"/>
                <w:szCs w:val="18"/>
              </w:rPr>
            </w:pPr>
            <w:r>
              <w:rPr>
                <w:rFonts w:eastAsia="仿宋_GB2312"/>
                <w:kern w:val="0"/>
                <w:sz w:val="18"/>
                <w:szCs w:val="18"/>
              </w:rPr>
              <w:t>资金分配</w:t>
            </w:r>
          </w:p>
          <w:p w14:paraId="154FEC3E">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7C209FC7">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①预算资金分配依据是否充分；</w:t>
            </w:r>
            <w:r>
              <w:rPr>
                <w:rFonts w:eastAsia="仿宋_GB2312"/>
                <w:kern w:val="0"/>
                <w:sz w:val="18"/>
                <w:szCs w:val="18"/>
              </w:rPr>
              <w:br w:type="textWrapping"/>
            </w:r>
            <w:r>
              <w:rPr>
                <w:rFonts w:eastAsia="仿宋_GB2312"/>
                <w:kern w:val="0"/>
                <w:sz w:val="18"/>
                <w:szCs w:val="18"/>
              </w:rPr>
              <w:t>②资金分配额度是否合理，与项目单位或地方实际是否相适应。</w:t>
            </w:r>
          </w:p>
        </w:tc>
        <w:tc>
          <w:tcPr>
            <w:tcW w:w="514" w:type="pct"/>
            <w:shd w:val="clear" w:color="auto" w:fill="FFFFFF"/>
            <w:vAlign w:val="center"/>
          </w:tcPr>
          <w:p w14:paraId="352AC61C">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31E537E">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1B6532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95" w:type="pct"/>
            <w:vMerge w:val="restart"/>
            <w:shd w:val="clear" w:color="auto" w:fill="FFFFFF"/>
            <w:vAlign w:val="center"/>
          </w:tcPr>
          <w:p w14:paraId="5086FA89">
            <w:pPr>
              <w:spacing w:line="0" w:lineRule="atLeast"/>
              <w:jc w:val="center"/>
              <w:rPr>
                <w:rFonts w:eastAsia="仿宋_GB2312"/>
                <w:kern w:val="0"/>
                <w:sz w:val="18"/>
                <w:szCs w:val="18"/>
              </w:rPr>
            </w:pPr>
          </w:p>
          <w:p w14:paraId="0EFFCD01">
            <w:pPr>
              <w:spacing w:line="0" w:lineRule="atLeast"/>
              <w:jc w:val="center"/>
              <w:rPr>
                <w:rFonts w:eastAsia="仿宋_GB2312"/>
                <w:kern w:val="0"/>
                <w:sz w:val="18"/>
                <w:szCs w:val="18"/>
              </w:rPr>
            </w:pPr>
          </w:p>
          <w:p w14:paraId="351B0E10">
            <w:pPr>
              <w:spacing w:line="0" w:lineRule="atLeast"/>
              <w:jc w:val="center"/>
              <w:rPr>
                <w:rFonts w:eastAsia="仿宋_GB2312"/>
                <w:kern w:val="0"/>
                <w:sz w:val="18"/>
                <w:szCs w:val="18"/>
              </w:rPr>
            </w:pPr>
          </w:p>
          <w:p w14:paraId="5CE21D6B">
            <w:pPr>
              <w:spacing w:line="0" w:lineRule="atLeast"/>
              <w:jc w:val="center"/>
              <w:rPr>
                <w:rFonts w:eastAsia="仿宋_GB2312"/>
                <w:kern w:val="0"/>
                <w:sz w:val="18"/>
                <w:szCs w:val="18"/>
              </w:rPr>
            </w:pPr>
          </w:p>
          <w:p w14:paraId="12D7E55D">
            <w:pPr>
              <w:spacing w:line="0" w:lineRule="atLeast"/>
              <w:jc w:val="center"/>
              <w:rPr>
                <w:rFonts w:eastAsia="仿宋_GB2312"/>
                <w:kern w:val="0"/>
                <w:sz w:val="18"/>
                <w:szCs w:val="18"/>
              </w:rPr>
            </w:pPr>
          </w:p>
          <w:p w14:paraId="696A75A9">
            <w:pPr>
              <w:spacing w:line="0" w:lineRule="atLeast"/>
              <w:jc w:val="center"/>
              <w:rPr>
                <w:rFonts w:eastAsia="仿宋_GB2312"/>
                <w:kern w:val="0"/>
                <w:sz w:val="18"/>
                <w:szCs w:val="18"/>
              </w:rPr>
            </w:pPr>
          </w:p>
          <w:p w14:paraId="3E92393A">
            <w:pPr>
              <w:spacing w:line="0" w:lineRule="atLeast"/>
              <w:jc w:val="center"/>
              <w:rPr>
                <w:rFonts w:eastAsia="仿宋_GB2312"/>
                <w:kern w:val="0"/>
                <w:sz w:val="18"/>
                <w:szCs w:val="18"/>
              </w:rPr>
            </w:pPr>
          </w:p>
          <w:p w14:paraId="73153ECE">
            <w:pPr>
              <w:spacing w:line="0" w:lineRule="atLeast"/>
              <w:jc w:val="center"/>
              <w:rPr>
                <w:rFonts w:eastAsia="仿宋_GB2312"/>
                <w:kern w:val="0"/>
                <w:sz w:val="18"/>
                <w:szCs w:val="18"/>
              </w:rPr>
            </w:pPr>
          </w:p>
          <w:p w14:paraId="715295EE">
            <w:pPr>
              <w:spacing w:line="0" w:lineRule="atLeast"/>
              <w:jc w:val="center"/>
              <w:rPr>
                <w:rFonts w:eastAsia="仿宋_GB2312"/>
                <w:kern w:val="0"/>
                <w:sz w:val="18"/>
                <w:szCs w:val="18"/>
              </w:rPr>
            </w:pPr>
          </w:p>
          <w:p w14:paraId="57A1AECE">
            <w:pPr>
              <w:spacing w:line="0" w:lineRule="atLeast"/>
              <w:jc w:val="center"/>
              <w:rPr>
                <w:rFonts w:eastAsia="仿宋_GB2312"/>
                <w:kern w:val="0"/>
                <w:sz w:val="18"/>
                <w:szCs w:val="18"/>
              </w:rPr>
            </w:pPr>
          </w:p>
          <w:p w14:paraId="0BC307E9">
            <w:pPr>
              <w:spacing w:line="0" w:lineRule="atLeast"/>
              <w:jc w:val="center"/>
              <w:rPr>
                <w:rFonts w:eastAsia="仿宋_GB2312"/>
                <w:kern w:val="0"/>
                <w:sz w:val="18"/>
                <w:szCs w:val="18"/>
              </w:rPr>
            </w:pPr>
          </w:p>
          <w:p w14:paraId="307AE745">
            <w:pPr>
              <w:spacing w:line="0" w:lineRule="atLeast"/>
              <w:jc w:val="center"/>
              <w:rPr>
                <w:rFonts w:eastAsia="仿宋_GB2312"/>
                <w:kern w:val="0"/>
                <w:sz w:val="18"/>
                <w:szCs w:val="18"/>
              </w:rPr>
            </w:pPr>
          </w:p>
          <w:p w14:paraId="620C70B1">
            <w:pPr>
              <w:spacing w:line="0" w:lineRule="atLeast"/>
              <w:jc w:val="center"/>
              <w:rPr>
                <w:rFonts w:eastAsia="仿宋_GB2312"/>
                <w:kern w:val="0"/>
                <w:sz w:val="18"/>
                <w:szCs w:val="18"/>
              </w:rPr>
            </w:pPr>
          </w:p>
          <w:p w14:paraId="5945B673">
            <w:pPr>
              <w:spacing w:line="0" w:lineRule="atLeast"/>
              <w:jc w:val="center"/>
              <w:rPr>
                <w:rFonts w:eastAsia="仿宋_GB2312"/>
                <w:kern w:val="0"/>
                <w:sz w:val="18"/>
                <w:szCs w:val="18"/>
              </w:rPr>
            </w:pPr>
          </w:p>
          <w:p w14:paraId="6AC00744">
            <w:pPr>
              <w:spacing w:line="0" w:lineRule="atLeast"/>
              <w:jc w:val="center"/>
              <w:rPr>
                <w:rFonts w:eastAsia="仿宋_GB2312"/>
                <w:kern w:val="0"/>
                <w:sz w:val="18"/>
                <w:szCs w:val="18"/>
              </w:rPr>
            </w:pPr>
          </w:p>
          <w:p w14:paraId="4A359D7C">
            <w:pPr>
              <w:spacing w:line="0" w:lineRule="atLeast"/>
              <w:jc w:val="center"/>
              <w:rPr>
                <w:rFonts w:eastAsia="仿宋_GB2312"/>
                <w:kern w:val="0"/>
                <w:sz w:val="18"/>
                <w:szCs w:val="18"/>
              </w:rPr>
            </w:pPr>
            <w:r>
              <w:rPr>
                <w:rFonts w:eastAsia="仿宋_GB2312"/>
                <w:kern w:val="0"/>
                <w:sz w:val="18"/>
                <w:szCs w:val="18"/>
              </w:rPr>
              <w:t>过程</w:t>
            </w:r>
          </w:p>
          <w:p w14:paraId="6062CAA1">
            <w:pPr>
              <w:widowControl/>
              <w:spacing w:line="0" w:lineRule="atLeast"/>
              <w:jc w:val="center"/>
              <w:rPr>
                <w:rFonts w:eastAsia="仿宋_GB2312"/>
                <w:kern w:val="0"/>
                <w:sz w:val="18"/>
                <w:szCs w:val="18"/>
              </w:rPr>
            </w:pPr>
            <w:r>
              <w:rPr>
                <w:rFonts w:eastAsia="仿宋_GB2312"/>
                <w:kern w:val="0"/>
                <w:sz w:val="18"/>
                <w:szCs w:val="18"/>
              </w:rPr>
              <w:t>　　</w:t>
            </w:r>
          </w:p>
        </w:tc>
        <w:tc>
          <w:tcPr>
            <w:tcW w:w="394" w:type="pct"/>
            <w:vMerge w:val="restart"/>
            <w:shd w:val="clear" w:color="auto" w:fill="FFFFFF"/>
            <w:vAlign w:val="center"/>
          </w:tcPr>
          <w:p w14:paraId="7892CED9">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574EAE1E">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59E8DB5C">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pPr>
              <w:widowControl/>
              <w:spacing w:line="0" w:lineRule="atLeast"/>
              <w:rPr>
                <w:rFonts w:eastAsia="仿宋_GB2312"/>
                <w:kern w:val="0"/>
                <w:sz w:val="18"/>
                <w:szCs w:val="18"/>
              </w:rPr>
            </w:pPr>
            <w:r>
              <w:rPr>
                <w:rFonts w:eastAsia="仿宋_GB2312"/>
                <w:kern w:val="0"/>
                <w:sz w:val="18"/>
                <w:szCs w:val="18"/>
              </w:rPr>
              <w:t>资金到位率=（实际到位资金/预算资金）×100%。</w:t>
            </w:r>
          </w:p>
          <w:p w14:paraId="29283E9B">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8006057">
            <w:pPr>
              <w:widowControl/>
              <w:spacing w:line="0" w:lineRule="atLeast"/>
              <w:rPr>
                <w:rFonts w:eastAsia="仿宋_GB2312"/>
                <w:kern w:val="0"/>
                <w:sz w:val="18"/>
                <w:szCs w:val="18"/>
              </w:rPr>
            </w:pPr>
            <w:r>
              <w:rPr>
                <w:rFonts w:eastAsia="仿宋_GB2312"/>
                <w:kern w:val="0"/>
                <w:sz w:val="18"/>
                <w:szCs w:val="18"/>
              </w:rPr>
              <w:t>预算资金：一定时期（本年度或项目期）内预算安排到具体项目的资金。</w:t>
            </w:r>
          </w:p>
        </w:tc>
        <w:tc>
          <w:tcPr>
            <w:tcW w:w="514" w:type="pct"/>
            <w:shd w:val="clear" w:color="000000" w:fill="FFFFFF"/>
            <w:vAlign w:val="center"/>
          </w:tcPr>
          <w:p w14:paraId="3228ACE3">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7217C38F">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53A45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95" w:type="pct"/>
            <w:vMerge w:val="continue"/>
            <w:shd w:val="clear" w:color="auto" w:fill="FFFFFF"/>
            <w:vAlign w:val="center"/>
          </w:tcPr>
          <w:p w14:paraId="402EF96D">
            <w:pPr>
              <w:spacing w:line="0" w:lineRule="atLeast"/>
              <w:jc w:val="center"/>
              <w:rPr>
                <w:rFonts w:eastAsia="仿宋_GB2312"/>
                <w:kern w:val="0"/>
                <w:sz w:val="18"/>
                <w:szCs w:val="18"/>
              </w:rPr>
            </w:pPr>
          </w:p>
        </w:tc>
        <w:tc>
          <w:tcPr>
            <w:tcW w:w="394" w:type="pct"/>
            <w:vMerge w:val="continue"/>
            <w:shd w:val="clear" w:color="auto" w:fill="FFFFFF"/>
            <w:vAlign w:val="center"/>
          </w:tcPr>
          <w:p w14:paraId="2BA5293B">
            <w:pPr>
              <w:spacing w:line="0" w:lineRule="atLeast"/>
              <w:jc w:val="center"/>
              <w:rPr>
                <w:rFonts w:eastAsia="仿宋_GB2312"/>
                <w:kern w:val="0"/>
                <w:sz w:val="18"/>
                <w:szCs w:val="18"/>
              </w:rPr>
            </w:pPr>
          </w:p>
        </w:tc>
        <w:tc>
          <w:tcPr>
            <w:tcW w:w="422" w:type="pct"/>
            <w:shd w:val="clear" w:color="auto" w:fill="FFFFFF"/>
            <w:vAlign w:val="center"/>
          </w:tcPr>
          <w:p w14:paraId="6D40755F">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6DF35DE4">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35021E1A">
            <w:pPr>
              <w:widowControl/>
              <w:spacing w:line="0" w:lineRule="atLeast"/>
              <w:rPr>
                <w:rFonts w:eastAsia="仿宋_GB2312"/>
                <w:kern w:val="0"/>
                <w:sz w:val="18"/>
                <w:szCs w:val="18"/>
              </w:rPr>
            </w:pPr>
            <w:r>
              <w:rPr>
                <w:rFonts w:eastAsia="仿宋_GB2312"/>
                <w:kern w:val="0"/>
                <w:sz w:val="18"/>
                <w:szCs w:val="18"/>
              </w:rPr>
              <w:t>预算执行率=（实际支出资金/实际到位资金）×100%。</w:t>
            </w:r>
            <w:r>
              <w:rPr>
                <w:rFonts w:eastAsia="仿宋_GB2312"/>
                <w:kern w:val="0"/>
                <w:sz w:val="18"/>
                <w:szCs w:val="18"/>
              </w:rPr>
              <w:br w:type="textWrapping"/>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52B8CC4A">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484B400F">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4B490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2869390A">
            <w:pPr>
              <w:spacing w:line="0" w:lineRule="atLeast"/>
              <w:jc w:val="center"/>
              <w:rPr>
                <w:rFonts w:eastAsia="仿宋_GB2312"/>
                <w:kern w:val="0"/>
                <w:sz w:val="18"/>
                <w:szCs w:val="18"/>
              </w:rPr>
            </w:pPr>
          </w:p>
        </w:tc>
        <w:tc>
          <w:tcPr>
            <w:tcW w:w="394" w:type="pct"/>
            <w:shd w:val="clear" w:color="auto" w:fill="FFFFFF"/>
            <w:vAlign w:val="center"/>
          </w:tcPr>
          <w:p w14:paraId="7CC51FFF">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670AE4C4">
            <w:pPr>
              <w:widowControl/>
              <w:spacing w:line="0" w:lineRule="atLeast"/>
              <w:jc w:val="center"/>
              <w:rPr>
                <w:rFonts w:eastAsia="仿宋_GB2312"/>
                <w:kern w:val="0"/>
                <w:sz w:val="18"/>
                <w:szCs w:val="18"/>
              </w:rPr>
            </w:pPr>
            <w:r>
              <w:rPr>
                <w:rFonts w:eastAsia="仿宋_GB2312"/>
                <w:kern w:val="0"/>
                <w:sz w:val="18"/>
                <w:szCs w:val="18"/>
              </w:rPr>
              <w:t>资金使用</w:t>
            </w:r>
          </w:p>
          <w:p w14:paraId="7975A129">
            <w:pPr>
              <w:widowControl/>
              <w:spacing w:line="0" w:lineRule="atLeast"/>
              <w:jc w:val="center"/>
              <w:rPr>
                <w:rFonts w:eastAsia="仿宋_GB2312"/>
                <w:kern w:val="0"/>
                <w:sz w:val="18"/>
                <w:szCs w:val="18"/>
              </w:rPr>
            </w:pPr>
            <w:r>
              <w:rPr>
                <w:rFonts w:eastAsia="仿宋_GB2312"/>
                <w:kern w:val="0"/>
                <w:sz w:val="18"/>
                <w:szCs w:val="18"/>
              </w:rPr>
              <w:t>合规性</w:t>
            </w:r>
          </w:p>
        </w:tc>
        <w:tc>
          <w:tcPr>
            <w:tcW w:w="680" w:type="pct"/>
            <w:shd w:val="clear" w:color="000000" w:fill="FFFFFF"/>
            <w:vAlign w:val="center"/>
          </w:tcPr>
          <w:p w14:paraId="069274A3">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①是否符合国家财经法规和财务管理制度以及有关专项资金管理办法的规定；</w:t>
            </w:r>
            <w:r>
              <w:rPr>
                <w:rFonts w:eastAsia="仿宋_GB2312"/>
                <w:kern w:val="0"/>
                <w:sz w:val="18"/>
                <w:szCs w:val="18"/>
              </w:rPr>
              <w:br w:type="textWrapping"/>
            </w:r>
            <w:r>
              <w:rPr>
                <w:rFonts w:eastAsia="仿宋_GB2312"/>
                <w:kern w:val="0"/>
                <w:sz w:val="18"/>
                <w:szCs w:val="18"/>
              </w:rPr>
              <w:t>②资金的拨付是否有完整的审批程序和手续；</w:t>
            </w:r>
            <w:r>
              <w:rPr>
                <w:rFonts w:eastAsia="仿宋_GB2312"/>
                <w:kern w:val="0"/>
                <w:sz w:val="18"/>
                <w:szCs w:val="18"/>
              </w:rPr>
              <w:br w:type="textWrapping"/>
            </w:r>
            <w:r>
              <w:rPr>
                <w:rFonts w:eastAsia="仿宋_GB2312"/>
                <w:kern w:val="0"/>
                <w:sz w:val="18"/>
                <w:szCs w:val="18"/>
              </w:rPr>
              <w:t>③是否符合项目预算批复或合同规定的用途；</w:t>
            </w:r>
            <w:r>
              <w:rPr>
                <w:rFonts w:eastAsia="仿宋_GB2312"/>
                <w:kern w:val="0"/>
                <w:sz w:val="18"/>
                <w:szCs w:val="18"/>
              </w:rPr>
              <w:br w:type="textWrapping"/>
            </w:r>
            <w:r>
              <w:rPr>
                <w:rFonts w:eastAsia="仿宋_GB2312"/>
                <w:kern w:val="0"/>
                <w:sz w:val="18"/>
                <w:szCs w:val="18"/>
              </w:rPr>
              <w:t>④是否存在截留、挤占、挪用、虚列支出等情况。</w:t>
            </w:r>
          </w:p>
        </w:tc>
        <w:tc>
          <w:tcPr>
            <w:tcW w:w="514" w:type="pct"/>
            <w:shd w:val="clear" w:color="000000" w:fill="FFFFFF"/>
            <w:vAlign w:val="center"/>
          </w:tcPr>
          <w:p w14:paraId="0BA0E7BC">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5E002BFD">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26546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95" w:type="pct"/>
            <w:vMerge w:val="continue"/>
            <w:shd w:val="clear" w:color="auto" w:fill="FFFFFF"/>
            <w:vAlign w:val="center"/>
          </w:tcPr>
          <w:p w14:paraId="7F0405EC">
            <w:pPr>
              <w:spacing w:line="0" w:lineRule="atLeast"/>
              <w:jc w:val="center"/>
              <w:rPr>
                <w:rFonts w:eastAsia="仿宋_GB2312"/>
                <w:kern w:val="0"/>
                <w:sz w:val="18"/>
                <w:szCs w:val="18"/>
              </w:rPr>
            </w:pPr>
          </w:p>
        </w:tc>
        <w:tc>
          <w:tcPr>
            <w:tcW w:w="394" w:type="pct"/>
            <w:vMerge w:val="restart"/>
            <w:shd w:val="clear" w:color="auto" w:fill="FFFFFF"/>
            <w:vAlign w:val="center"/>
          </w:tcPr>
          <w:p w14:paraId="50D43772">
            <w:pPr>
              <w:widowControl/>
              <w:spacing w:line="0" w:lineRule="atLeast"/>
              <w:jc w:val="center"/>
              <w:rPr>
                <w:rFonts w:eastAsia="仿宋_GB2312"/>
                <w:kern w:val="0"/>
                <w:sz w:val="18"/>
                <w:szCs w:val="18"/>
              </w:rPr>
            </w:pPr>
            <w:r>
              <w:rPr>
                <w:rFonts w:eastAsia="仿宋_GB2312"/>
                <w:kern w:val="0"/>
                <w:sz w:val="18"/>
                <w:szCs w:val="18"/>
              </w:rPr>
              <w:t>组织实施</w:t>
            </w:r>
          </w:p>
          <w:p w14:paraId="2C974B31">
            <w:pPr>
              <w:spacing w:line="0" w:lineRule="atLeast"/>
              <w:jc w:val="center"/>
              <w:rPr>
                <w:rFonts w:eastAsia="仿宋_GB2312"/>
                <w:kern w:val="0"/>
                <w:sz w:val="18"/>
                <w:szCs w:val="18"/>
              </w:rPr>
            </w:pPr>
            <w:r>
              <w:rPr>
                <w:rFonts w:eastAsia="仿宋_GB2312"/>
                <w:kern w:val="0"/>
                <w:sz w:val="18"/>
                <w:szCs w:val="18"/>
              </w:rPr>
              <w:t>　</w:t>
            </w:r>
          </w:p>
        </w:tc>
        <w:tc>
          <w:tcPr>
            <w:tcW w:w="422" w:type="pct"/>
            <w:shd w:val="clear" w:color="auto" w:fill="FFFFFF"/>
            <w:vAlign w:val="center"/>
          </w:tcPr>
          <w:p w14:paraId="085DC7D6">
            <w:pPr>
              <w:widowControl/>
              <w:spacing w:line="0" w:lineRule="atLeast"/>
              <w:jc w:val="center"/>
              <w:rPr>
                <w:rFonts w:eastAsia="仿宋_GB2312"/>
                <w:kern w:val="0"/>
                <w:sz w:val="18"/>
                <w:szCs w:val="18"/>
              </w:rPr>
            </w:pPr>
            <w:r>
              <w:rPr>
                <w:rFonts w:eastAsia="仿宋_GB2312"/>
                <w:kern w:val="0"/>
                <w:sz w:val="18"/>
                <w:szCs w:val="18"/>
              </w:rPr>
              <w:t>管理制度</w:t>
            </w:r>
          </w:p>
          <w:p w14:paraId="103AEC3E">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412502E2">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①是否已制定或具有相应的财务和业务管理制度；</w:t>
            </w:r>
            <w:r>
              <w:rPr>
                <w:rFonts w:eastAsia="仿宋_GB2312"/>
                <w:kern w:val="0"/>
                <w:sz w:val="18"/>
                <w:szCs w:val="18"/>
              </w:rPr>
              <w:br w:type="textWrapping"/>
            </w:r>
            <w:r>
              <w:rPr>
                <w:rFonts w:eastAsia="仿宋_GB2312"/>
                <w:kern w:val="0"/>
                <w:sz w:val="18"/>
                <w:szCs w:val="18"/>
              </w:rPr>
              <w:t>②财务和业务管理制度是否合法、合规、完整。</w:t>
            </w:r>
          </w:p>
        </w:tc>
        <w:tc>
          <w:tcPr>
            <w:tcW w:w="514" w:type="pct"/>
            <w:shd w:val="clear" w:color="000000" w:fill="FFFFFF"/>
            <w:vAlign w:val="center"/>
          </w:tcPr>
          <w:p w14:paraId="1746194D">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44EE3A3D">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7FBD3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95" w:type="pct"/>
            <w:vMerge w:val="continue"/>
            <w:shd w:val="clear" w:color="auto" w:fill="FFFFFF"/>
            <w:vAlign w:val="center"/>
          </w:tcPr>
          <w:p w14:paraId="57B7FCD1">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213D0B13">
            <w:pPr>
              <w:widowControl/>
              <w:spacing w:line="0" w:lineRule="atLeast"/>
              <w:jc w:val="center"/>
              <w:rPr>
                <w:rFonts w:eastAsia="仿宋_GB2312"/>
                <w:kern w:val="0"/>
                <w:sz w:val="18"/>
                <w:szCs w:val="18"/>
              </w:rPr>
            </w:pPr>
          </w:p>
        </w:tc>
        <w:tc>
          <w:tcPr>
            <w:tcW w:w="422" w:type="pct"/>
            <w:shd w:val="clear" w:color="auto" w:fill="FFFFFF"/>
            <w:vAlign w:val="center"/>
          </w:tcPr>
          <w:p w14:paraId="5A773C70">
            <w:pPr>
              <w:widowControl/>
              <w:spacing w:line="0" w:lineRule="atLeast"/>
              <w:jc w:val="center"/>
              <w:rPr>
                <w:rFonts w:eastAsia="仿宋_GB2312"/>
                <w:kern w:val="0"/>
                <w:sz w:val="18"/>
                <w:szCs w:val="18"/>
              </w:rPr>
            </w:pPr>
            <w:r>
              <w:rPr>
                <w:rFonts w:eastAsia="仿宋_GB2312"/>
                <w:kern w:val="0"/>
                <w:sz w:val="18"/>
                <w:szCs w:val="18"/>
              </w:rPr>
              <w:t>制度执行</w:t>
            </w:r>
          </w:p>
          <w:p w14:paraId="2979A860">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433DAEBE">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100C31E3">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①是否遵守相关法律法规和相关管理规定；</w:t>
            </w:r>
            <w:r>
              <w:rPr>
                <w:rFonts w:eastAsia="仿宋_GB2312"/>
                <w:kern w:val="0"/>
                <w:sz w:val="18"/>
                <w:szCs w:val="18"/>
              </w:rPr>
              <w:br w:type="textWrapping"/>
            </w:r>
            <w:r>
              <w:rPr>
                <w:rFonts w:eastAsia="仿宋_GB2312"/>
                <w:kern w:val="0"/>
                <w:sz w:val="18"/>
                <w:szCs w:val="18"/>
              </w:rPr>
              <w:t>②项目调整及支出调整手续是否完备；</w:t>
            </w:r>
            <w:r>
              <w:rPr>
                <w:rFonts w:eastAsia="仿宋_GB2312"/>
                <w:kern w:val="0"/>
                <w:sz w:val="18"/>
                <w:szCs w:val="18"/>
              </w:rPr>
              <w:br w:type="textWrapping"/>
            </w:r>
            <w:r>
              <w:rPr>
                <w:rFonts w:eastAsia="仿宋_GB2312"/>
                <w:kern w:val="0"/>
                <w:sz w:val="18"/>
                <w:szCs w:val="18"/>
              </w:rPr>
              <w:t>③项目合同书、验收报告、技术鉴定等资料是否齐全并及时归档；</w:t>
            </w:r>
            <w:r>
              <w:rPr>
                <w:rFonts w:eastAsia="仿宋_GB2312"/>
                <w:kern w:val="0"/>
                <w:sz w:val="18"/>
                <w:szCs w:val="18"/>
              </w:rPr>
              <w:br w:type="textWrapping"/>
            </w:r>
            <w:r>
              <w:rPr>
                <w:rFonts w:eastAsia="仿宋_GB2312"/>
                <w:kern w:val="0"/>
                <w:sz w:val="18"/>
                <w:szCs w:val="18"/>
              </w:rPr>
              <w:t>④项目实施的人员条件、场地设备、信息支撑等是否落实到位。</w:t>
            </w:r>
          </w:p>
        </w:tc>
        <w:tc>
          <w:tcPr>
            <w:tcW w:w="514" w:type="pct"/>
            <w:shd w:val="clear" w:color="000000" w:fill="FFFFFF"/>
            <w:vAlign w:val="center"/>
          </w:tcPr>
          <w:p w14:paraId="44473D5E">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60E30355">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2E647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95" w:type="pct"/>
            <w:vMerge w:val="restart"/>
            <w:shd w:val="clear" w:color="auto" w:fill="FFFFFF"/>
            <w:vAlign w:val="center"/>
          </w:tcPr>
          <w:p w14:paraId="776E2C59">
            <w:pPr>
              <w:widowControl/>
              <w:spacing w:line="0" w:lineRule="atLeast"/>
              <w:jc w:val="center"/>
              <w:rPr>
                <w:rFonts w:eastAsia="仿宋_GB2312"/>
                <w:kern w:val="0"/>
                <w:sz w:val="18"/>
                <w:szCs w:val="18"/>
              </w:rPr>
            </w:pPr>
            <w:r>
              <w:rPr>
                <w:rFonts w:eastAsia="仿宋_GB2312"/>
                <w:kern w:val="0"/>
                <w:sz w:val="18"/>
                <w:szCs w:val="18"/>
              </w:rPr>
              <w:t>产出</w:t>
            </w:r>
          </w:p>
        </w:tc>
        <w:tc>
          <w:tcPr>
            <w:tcW w:w="394" w:type="pct"/>
            <w:shd w:val="clear" w:color="auto" w:fill="FFFFFF"/>
            <w:vAlign w:val="center"/>
          </w:tcPr>
          <w:p w14:paraId="13C7B96F">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17920434">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1A4BCC28">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pPr>
              <w:widowControl/>
              <w:spacing w:line="0" w:lineRule="atLeast"/>
              <w:rPr>
                <w:rFonts w:eastAsia="仿宋_GB2312"/>
                <w:kern w:val="0"/>
                <w:sz w:val="18"/>
                <w:szCs w:val="18"/>
              </w:rPr>
            </w:pPr>
            <w:r>
              <w:rPr>
                <w:rFonts w:eastAsia="仿宋_GB2312"/>
                <w:kern w:val="0"/>
                <w:sz w:val="18"/>
                <w:szCs w:val="18"/>
              </w:rPr>
              <w:t>实际完成率=（实际产出数/计划产出数）×100%。</w:t>
            </w:r>
            <w:r>
              <w:rPr>
                <w:rFonts w:eastAsia="仿宋_GB2312"/>
                <w:kern w:val="0"/>
                <w:sz w:val="18"/>
                <w:szCs w:val="18"/>
              </w:rPr>
              <w:br w:type="textWrapping"/>
            </w:r>
            <w:r>
              <w:rPr>
                <w:rFonts w:eastAsia="仿宋_GB2312"/>
                <w:kern w:val="0"/>
                <w:sz w:val="18"/>
                <w:szCs w:val="18"/>
              </w:rPr>
              <w:t>实际产出数：一定时期（本年度或项目期）内项目实际产出的产品或提供的服务数量。</w:t>
            </w:r>
            <w:r>
              <w:rPr>
                <w:rFonts w:eastAsia="仿宋_GB2312"/>
                <w:kern w:val="0"/>
                <w:sz w:val="18"/>
                <w:szCs w:val="18"/>
              </w:rPr>
              <w:br w:type="textWrapping"/>
            </w:r>
            <w:r>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3205D485">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793EF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395" w:type="pct"/>
            <w:vMerge w:val="continue"/>
            <w:shd w:val="clear" w:color="auto" w:fill="FFFFFF"/>
            <w:vAlign w:val="center"/>
          </w:tcPr>
          <w:p w14:paraId="07FF60FF">
            <w:pPr>
              <w:widowControl/>
              <w:spacing w:line="0" w:lineRule="atLeast"/>
              <w:jc w:val="center"/>
              <w:rPr>
                <w:rFonts w:eastAsia="仿宋_GB2312"/>
                <w:kern w:val="0"/>
                <w:sz w:val="18"/>
                <w:szCs w:val="18"/>
              </w:rPr>
            </w:pPr>
          </w:p>
        </w:tc>
        <w:tc>
          <w:tcPr>
            <w:tcW w:w="394" w:type="pct"/>
            <w:shd w:val="clear" w:color="auto" w:fill="FFFFFF"/>
            <w:vAlign w:val="center"/>
          </w:tcPr>
          <w:p w14:paraId="6C3B5638">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6DC841ED">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61CF5FD6">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pPr>
              <w:widowControl/>
              <w:spacing w:line="0" w:lineRule="atLeast"/>
              <w:rPr>
                <w:rFonts w:eastAsia="仿宋_GB2312"/>
                <w:kern w:val="0"/>
                <w:sz w:val="18"/>
                <w:szCs w:val="18"/>
              </w:rPr>
            </w:pPr>
            <w:r>
              <w:rPr>
                <w:rFonts w:eastAsia="仿宋_GB2312"/>
                <w:kern w:val="0"/>
                <w:sz w:val="18"/>
                <w:szCs w:val="18"/>
              </w:rPr>
              <w:t>质量达标率=（质量达标产出数/实际产出数）×100%。</w:t>
            </w:r>
          </w:p>
          <w:p w14:paraId="7C3CBBD8">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76196158">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2B600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95" w:type="pct"/>
            <w:vMerge w:val="continue"/>
            <w:shd w:val="clear" w:color="auto" w:fill="FFFFFF"/>
            <w:vAlign w:val="center"/>
          </w:tcPr>
          <w:p w14:paraId="27B1A842">
            <w:pPr>
              <w:spacing w:line="0" w:lineRule="atLeast"/>
              <w:jc w:val="center"/>
              <w:rPr>
                <w:rFonts w:eastAsia="仿宋_GB2312"/>
                <w:kern w:val="0"/>
                <w:sz w:val="18"/>
                <w:szCs w:val="18"/>
              </w:rPr>
            </w:pPr>
          </w:p>
        </w:tc>
        <w:tc>
          <w:tcPr>
            <w:tcW w:w="394" w:type="pct"/>
            <w:shd w:val="clear" w:color="auto" w:fill="FFFFFF"/>
            <w:vAlign w:val="center"/>
          </w:tcPr>
          <w:p w14:paraId="27A049C5">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5574CF40">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3B490CED">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type="textWrapping"/>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7CE7449B">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41DAC46F">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55C1B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79782184">
            <w:pPr>
              <w:widowControl/>
              <w:spacing w:line="0" w:lineRule="atLeast"/>
              <w:jc w:val="center"/>
              <w:rPr>
                <w:rFonts w:eastAsia="仿宋_GB2312"/>
                <w:kern w:val="0"/>
                <w:sz w:val="18"/>
                <w:szCs w:val="18"/>
              </w:rPr>
            </w:pPr>
          </w:p>
        </w:tc>
        <w:tc>
          <w:tcPr>
            <w:tcW w:w="394" w:type="pct"/>
            <w:shd w:val="clear" w:color="auto" w:fill="FFFFFF"/>
            <w:vAlign w:val="center"/>
          </w:tcPr>
          <w:p w14:paraId="6333D6AE">
            <w:pPr>
              <w:widowControl/>
              <w:spacing w:line="0" w:lineRule="atLeast"/>
              <w:jc w:val="center"/>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617EB94F">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088B19F2">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pPr>
              <w:widowControl/>
              <w:spacing w:line="0" w:lineRule="atLeast"/>
              <w:rPr>
                <w:rFonts w:eastAsia="仿宋_GB2312"/>
                <w:kern w:val="0"/>
                <w:sz w:val="18"/>
                <w:szCs w:val="18"/>
              </w:rPr>
            </w:pPr>
            <w:r>
              <w:rPr>
                <w:rFonts w:eastAsia="仿宋_GB2312"/>
                <w:kern w:val="0"/>
                <w:sz w:val="18"/>
                <w:szCs w:val="18"/>
              </w:rPr>
              <w:br w:type="textWrapping"/>
            </w:r>
            <w:r>
              <w:rPr>
                <w:rFonts w:eastAsia="仿宋_GB2312"/>
                <w:kern w:val="0"/>
                <w:sz w:val="18"/>
                <w:szCs w:val="18"/>
              </w:rPr>
              <w:t>成本节约率=[（计划成本-实际成本）/计划成本]×100%。</w:t>
            </w:r>
            <w:r>
              <w:rPr>
                <w:rFonts w:eastAsia="仿宋_GB2312"/>
                <w:kern w:val="0"/>
                <w:sz w:val="18"/>
                <w:szCs w:val="18"/>
              </w:rPr>
              <w:br w:type="textWrapping"/>
            </w:r>
            <w:r>
              <w:rPr>
                <w:rFonts w:eastAsia="仿宋_GB2312"/>
                <w:kern w:val="0"/>
                <w:sz w:val="18"/>
                <w:szCs w:val="18"/>
              </w:rPr>
              <w:t>实际成本：项目实施单位如期、保质、保量完成既定工作目标实际所耗费的支出。</w:t>
            </w:r>
            <w:r>
              <w:rPr>
                <w:rFonts w:eastAsia="仿宋_GB2312"/>
                <w:kern w:val="0"/>
                <w:sz w:val="18"/>
                <w:szCs w:val="18"/>
              </w:rPr>
              <w:br w:type="textWrapping"/>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1AA6671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5AA989E3">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2D57D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95" w:type="pct"/>
            <w:vMerge w:val="restart"/>
            <w:shd w:val="clear" w:color="auto" w:fill="FFFFFF"/>
            <w:vAlign w:val="center"/>
          </w:tcPr>
          <w:p w14:paraId="407A8436">
            <w:pPr>
              <w:widowControl/>
              <w:spacing w:line="0" w:lineRule="atLeast"/>
              <w:jc w:val="center"/>
              <w:rPr>
                <w:rFonts w:eastAsia="仿宋_GB2312"/>
                <w:kern w:val="0"/>
                <w:sz w:val="18"/>
                <w:szCs w:val="18"/>
              </w:rPr>
            </w:pPr>
            <w:r>
              <w:rPr>
                <w:rFonts w:eastAsia="仿宋_GB2312"/>
                <w:kern w:val="0"/>
                <w:sz w:val="18"/>
                <w:szCs w:val="18"/>
              </w:rPr>
              <w:t>效益　</w:t>
            </w:r>
          </w:p>
        </w:tc>
        <w:tc>
          <w:tcPr>
            <w:tcW w:w="394" w:type="pct"/>
            <w:vMerge w:val="restart"/>
            <w:shd w:val="clear" w:color="auto" w:fill="FFFFFF"/>
            <w:vAlign w:val="center"/>
          </w:tcPr>
          <w:p w14:paraId="21FCFCD8">
            <w:pPr>
              <w:widowControl/>
              <w:spacing w:line="0" w:lineRule="atLeast"/>
              <w:jc w:val="center"/>
              <w:rPr>
                <w:rFonts w:eastAsia="仿宋_GB2312"/>
                <w:kern w:val="0"/>
                <w:sz w:val="18"/>
                <w:szCs w:val="18"/>
              </w:rPr>
            </w:pPr>
            <w:r>
              <w:rPr>
                <w:rFonts w:eastAsia="仿宋_GB2312"/>
                <w:kern w:val="0"/>
                <w:sz w:val="18"/>
                <w:szCs w:val="18"/>
              </w:rPr>
              <w:t>项目效益　</w:t>
            </w:r>
          </w:p>
        </w:tc>
        <w:tc>
          <w:tcPr>
            <w:tcW w:w="422" w:type="pct"/>
            <w:shd w:val="clear" w:color="auto" w:fill="FFFFFF"/>
            <w:vAlign w:val="center"/>
          </w:tcPr>
          <w:p w14:paraId="6E48256B">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795E0B36">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153D9E8C">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auto" w:fill="FFFFFF"/>
            <w:vAlign w:val="center"/>
          </w:tcPr>
          <w:p w14:paraId="0267F851">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0CDD7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95" w:type="pct"/>
            <w:vMerge w:val="continue"/>
            <w:shd w:val="clear" w:color="auto" w:fill="FFFFFF"/>
            <w:vAlign w:val="center"/>
          </w:tcPr>
          <w:p w14:paraId="6122E626">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4981F3CC">
            <w:pPr>
              <w:widowControl/>
              <w:spacing w:line="0" w:lineRule="atLeast"/>
              <w:jc w:val="center"/>
              <w:rPr>
                <w:rFonts w:eastAsia="仿宋_GB2312"/>
                <w:kern w:val="0"/>
                <w:sz w:val="18"/>
                <w:szCs w:val="18"/>
              </w:rPr>
            </w:pPr>
          </w:p>
        </w:tc>
        <w:tc>
          <w:tcPr>
            <w:tcW w:w="422" w:type="pct"/>
            <w:shd w:val="clear" w:color="auto" w:fill="FFFFFF"/>
            <w:vAlign w:val="center"/>
          </w:tcPr>
          <w:p w14:paraId="44F2D309">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47FAA55F">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00C88B87">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6EF7EC98">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2F2D7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3949" w:type="pct"/>
            <w:gridSpan w:val="5"/>
            <w:shd w:val="clear" w:color="auto" w:fill="FFFFFF"/>
            <w:vAlign w:val="center"/>
          </w:tcPr>
          <w:p w14:paraId="2B863E0F">
            <w:pPr>
              <w:widowControl/>
              <w:spacing w:line="0" w:lineRule="atLeast"/>
              <w:jc w:val="center"/>
              <w:rPr>
                <w:rFonts w:eastAsia="仿宋_GB2312"/>
                <w:b/>
                <w:bCs/>
                <w:kern w:val="0"/>
                <w:sz w:val="18"/>
                <w:szCs w:val="18"/>
              </w:rPr>
            </w:pPr>
            <w:r>
              <w:rPr>
                <w:rFonts w:hint="eastAsia" w:eastAsia="仿宋_GB2312"/>
                <w:b/>
                <w:bCs/>
                <w:kern w:val="0"/>
                <w:sz w:val="18"/>
                <w:szCs w:val="18"/>
              </w:rPr>
              <w:t>合计</w:t>
            </w:r>
          </w:p>
        </w:tc>
        <w:tc>
          <w:tcPr>
            <w:tcW w:w="512" w:type="pct"/>
            <w:shd w:val="clear" w:color="000000" w:fill="FFFFFF"/>
            <w:vAlign w:val="center"/>
          </w:tcPr>
          <w:p w14:paraId="4E95BD9D">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538" w:type="pct"/>
            <w:shd w:val="clear" w:color="000000" w:fill="FFFFFF"/>
            <w:vAlign w:val="center"/>
          </w:tcPr>
          <w:p w14:paraId="33BB8A15">
            <w:pPr>
              <w:widowControl/>
              <w:spacing w:line="0" w:lineRule="atLeast"/>
              <w:jc w:val="center"/>
              <w:rPr>
                <w:rFonts w:eastAsia="仿宋_GB2312"/>
                <w:b/>
                <w:bCs/>
                <w:kern w:val="0"/>
                <w:sz w:val="18"/>
                <w:szCs w:val="18"/>
              </w:rPr>
            </w:pPr>
            <w:r>
              <w:rPr>
                <w:rFonts w:hint="eastAsia" w:eastAsia="仿宋_GB2312"/>
                <w:b/>
                <w:bCs/>
                <w:kern w:val="0"/>
                <w:sz w:val="18"/>
                <w:szCs w:val="18"/>
              </w:rPr>
              <w:t>100</w:t>
            </w:r>
          </w:p>
        </w:tc>
      </w:tr>
    </w:tbl>
    <w:p w14:paraId="6D728D58">
      <w:pPr>
        <w:sectPr>
          <w:pgSz w:w="16838" w:h="11906" w:orient="landscape"/>
          <w:pgMar w:top="1800" w:right="1440" w:bottom="1558" w:left="1440" w:header="851" w:footer="992" w:gutter="0"/>
          <w:cols w:space="425" w:num="1"/>
          <w:docGrid w:type="lines" w:linePitch="312" w:charSpace="0"/>
        </w:sectPr>
      </w:pPr>
    </w:p>
    <w:p w14:paraId="32B738EE">
      <w:pPr>
        <w:spacing w:line="600" w:lineRule="exact"/>
        <w:rPr>
          <w:rFonts w:eastAsia="黑体"/>
          <w:sz w:val="32"/>
          <w:szCs w:val="32"/>
        </w:rPr>
      </w:pPr>
      <w:r>
        <w:rPr>
          <w:rFonts w:hint="eastAsia" w:eastAsia="黑体"/>
          <w:sz w:val="32"/>
          <w:szCs w:val="32"/>
        </w:rPr>
        <w:t>附件2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00"/>
        <w:gridCol w:w="700"/>
        <w:gridCol w:w="974"/>
        <w:gridCol w:w="2344"/>
        <w:gridCol w:w="3472"/>
        <w:gridCol w:w="1356"/>
        <w:gridCol w:w="1347"/>
        <w:gridCol w:w="251"/>
        <w:gridCol w:w="387"/>
        <w:gridCol w:w="357"/>
        <w:gridCol w:w="480"/>
        <w:gridCol w:w="605"/>
        <w:gridCol w:w="872"/>
      </w:tblGrid>
      <w:tr w14:paraId="5937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4EDD6F8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53E98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26D23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4F13B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205E1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13A41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社区工作经费</w:t>
            </w:r>
          </w:p>
        </w:tc>
      </w:tr>
      <w:tr w14:paraId="1444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69DB6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18076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乌鲁木齐市沙依巴克区和田街片区管理委员会</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B978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23F35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乌鲁木齐市沙依巴克区和田街片区管理委员会</w:t>
            </w:r>
          </w:p>
        </w:tc>
      </w:tr>
      <w:tr w14:paraId="7027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570F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347FCC28">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56FAA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660A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618B4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2C37F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53B0C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F6CA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6E32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AF5E119">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030D4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3DB9E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BBB0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389B7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08350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444D4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EC58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64736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08C4325">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7CB7D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08A04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4F31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4CC94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239E7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1D8EA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9647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D228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37C6113">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08321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21496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493F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71B2C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6D4E5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55E87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9CC2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840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4BE1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2D0B5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17027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5CCD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D3DF0B">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7602E1C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保障全局机构正常运行。2：贯彻执行国家和自治区有关财政、税收、行政事业单位国有资产管理的法规、制度和方针政策；组织拟定财政、财务、会计管理、行政事业单位国有资产管理等方面的规章、办法，并监督实施，依法管理本级财政、执行本级预算。3、接待处理和反映辖区群众来信、来访工作，为辖区群众解答法律咨询，提供法律服务，进行法制宣传教育，对社会矛盾纠纷进行调处等工作，负责指导、管理辖区人民调解工作及标准化调委会达标活动和普法工作。4：负责辖区社会治安综合治理的宣传、督查、指导、考评及创建治安模范单位等工作，指导、督察社区对外来流动人口的登记、管理工作。5：负责民生工作，为群众提供有效的科技、教育、文化、信息、卫生、体育、劳动就业、社会保障、安全生产等后面的服务。6：对辖区纪检监察工作负责，并指导、监督辖区窗口示范单位的行风建设，对各类公文签收、拟办、传达、督查落实、催办等工作。</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3EDDDD6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该项目总预算520万元，截止24年底该项目已全部完成。主要用于我街道10个社区工作经费。通过此项目开展保障全局机构正常运行</w:t>
            </w:r>
          </w:p>
        </w:tc>
      </w:tr>
      <w:tr w14:paraId="49ADC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2B7AB8">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A18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513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5509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666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5F4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3ACC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50E2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B5D1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5D9E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C118B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E780EE">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876430">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9316461">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FF3831">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47CA51">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3732077">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6FA94DA">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C8F5BBF">
            <w:pPr>
              <w:jc w:val="center"/>
              <w:rPr>
                <w:rFonts w:hint="eastAsia" w:ascii="宋体" w:hAnsi="宋体" w:eastAsia="宋体" w:cs="宋体"/>
                <w:i w:val="0"/>
                <w:iCs w:val="0"/>
                <w:color w:val="000000"/>
                <w:sz w:val="20"/>
                <w:szCs w:val="20"/>
                <w:u w:val="none"/>
              </w:rPr>
            </w:pPr>
          </w:p>
        </w:tc>
      </w:tr>
      <w:tr w14:paraId="47DD0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C5E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DFE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5776F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EB866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所辖资金使用对象社区数量</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DAD1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=10个</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05B2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=10个</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058F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73FE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D051FC6">
            <w:pPr>
              <w:jc w:val="center"/>
              <w:rPr>
                <w:rFonts w:hint="eastAsia" w:ascii="宋体" w:hAnsi="宋体" w:eastAsia="宋体" w:cs="宋体"/>
                <w:i w:val="0"/>
                <w:iCs w:val="0"/>
                <w:color w:val="000000"/>
                <w:sz w:val="20"/>
                <w:szCs w:val="20"/>
                <w:u w:val="none"/>
              </w:rPr>
            </w:pPr>
          </w:p>
        </w:tc>
      </w:tr>
      <w:tr w14:paraId="31F9A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7A9ED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866F29">
            <w:pPr>
              <w:jc w:val="center"/>
              <w:rPr>
                <w:rFonts w:hint="eastAsia" w:ascii="宋体" w:hAnsi="宋体" w:eastAsia="宋体" w:cs="宋体"/>
                <w:i w:val="0"/>
                <w:iCs w:val="0"/>
                <w:color w:val="000000"/>
                <w:sz w:val="20"/>
                <w:szCs w:val="20"/>
                <w:u w:val="none"/>
              </w:rPr>
            </w:pP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F3C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354E1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经费支出合理性</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D25F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B4CC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A16F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7789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FA17C7A">
            <w:pPr>
              <w:jc w:val="center"/>
              <w:rPr>
                <w:rFonts w:hint="eastAsia" w:ascii="宋体" w:hAnsi="宋体" w:eastAsia="宋体" w:cs="宋体"/>
                <w:i w:val="0"/>
                <w:iCs w:val="0"/>
                <w:color w:val="000000"/>
                <w:sz w:val="20"/>
                <w:szCs w:val="20"/>
                <w:u w:val="none"/>
              </w:rPr>
            </w:pPr>
          </w:p>
        </w:tc>
      </w:tr>
      <w:tr w14:paraId="7BCF8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617C1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639AA5">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4AD743">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6FC1C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社区正常运转率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2E92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CF1C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1A7F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32B2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330C6F0">
            <w:pPr>
              <w:jc w:val="center"/>
              <w:rPr>
                <w:rFonts w:hint="eastAsia" w:ascii="宋体" w:hAnsi="宋体" w:eastAsia="宋体" w:cs="宋体"/>
                <w:i w:val="0"/>
                <w:iCs w:val="0"/>
                <w:color w:val="000000"/>
                <w:sz w:val="20"/>
                <w:szCs w:val="20"/>
                <w:u w:val="none"/>
              </w:rPr>
            </w:pPr>
          </w:p>
        </w:tc>
      </w:tr>
      <w:tr w14:paraId="5C978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F439A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8A212D">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1053B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87213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经费支付及时性</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25EC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2A2A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2F76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AB49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B1A8B51">
            <w:pPr>
              <w:jc w:val="center"/>
              <w:rPr>
                <w:rFonts w:hint="eastAsia" w:ascii="宋体" w:hAnsi="宋体" w:eastAsia="宋体" w:cs="宋体"/>
                <w:i w:val="0"/>
                <w:iCs w:val="0"/>
                <w:color w:val="000000"/>
                <w:sz w:val="20"/>
                <w:szCs w:val="20"/>
                <w:u w:val="none"/>
              </w:rPr>
            </w:pPr>
          </w:p>
        </w:tc>
      </w:tr>
      <w:tr w14:paraId="4F81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552386">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4BAF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647E6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5E18A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所辖各社区经费平均标准</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46C4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&lt;=52万元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4320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=52万元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3326A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63F6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0C5F65F">
            <w:pPr>
              <w:jc w:val="center"/>
              <w:rPr>
                <w:rFonts w:hint="eastAsia" w:ascii="宋体" w:hAnsi="宋体" w:eastAsia="宋体" w:cs="宋体"/>
                <w:i w:val="0"/>
                <w:iCs w:val="0"/>
                <w:color w:val="000000"/>
                <w:sz w:val="20"/>
                <w:szCs w:val="20"/>
                <w:u w:val="none"/>
              </w:rPr>
            </w:pPr>
          </w:p>
        </w:tc>
      </w:tr>
      <w:tr w14:paraId="5F5B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67C39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A43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578AC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95D93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提供充足的社区经费，用以保障辖区居民生活安全和提升幸福感</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8077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有效提升和保障</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4FAD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5668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417C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D0E8778">
            <w:pPr>
              <w:jc w:val="center"/>
              <w:rPr>
                <w:rFonts w:hint="eastAsia" w:ascii="宋体" w:hAnsi="宋体" w:eastAsia="宋体" w:cs="宋体"/>
                <w:i w:val="0"/>
                <w:iCs w:val="0"/>
                <w:color w:val="000000"/>
                <w:sz w:val="20"/>
                <w:szCs w:val="20"/>
                <w:u w:val="none"/>
              </w:rPr>
            </w:pPr>
          </w:p>
        </w:tc>
      </w:tr>
      <w:tr w14:paraId="095F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B34D34">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F652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56E58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EEB12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辖区居民满意度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043E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4C7B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409B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45B2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44A819D">
            <w:pPr>
              <w:jc w:val="center"/>
              <w:rPr>
                <w:rFonts w:hint="eastAsia" w:ascii="宋体" w:hAnsi="宋体" w:eastAsia="宋体" w:cs="宋体"/>
                <w:i w:val="0"/>
                <w:iCs w:val="0"/>
                <w:color w:val="000000"/>
                <w:sz w:val="20"/>
                <w:szCs w:val="20"/>
                <w:u w:val="none"/>
              </w:rPr>
            </w:pPr>
          </w:p>
        </w:tc>
      </w:tr>
      <w:tr w14:paraId="03D39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34A8F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30DB9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F1EC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C241AAF">
            <w:pPr>
              <w:jc w:val="center"/>
              <w:rPr>
                <w:rFonts w:hint="eastAsia" w:ascii="宋体" w:hAnsi="宋体" w:eastAsia="宋体" w:cs="宋体"/>
                <w:i w:val="0"/>
                <w:iCs w:val="0"/>
                <w:color w:val="000000"/>
                <w:sz w:val="20"/>
                <w:szCs w:val="20"/>
                <w:u w:val="none"/>
              </w:rPr>
            </w:pPr>
          </w:p>
        </w:tc>
      </w:tr>
    </w:tbl>
    <w:p w14:paraId="22593E3A">
      <w:bookmarkStart w:id="5" w:name="_GoBack"/>
      <w:bookmarkEnd w:id="5"/>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6E9D485D">
        <w:pPr>
          <w:pStyle w:val="8"/>
          <w:jc w:val="center"/>
        </w:pPr>
        <w:r>
          <w:fldChar w:fldCharType="begin"/>
        </w:r>
        <w:r>
          <w:instrText xml:space="preserve">PAGE   \* MERGEFORMAT</w:instrText>
        </w:r>
        <w:r>
          <w:fldChar w:fldCharType="separate"/>
        </w:r>
        <w:r>
          <w:rPr>
            <w:lang w:val="zh-CN"/>
          </w:rPr>
          <w:t>13</w:t>
        </w:r>
        <w:r>
          <w:fldChar w:fldCharType="end"/>
        </w:r>
      </w:p>
    </w:sdtContent>
  </w:sdt>
  <w:p w14:paraId="049FE444">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27813159"/>
    <w:multiLevelType w:val="singleLevel"/>
    <w:tmpl w:val="27813159"/>
    <w:lvl w:ilvl="0" w:tentative="0">
      <w:start w:val="3"/>
      <w:numFmt w:val="chineseCounting"/>
      <w:suff w:val="nothing"/>
      <w:lvlText w:val="（%1）"/>
      <w:lvlJc w:val="left"/>
      <w:pPr>
        <w:ind w:left="-81"/>
      </w:pPr>
      <w:rPr>
        <w:rFonts w:hint="eastAsia"/>
      </w:rPr>
    </w:lvl>
  </w:abstractNum>
  <w:abstractNum w:abstractNumId="4">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6F7242"/>
    <w:rsid w:val="007B168A"/>
    <w:rsid w:val="008B1A06"/>
    <w:rsid w:val="008B2CFE"/>
    <w:rsid w:val="00C55C3C"/>
    <w:rsid w:val="00D034FB"/>
    <w:rsid w:val="00EF6A9C"/>
    <w:rsid w:val="00F26FF6"/>
    <w:rsid w:val="01610122"/>
    <w:rsid w:val="02510197"/>
    <w:rsid w:val="03EC461B"/>
    <w:rsid w:val="07397B77"/>
    <w:rsid w:val="0AD007F3"/>
    <w:rsid w:val="0E3C619F"/>
    <w:rsid w:val="0F6273CA"/>
    <w:rsid w:val="100F38EC"/>
    <w:rsid w:val="11170296"/>
    <w:rsid w:val="12C66037"/>
    <w:rsid w:val="12CD1ABC"/>
    <w:rsid w:val="13471461"/>
    <w:rsid w:val="13B90F01"/>
    <w:rsid w:val="13CD3CFA"/>
    <w:rsid w:val="155E4C4D"/>
    <w:rsid w:val="181066D2"/>
    <w:rsid w:val="1C671E73"/>
    <w:rsid w:val="1D322C47"/>
    <w:rsid w:val="1D7B69ED"/>
    <w:rsid w:val="23616034"/>
    <w:rsid w:val="23696C97"/>
    <w:rsid w:val="24480FA2"/>
    <w:rsid w:val="25227A45"/>
    <w:rsid w:val="26AC3A6A"/>
    <w:rsid w:val="2AED28A3"/>
    <w:rsid w:val="2B9D7E25"/>
    <w:rsid w:val="2BFD6A4C"/>
    <w:rsid w:val="2C7C7A3B"/>
    <w:rsid w:val="2F364819"/>
    <w:rsid w:val="2FD63906"/>
    <w:rsid w:val="325700A7"/>
    <w:rsid w:val="36E40E23"/>
    <w:rsid w:val="37215DAE"/>
    <w:rsid w:val="38CA40DD"/>
    <w:rsid w:val="395F2B56"/>
    <w:rsid w:val="3A516249"/>
    <w:rsid w:val="3B246CFC"/>
    <w:rsid w:val="3B482032"/>
    <w:rsid w:val="3BBA0580"/>
    <w:rsid w:val="3BE90C78"/>
    <w:rsid w:val="3BECE841"/>
    <w:rsid w:val="3CDE204C"/>
    <w:rsid w:val="3D363C36"/>
    <w:rsid w:val="3E9C3F6D"/>
    <w:rsid w:val="3FF7797D"/>
    <w:rsid w:val="44BE2106"/>
    <w:rsid w:val="46690BD8"/>
    <w:rsid w:val="49792371"/>
    <w:rsid w:val="49F70BF1"/>
    <w:rsid w:val="4B4340EE"/>
    <w:rsid w:val="4E222B56"/>
    <w:rsid w:val="503D507A"/>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42B176B"/>
    <w:rsid w:val="643EE26D"/>
    <w:rsid w:val="656019A0"/>
    <w:rsid w:val="65F242EE"/>
    <w:rsid w:val="666D7E19"/>
    <w:rsid w:val="68376930"/>
    <w:rsid w:val="68F91E38"/>
    <w:rsid w:val="6B3158B9"/>
    <w:rsid w:val="6BA02A3F"/>
    <w:rsid w:val="6C105349"/>
    <w:rsid w:val="6C1E5A53"/>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21"/>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2">
    <w:name w:val="annotation subject"/>
    <w:basedOn w:val="4"/>
    <w:next w:val="4"/>
    <w:link w:val="24"/>
    <w:qFormat/>
    <w:uiPriority w:val="0"/>
    <w:rPr>
      <w:b/>
      <w:bCs/>
    </w:rPr>
  </w:style>
  <w:style w:type="paragraph" w:styleId="13">
    <w:name w:val="Body Text First Indent"/>
    <w:basedOn w:val="5"/>
    <w:qFormat/>
    <w:uiPriority w:val="0"/>
    <w:pPr>
      <w:spacing w:after="0"/>
      <w:ind w:firstLine="200" w:firstLineChars="200"/>
    </w:pPr>
  </w:style>
  <w:style w:type="paragraph" w:styleId="14">
    <w:name w:val="Body Text First Indent 2"/>
    <w:basedOn w:val="6"/>
    <w:qFormat/>
    <w:uiPriority w:val="0"/>
    <w:pPr>
      <w:ind w:firstLine="420" w:firstLineChars="200"/>
    </w:pPr>
  </w:style>
  <w:style w:type="character" w:styleId="17">
    <w:name w:val="Strong"/>
    <w:basedOn w:val="16"/>
    <w:qFormat/>
    <w:uiPriority w:val="0"/>
    <w:rPr>
      <w:b/>
      <w:bCs/>
    </w:rPr>
  </w:style>
  <w:style w:type="character" w:styleId="18">
    <w:name w:val="annotation reference"/>
    <w:basedOn w:val="16"/>
    <w:qFormat/>
    <w:uiPriority w:val="0"/>
    <w:rPr>
      <w:sz w:val="21"/>
      <w:szCs w:val="21"/>
    </w:rPr>
  </w:style>
  <w:style w:type="character" w:customStyle="1" w:styleId="19">
    <w:name w:val="fontstyle01"/>
    <w:qFormat/>
    <w:uiPriority w:val="0"/>
    <w:rPr>
      <w:rFonts w:ascii="仿宋_GB2312" w:hAnsi="仿宋_GB2312" w:eastAsia="仿宋_GB2312" w:cs="仿宋_GB2312"/>
      <w:color w:val="000000"/>
      <w:sz w:val="32"/>
      <w:szCs w:val="32"/>
    </w:rPr>
  </w:style>
  <w:style w:type="paragraph" w:customStyle="1" w:styleId="20">
    <w:name w:val="闻政-正文段落文字"/>
    <w:basedOn w:val="1"/>
    <w:qFormat/>
    <w:uiPriority w:val="3"/>
    <w:pPr>
      <w:spacing w:line="500" w:lineRule="exact"/>
      <w:ind w:firstLine="200"/>
    </w:pPr>
    <w:rPr>
      <w:kern w:val="0"/>
      <w:szCs w:val="28"/>
    </w:rPr>
  </w:style>
  <w:style w:type="character" w:customStyle="1" w:styleId="21">
    <w:name w:val="批注框文本 字符"/>
    <w:basedOn w:val="16"/>
    <w:link w:val="7"/>
    <w:qFormat/>
    <w:uiPriority w:val="0"/>
    <w:rPr>
      <w:rFonts w:ascii="Times New Roman" w:hAnsi="Times New Roman" w:eastAsia="宋体" w:cs="Times New Roman"/>
      <w:kern w:val="2"/>
      <w:sz w:val="18"/>
      <w:szCs w:val="18"/>
    </w:rPr>
  </w:style>
  <w:style w:type="character" w:customStyle="1" w:styleId="22">
    <w:name w:val="页眉 字符"/>
    <w:basedOn w:val="16"/>
    <w:link w:val="9"/>
    <w:qFormat/>
    <w:uiPriority w:val="0"/>
    <w:rPr>
      <w:rFonts w:ascii="Times New Roman" w:hAnsi="Times New Roman" w:eastAsia="宋体" w:cs="Times New Roman"/>
      <w:kern w:val="2"/>
      <w:sz w:val="18"/>
      <w:szCs w:val="18"/>
    </w:rPr>
  </w:style>
  <w:style w:type="character" w:customStyle="1" w:styleId="23">
    <w:name w:val="批注文字 字符"/>
    <w:basedOn w:val="16"/>
    <w:link w:val="4"/>
    <w:qFormat/>
    <w:uiPriority w:val="0"/>
    <w:rPr>
      <w:rFonts w:ascii="Times New Roman" w:hAnsi="Times New Roman" w:eastAsia="宋体" w:cs="Times New Roman"/>
      <w:kern w:val="2"/>
      <w:sz w:val="21"/>
      <w:szCs w:val="24"/>
    </w:rPr>
  </w:style>
  <w:style w:type="character" w:customStyle="1" w:styleId="24">
    <w:name w:val="批注主题 字符"/>
    <w:basedOn w:val="23"/>
    <w:link w:val="12"/>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10355</Words>
  <Characters>10637</Characters>
  <Lines>650</Lines>
  <Paragraphs>455</Paragraphs>
  <TotalTime>0</TotalTime>
  <ScaleCrop>false</ScaleCrop>
  <LinksUpToDate>false</LinksUpToDate>
  <CharactersWithSpaces>10645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2025-11-27T03:27:01Z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