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F6B8B1">
      <w:pPr>
        <w:spacing w:line="540" w:lineRule="exact"/>
        <w:jc w:val="center"/>
        <w:rPr>
          <w:rFonts w:eastAsia="华文中宋"/>
          <w:b/>
          <w:kern w:val="0"/>
          <w:sz w:val="52"/>
          <w:szCs w:val="52"/>
        </w:rPr>
      </w:pPr>
    </w:p>
    <w:p w14:paraId="2E184C99">
      <w:pPr>
        <w:spacing w:line="540" w:lineRule="exact"/>
        <w:rPr>
          <w:rFonts w:eastAsia="华文中宋"/>
          <w:b/>
          <w:kern w:val="0"/>
          <w:sz w:val="52"/>
          <w:szCs w:val="52"/>
        </w:rPr>
      </w:pPr>
    </w:p>
    <w:p w14:paraId="753F4B71">
      <w:pPr>
        <w:spacing w:line="540" w:lineRule="exact"/>
        <w:jc w:val="center"/>
        <w:rPr>
          <w:rFonts w:eastAsia="华文中宋"/>
          <w:b/>
          <w:kern w:val="0"/>
          <w:sz w:val="52"/>
          <w:szCs w:val="52"/>
        </w:rPr>
      </w:pPr>
    </w:p>
    <w:p w14:paraId="183E214B">
      <w:pPr>
        <w:spacing w:line="540" w:lineRule="exact"/>
        <w:jc w:val="center"/>
        <w:rPr>
          <w:rFonts w:eastAsia="华文中宋"/>
          <w:b/>
          <w:kern w:val="0"/>
          <w:sz w:val="52"/>
          <w:szCs w:val="52"/>
        </w:rPr>
      </w:pPr>
    </w:p>
    <w:p w14:paraId="228FFBCF">
      <w:pPr>
        <w:spacing w:line="540" w:lineRule="exact"/>
        <w:jc w:val="center"/>
        <w:rPr>
          <w:rFonts w:eastAsia="方正小标宋_GBK"/>
          <w:kern w:val="0"/>
          <w:sz w:val="48"/>
          <w:szCs w:val="48"/>
        </w:rPr>
      </w:pPr>
      <w:r>
        <w:rPr>
          <w:rFonts w:hint="eastAsia" w:eastAsia="方正小标宋_GBK"/>
          <w:kern w:val="0"/>
          <w:sz w:val="48"/>
          <w:szCs w:val="48"/>
        </w:rPr>
        <w:t>社区工作经费（6重点，11非重点）</w:t>
      </w:r>
      <w:r>
        <w:rPr>
          <w:rFonts w:eastAsia="方正小标宋_GBK"/>
          <w:kern w:val="0"/>
          <w:sz w:val="48"/>
          <w:szCs w:val="48"/>
        </w:rPr>
        <w:t>项目支出绩效评价报告</w:t>
      </w:r>
    </w:p>
    <w:p w14:paraId="08BC0B92">
      <w:pPr>
        <w:spacing w:line="540" w:lineRule="exact"/>
        <w:jc w:val="center"/>
        <w:rPr>
          <w:rFonts w:eastAsia="华文中宋"/>
          <w:b/>
          <w:kern w:val="0"/>
          <w:sz w:val="52"/>
          <w:szCs w:val="52"/>
        </w:rPr>
      </w:pPr>
    </w:p>
    <w:p w14:paraId="31148B93">
      <w:pPr>
        <w:spacing w:line="540" w:lineRule="exact"/>
        <w:jc w:val="center"/>
        <w:rPr>
          <w:rFonts w:eastAsia="仿宋_GB2312"/>
          <w:kern w:val="0"/>
          <w:sz w:val="36"/>
          <w:szCs w:val="36"/>
        </w:rPr>
      </w:pPr>
      <w:r>
        <w:rPr>
          <w:rFonts w:eastAsia="仿宋_GB2312"/>
          <w:kern w:val="0"/>
          <w:sz w:val="36"/>
          <w:szCs w:val="36"/>
        </w:rPr>
        <w:t>（2024年度）</w:t>
      </w:r>
    </w:p>
    <w:p w14:paraId="7C3B4E55">
      <w:pPr>
        <w:spacing w:line="540" w:lineRule="exact"/>
        <w:jc w:val="center"/>
        <w:rPr>
          <w:rFonts w:eastAsia="仿宋_GB2312"/>
          <w:kern w:val="0"/>
          <w:sz w:val="30"/>
          <w:szCs w:val="30"/>
        </w:rPr>
      </w:pPr>
    </w:p>
    <w:p w14:paraId="0A38FB1C">
      <w:pPr>
        <w:spacing w:line="540" w:lineRule="exact"/>
        <w:jc w:val="center"/>
        <w:rPr>
          <w:rFonts w:eastAsia="仿宋_GB2312"/>
          <w:kern w:val="0"/>
          <w:sz w:val="30"/>
          <w:szCs w:val="30"/>
        </w:rPr>
      </w:pPr>
    </w:p>
    <w:p w14:paraId="470607C3">
      <w:pPr>
        <w:spacing w:line="540" w:lineRule="exact"/>
        <w:jc w:val="center"/>
        <w:rPr>
          <w:rFonts w:eastAsia="仿宋_GB2312"/>
          <w:kern w:val="0"/>
          <w:sz w:val="30"/>
          <w:szCs w:val="30"/>
        </w:rPr>
      </w:pPr>
    </w:p>
    <w:p w14:paraId="4D648C38">
      <w:pPr>
        <w:pStyle w:val="10"/>
        <w:rPr>
          <w:rFonts w:ascii="Times New Roman" w:hAnsi="Times New Roman"/>
        </w:rPr>
      </w:pPr>
    </w:p>
    <w:p w14:paraId="25642C05">
      <w:pPr>
        <w:spacing w:line="540" w:lineRule="exact"/>
        <w:jc w:val="center"/>
        <w:rPr>
          <w:rFonts w:eastAsia="仿宋_GB2312"/>
          <w:kern w:val="0"/>
          <w:sz w:val="30"/>
          <w:szCs w:val="30"/>
        </w:rPr>
      </w:pPr>
    </w:p>
    <w:p w14:paraId="0EF96FF8">
      <w:pPr>
        <w:spacing w:line="540" w:lineRule="exact"/>
        <w:rPr>
          <w:rFonts w:eastAsia="仿宋_GB2312"/>
          <w:kern w:val="0"/>
          <w:sz w:val="30"/>
          <w:szCs w:val="30"/>
        </w:rPr>
      </w:pPr>
    </w:p>
    <w:p w14:paraId="124940C2">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社区工作经费（6重点，11非重点）</w:t>
      </w:r>
    </w:p>
    <w:p w14:paraId="1F4606C7">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乌鲁木齐市沙依巴克区炉院街片区管理委员会</w:t>
      </w:r>
    </w:p>
    <w:p w14:paraId="5C7ED1E3">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乌鲁木齐市沙依巴克区炉院街片区管理委员会</w:t>
      </w:r>
    </w:p>
    <w:p w14:paraId="0846EA41">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刘云龙</w:t>
      </w:r>
    </w:p>
    <w:p w14:paraId="23956B99">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2</w:t>
      </w:r>
      <w:r>
        <w:rPr>
          <w:rFonts w:eastAsia="仿宋_GB2312"/>
          <w:kern w:val="0"/>
          <w:sz w:val="36"/>
          <w:szCs w:val="36"/>
        </w:rPr>
        <w:t>日</w:t>
      </w:r>
    </w:p>
    <w:p w14:paraId="364D97F6">
      <w:pPr>
        <w:spacing w:line="540" w:lineRule="exact"/>
        <w:jc w:val="center"/>
        <w:rPr>
          <w:rFonts w:eastAsia="仿宋_GB2312"/>
          <w:kern w:val="0"/>
          <w:sz w:val="30"/>
          <w:szCs w:val="30"/>
        </w:rPr>
      </w:pPr>
    </w:p>
    <w:p w14:paraId="59CB87DD">
      <w:pPr>
        <w:spacing w:line="540" w:lineRule="exact"/>
        <w:rPr>
          <w:rStyle w:val="16"/>
          <w:rFonts w:eastAsia="黑体"/>
          <w:b w:val="0"/>
          <w:spacing w:val="-4"/>
          <w:sz w:val="32"/>
          <w:szCs w:val="32"/>
        </w:rPr>
      </w:pPr>
    </w:p>
    <w:p w14:paraId="70281EC5">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4E316493">
      <w:pPr>
        <w:spacing w:line="560" w:lineRule="exact"/>
        <w:ind w:firstLine="640" w:firstLineChars="200"/>
        <w:rPr>
          <w:rFonts w:eastAsia="黑体"/>
          <w:bCs/>
          <w:sz w:val="32"/>
          <w:szCs w:val="32"/>
        </w:rPr>
      </w:pPr>
      <w:r>
        <w:rPr>
          <w:rFonts w:eastAsia="黑体"/>
          <w:bCs/>
          <w:sz w:val="32"/>
          <w:szCs w:val="32"/>
        </w:rPr>
        <w:t>一、基本情况</w:t>
      </w:r>
    </w:p>
    <w:p w14:paraId="57EC42BA">
      <w:pPr>
        <w:spacing w:line="560" w:lineRule="exact"/>
        <w:ind w:firstLine="643" w:firstLineChars="200"/>
        <w:rPr>
          <w:rFonts w:eastAsia="楷体_GB2312"/>
          <w:b/>
          <w:bCs/>
          <w:sz w:val="32"/>
          <w:szCs w:val="32"/>
        </w:rPr>
      </w:pPr>
      <w:r>
        <w:rPr>
          <w:rFonts w:eastAsia="楷体_GB2312"/>
          <w:b/>
          <w:bCs/>
          <w:sz w:val="32"/>
          <w:szCs w:val="32"/>
        </w:rPr>
        <w:t>（一）项目概况</w:t>
      </w:r>
    </w:p>
    <w:p w14:paraId="1DC8C5EB">
      <w:pPr>
        <w:spacing w:line="560" w:lineRule="exact"/>
        <w:ind w:firstLine="643" w:firstLineChars="200"/>
        <w:rPr>
          <w:rFonts w:eastAsia="仿宋_GB2312"/>
          <w:b/>
          <w:bCs/>
          <w:sz w:val="32"/>
          <w:szCs w:val="32"/>
        </w:rPr>
      </w:pPr>
      <w:r>
        <w:rPr>
          <w:rFonts w:eastAsia="仿宋_GB2312"/>
          <w:b/>
          <w:bCs/>
          <w:sz w:val="32"/>
          <w:szCs w:val="32"/>
        </w:rPr>
        <w:t>1.项目背景</w:t>
      </w:r>
    </w:p>
    <w:p w14:paraId="3A5D94E0">
      <w:pPr>
        <w:ind w:firstLine="600" w:firstLineChars="200"/>
        <w:rPr>
          <w:rFonts w:eastAsia="仿宋_GB2312"/>
          <w:sz w:val="30"/>
          <w:szCs w:val="30"/>
        </w:rPr>
      </w:pPr>
      <w:r>
        <w:rPr>
          <w:rFonts w:hint="eastAsia" w:eastAsia="仿宋_GB2312"/>
          <w:sz w:val="30"/>
          <w:szCs w:val="30"/>
        </w:rPr>
        <w:t>根据关于印发《沙依巴克区社区工作经费管理使用办法（暂行）》的通知，该项目为基层政权和社区建设经费，科学设定目标、动态监控和结果应用，实现从"投入导向"到"效果导向"的转变，最终提升社区治理水平。通过项目的实施，保证每个社区日常工作的正常运行，为实现新疆“社会稳定和长治久安”的总目标做贡献。</w:t>
      </w:r>
    </w:p>
    <w:p w14:paraId="33251A4F">
      <w:pPr>
        <w:pStyle w:val="10"/>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p>
    <w:p w14:paraId="708349DE">
      <w:pPr>
        <w:spacing w:line="560" w:lineRule="exact"/>
        <w:ind w:firstLine="640" w:firstLineChars="200"/>
        <w:rPr>
          <w:rFonts w:eastAsia="仿宋_GB2312"/>
          <w:sz w:val="32"/>
          <w:szCs w:val="32"/>
        </w:rPr>
      </w:pPr>
      <w:r>
        <w:rPr>
          <w:rFonts w:eastAsia="仿宋_GB2312"/>
          <w:sz w:val="32"/>
          <w:szCs w:val="32"/>
        </w:rPr>
        <w:t>项目主要内容</w:t>
      </w:r>
      <w:r>
        <w:rPr>
          <w:rFonts w:eastAsia="仿宋_GB2312"/>
          <w:sz w:val="30"/>
          <w:szCs w:val="30"/>
        </w:rPr>
        <w:t>：</w:t>
      </w:r>
      <w:r>
        <w:rPr>
          <w:rFonts w:hint="eastAsia" w:eastAsia="仿宋_GB2312"/>
          <w:sz w:val="32"/>
          <w:szCs w:val="32"/>
        </w:rPr>
        <w:t>资金涉及对象社区为17个，保障社区正常运转，平均一个社区正常运转费用为53.52万元。提升了社区服务能力及辖区居民满意度。</w:t>
      </w:r>
      <w:r>
        <w:rPr>
          <w:rFonts w:eastAsia="仿宋_GB2312"/>
          <w:sz w:val="32"/>
          <w:szCs w:val="32"/>
        </w:rPr>
        <w:t xml:space="preserve"> </w:t>
      </w:r>
      <w:r>
        <w:rPr>
          <w:rFonts w:hint="eastAsia" w:eastAsia="仿宋_GB2312"/>
          <w:sz w:val="32"/>
          <w:szCs w:val="32"/>
        </w:rPr>
        <w:t>6个重点社区（仓房沟中路西社区、炉院街社区、炉院北街社区、茶街社区、天山建材社区、乌拉泊社区）。11个非重点社区（炉院东街社区、和悦社区、仓房沟南路社区、变电站社区、双龙社区、仓房沟北路社区、双和社区、和平桥社区、长征新村社区、珠江路南社区、明月社区）。</w:t>
      </w:r>
    </w:p>
    <w:p w14:paraId="102DD291">
      <w:pPr>
        <w:spacing w:line="560" w:lineRule="exact"/>
        <w:ind w:firstLine="640" w:firstLineChars="200"/>
      </w:pPr>
      <w:r>
        <w:rPr>
          <w:rFonts w:eastAsia="仿宋_GB2312"/>
          <w:sz w:val="32"/>
          <w:szCs w:val="32"/>
        </w:rPr>
        <w:t>项目实施情况：</w:t>
      </w:r>
      <w:r>
        <w:rPr>
          <w:rFonts w:hint="eastAsia" w:eastAsia="仿宋_GB2312"/>
          <w:sz w:val="32"/>
          <w:szCs w:val="32"/>
        </w:rPr>
        <w:t>资金涉及6个重点社区，11个非重点社区，保障辖区居民生活安全和提升幸福感，居民满意度较高。</w:t>
      </w:r>
      <w:r>
        <w:rPr>
          <w:rFonts w:eastAsia="仿宋_GB2312"/>
          <w:sz w:val="32"/>
          <w:szCs w:val="32"/>
        </w:rPr>
        <w:t xml:space="preserve"> </w:t>
      </w:r>
    </w:p>
    <w:p w14:paraId="48F3B71A">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48C443A6">
      <w:pPr>
        <w:spacing w:line="600" w:lineRule="exact"/>
        <w:ind w:firstLine="640" w:firstLineChars="200"/>
        <w:outlineLvl w:val="0"/>
        <w:rPr>
          <w:rFonts w:eastAsia="仿宋_GB2312"/>
          <w:sz w:val="32"/>
          <w:szCs w:val="32"/>
        </w:rPr>
      </w:pPr>
      <w:r>
        <w:rPr>
          <w:rFonts w:eastAsia="仿宋_GB2312"/>
          <w:sz w:val="32"/>
          <w:szCs w:val="32"/>
        </w:rPr>
        <w:t>（1）资金投入情况</w:t>
      </w:r>
    </w:p>
    <w:p w14:paraId="2C642407">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910</w:t>
      </w:r>
      <w:r>
        <w:rPr>
          <w:rFonts w:eastAsia="仿宋_GB2312"/>
          <w:sz w:val="32"/>
          <w:szCs w:val="32"/>
        </w:rPr>
        <w:t>万元，全年预算数</w:t>
      </w:r>
      <w:r>
        <w:rPr>
          <w:rFonts w:hint="eastAsia" w:eastAsia="仿宋_GB2312"/>
          <w:sz w:val="32"/>
          <w:szCs w:val="32"/>
        </w:rPr>
        <w:t>910</w:t>
      </w:r>
      <w:r>
        <w:rPr>
          <w:rFonts w:eastAsia="仿宋_GB2312"/>
          <w:sz w:val="32"/>
          <w:szCs w:val="32"/>
        </w:rPr>
        <w:t>万元，该项目资金已全部落实到位，资金来源为</w:t>
      </w:r>
      <w:r>
        <w:rPr>
          <w:rFonts w:hint="eastAsia" w:eastAsia="仿宋_GB2312"/>
          <w:sz w:val="32"/>
          <w:szCs w:val="32"/>
        </w:rPr>
        <w:t>财政拨款。</w:t>
      </w:r>
    </w:p>
    <w:p w14:paraId="18C6E987">
      <w:pPr>
        <w:spacing w:line="600" w:lineRule="exact"/>
        <w:ind w:firstLine="640" w:firstLineChars="200"/>
        <w:outlineLvl w:val="0"/>
        <w:rPr>
          <w:rFonts w:eastAsia="仿宋_GB2312"/>
          <w:sz w:val="32"/>
          <w:szCs w:val="32"/>
        </w:rPr>
      </w:pPr>
      <w:r>
        <w:rPr>
          <w:rFonts w:eastAsia="仿宋_GB2312"/>
          <w:sz w:val="32"/>
          <w:szCs w:val="32"/>
        </w:rPr>
        <w:t>（2）资金使用情况</w:t>
      </w:r>
    </w:p>
    <w:p w14:paraId="21F99060">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910</w:t>
      </w:r>
      <w:r>
        <w:rPr>
          <w:rFonts w:eastAsia="仿宋_GB2312"/>
          <w:sz w:val="32"/>
          <w:szCs w:val="32"/>
        </w:rPr>
        <w:t>万元，全年预算数</w:t>
      </w:r>
      <w:r>
        <w:rPr>
          <w:rFonts w:hint="eastAsia" w:eastAsia="仿宋_GB2312"/>
          <w:sz w:val="32"/>
          <w:szCs w:val="32"/>
        </w:rPr>
        <w:t>910</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910</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办公费693.51万元，水费5.1万元，电费22.75万元，邮电费58.23万元，取暖费20.32万元，物业管理费1.11万元，委托业务费22.69万元，其他交通费用45.19万元，办公设备购置41.12万元。</w:t>
      </w:r>
    </w:p>
    <w:p w14:paraId="7E246C6B">
      <w:pPr>
        <w:spacing w:line="560" w:lineRule="exact"/>
        <w:ind w:firstLine="643" w:firstLineChars="200"/>
        <w:rPr>
          <w:rFonts w:eastAsia="楷体_GB2312"/>
          <w:b/>
          <w:bCs/>
          <w:sz w:val="32"/>
          <w:szCs w:val="32"/>
        </w:rPr>
      </w:pPr>
      <w:r>
        <w:rPr>
          <w:rFonts w:eastAsia="楷体_GB2312"/>
          <w:b/>
          <w:bCs/>
          <w:sz w:val="32"/>
          <w:szCs w:val="32"/>
        </w:rPr>
        <w:t>（二）项目绩效目标</w:t>
      </w:r>
    </w:p>
    <w:p w14:paraId="566031E4">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4366DCC2">
      <w:pPr>
        <w:ind w:firstLine="640" w:firstLineChars="200"/>
        <w:rPr>
          <w:rFonts w:eastAsia="仿宋_GB2312"/>
          <w:sz w:val="32"/>
          <w:szCs w:val="32"/>
        </w:rPr>
      </w:pPr>
      <w:r>
        <w:rPr>
          <w:rFonts w:hint="eastAsia" w:eastAsia="仿宋_GB2312"/>
          <w:sz w:val="32"/>
          <w:szCs w:val="32"/>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p w14:paraId="30A4A2F4">
      <w:pPr>
        <w:spacing w:line="560" w:lineRule="exact"/>
        <w:ind w:firstLine="640" w:firstLineChars="200"/>
        <w:rPr>
          <w:rFonts w:eastAsia="仿宋_GB2312"/>
          <w:sz w:val="32"/>
          <w:szCs w:val="32"/>
        </w:rPr>
      </w:pPr>
      <w:r>
        <w:rPr>
          <w:rFonts w:eastAsia="仿宋_GB2312"/>
          <w:sz w:val="32"/>
          <w:szCs w:val="32"/>
        </w:rPr>
        <w:t>2</w:t>
      </w:r>
      <w:r>
        <w:rPr>
          <w:rFonts w:eastAsia="仿宋_GB2312"/>
          <w:b/>
          <w:bCs/>
          <w:sz w:val="32"/>
          <w:szCs w:val="32"/>
        </w:rPr>
        <w:t>.</w:t>
      </w:r>
      <w:r>
        <w:rPr>
          <w:rFonts w:eastAsia="仿宋_GB2312"/>
          <w:sz w:val="32"/>
          <w:szCs w:val="32"/>
        </w:rPr>
        <w:t>阶段性目标</w:t>
      </w:r>
    </w:p>
    <w:p w14:paraId="60A94D73">
      <w:pPr>
        <w:pStyle w:val="3"/>
        <w:ind w:firstLine="640" w:firstLineChars="200"/>
        <w:rPr>
          <w:rFonts w:eastAsia="仿宋_GB2312"/>
          <w:sz w:val="32"/>
          <w:szCs w:val="32"/>
        </w:rPr>
      </w:pPr>
      <w:r>
        <w:rPr>
          <w:rFonts w:hint="eastAsia" w:eastAsia="仿宋_GB2312"/>
          <w:sz w:val="32"/>
          <w:szCs w:val="32"/>
        </w:rPr>
        <w:t>在2024年完成了对17个社区的经费支出，其中一般社区11个，社区经费50万；重点社区 6个，社区经费 60 万元，2024年6月底完成社区基本运转，服务辖区居民，开展党建，城市建设等工作，2024年12月底完成服务保障民生，推进平安建设等工作，全部工作预计在2024年12月完成。</w:t>
      </w:r>
    </w:p>
    <w:p w14:paraId="6D7DCAEA">
      <w:pPr>
        <w:spacing w:line="560" w:lineRule="exact"/>
        <w:ind w:firstLine="640" w:firstLineChars="200"/>
        <w:rPr>
          <w:rFonts w:eastAsia="黑体"/>
          <w:sz w:val="32"/>
          <w:szCs w:val="32"/>
        </w:rPr>
      </w:pPr>
      <w:r>
        <w:rPr>
          <w:rFonts w:eastAsia="黑体"/>
          <w:sz w:val="32"/>
          <w:szCs w:val="32"/>
        </w:rPr>
        <w:t>二、绩效评价工作开展情况</w:t>
      </w:r>
    </w:p>
    <w:p w14:paraId="0DDE5278">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250E88F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39A8DDCB">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w:t>
      </w:r>
      <w:r>
        <w:rPr>
          <w:rFonts w:hint="eastAsia" w:eastAsia="仿宋_GB2312"/>
          <w:sz w:val="32"/>
          <w:szCs w:val="32"/>
        </w:rPr>
        <w:t>地</w:t>
      </w:r>
      <w:r>
        <w:rPr>
          <w:rFonts w:eastAsia="仿宋_GB2312"/>
          <w:sz w:val="32"/>
          <w:szCs w:val="32"/>
        </w:rPr>
        <w:t>梳理与评估。</w:t>
      </w:r>
    </w:p>
    <w:p w14:paraId="1E5196D4">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等多个维度，力求全方位反映项目的绩效状况。同时，对于每个指标的评价标准和数据来源均进行了明确说明，确保评价结果的客观性和可追溯性。</w:t>
      </w:r>
    </w:p>
    <w:p w14:paraId="3B1413F0">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w:t>
      </w:r>
      <w:r>
        <w:rPr>
          <w:rFonts w:hint="eastAsia" w:eastAsia="仿宋_GB2312"/>
          <w:sz w:val="32"/>
          <w:szCs w:val="32"/>
        </w:rPr>
        <w:t>地</w:t>
      </w:r>
      <w:r>
        <w:rPr>
          <w:rFonts w:eastAsia="仿宋_GB2312"/>
          <w:sz w:val="32"/>
          <w:szCs w:val="32"/>
        </w:rPr>
        <w:t>处理和说明，保证了评价数据的真实性和有效性。</w:t>
      </w:r>
    </w:p>
    <w:p w14:paraId="0C4DBEA0">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D96AAD6">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F77DD94">
      <w:pPr>
        <w:spacing w:line="560" w:lineRule="exact"/>
        <w:ind w:firstLine="640" w:firstLineChars="200"/>
        <w:rPr>
          <w:rFonts w:eastAsia="仿宋_GB2312"/>
          <w:sz w:val="32"/>
          <w:szCs w:val="32"/>
        </w:rPr>
      </w:pPr>
      <w:r>
        <w:rPr>
          <w:rFonts w:eastAsia="仿宋_GB2312"/>
          <w:sz w:val="32"/>
          <w:szCs w:val="32"/>
        </w:rPr>
        <w:t>2.绩效评价的目的</w:t>
      </w:r>
    </w:p>
    <w:p w14:paraId="647C65E2">
      <w:pPr>
        <w:spacing w:line="560" w:lineRule="exact"/>
        <w:ind w:firstLine="640" w:firstLineChars="200"/>
        <w:rPr>
          <w:rFonts w:eastAsia="仿宋_GB2312"/>
          <w:sz w:val="32"/>
          <w:szCs w:val="32"/>
        </w:rPr>
      </w:pPr>
      <w:r>
        <w:rPr>
          <w:rFonts w:eastAsia="仿宋_GB2312"/>
          <w:sz w:val="32"/>
          <w:szCs w:val="32"/>
        </w:rPr>
        <w:t>（1）评估项目实施效果</w:t>
      </w:r>
    </w:p>
    <w:p w14:paraId="135D7754">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w:t>
      </w:r>
      <w:r>
        <w:rPr>
          <w:rFonts w:hint="eastAsia" w:eastAsia="仿宋_GB2312"/>
          <w:sz w:val="32"/>
          <w:szCs w:val="32"/>
        </w:rPr>
        <w:t>社会</w:t>
      </w:r>
      <w:r>
        <w:rPr>
          <w:rFonts w:eastAsia="仿宋_GB2312"/>
          <w:sz w:val="32"/>
          <w:szCs w:val="32"/>
        </w:rPr>
        <w:t>效益等多维度指标，为项目后续的改进与优化提供科学依据。</w:t>
      </w:r>
    </w:p>
    <w:p w14:paraId="36444A1B">
      <w:pPr>
        <w:spacing w:line="560" w:lineRule="exact"/>
        <w:ind w:firstLine="640" w:firstLineChars="200"/>
        <w:rPr>
          <w:rFonts w:eastAsia="仿宋_GB2312"/>
          <w:sz w:val="32"/>
          <w:szCs w:val="32"/>
        </w:rPr>
      </w:pPr>
      <w:r>
        <w:rPr>
          <w:rFonts w:eastAsia="仿宋_GB2312"/>
          <w:sz w:val="32"/>
          <w:szCs w:val="32"/>
        </w:rPr>
        <w:t>（2）提升资源利用效率</w:t>
      </w:r>
    </w:p>
    <w:p w14:paraId="74DBB73C">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C11794D">
      <w:pPr>
        <w:spacing w:line="560" w:lineRule="exact"/>
        <w:ind w:firstLine="640" w:firstLineChars="200"/>
        <w:rPr>
          <w:rFonts w:eastAsia="仿宋_GB2312"/>
          <w:sz w:val="32"/>
          <w:szCs w:val="32"/>
        </w:rPr>
      </w:pPr>
      <w:r>
        <w:rPr>
          <w:rFonts w:eastAsia="仿宋_GB2312"/>
          <w:sz w:val="32"/>
          <w:szCs w:val="32"/>
        </w:rPr>
        <w:t>（3）强化项目管理责任</w:t>
      </w:r>
    </w:p>
    <w:p w14:paraId="3567463B">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55FE154E">
      <w:pPr>
        <w:spacing w:line="560" w:lineRule="exact"/>
        <w:ind w:firstLine="640" w:firstLineChars="200"/>
        <w:rPr>
          <w:rFonts w:eastAsia="仿宋_GB2312"/>
          <w:sz w:val="32"/>
          <w:szCs w:val="32"/>
        </w:rPr>
      </w:pPr>
      <w:r>
        <w:rPr>
          <w:rFonts w:eastAsia="仿宋_GB2312"/>
          <w:sz w:val="32"/>
          <w:szCs w:val="32"/>
        </w:rPr>
        <w:t>（4）为决策提供支持</w:t>
      </w:r>
    </w:p>
    <w:p w14:paraId="0F84434E">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6016C560">
      <w:pPr>
        <w:spacing w:line="560" w:lineRule="exact"/>
        <w:ind w:firstLine="640" w:firstLineChars="200"/>
        <w:rPr>
          <w:rFonts w:eastAsia="仿宋_GB2312"/>
          <w:sz w:val="32"/>
          <w:szCs w:val="32"/>
        </w:rPr>
      </w:pPr>
      <w:r>
        <w:rPr>
          <w:rFonts w:eastAsia="仿宋_GB2312"/>
          <w:sz w:val="32"/>
          <w:szCs w:val="32"/>
        </w:rPr>
        <w:t>（5）促进项目持续改进</w:t>
      </w:r>
    </w:p>
    <w:p w14:paraId="649EDCFF">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3D911CC5">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20A3218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2D4A816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社区工作经费（6重点，11非重点）</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乌鲁木齐市沙依巴克区炉院街片区管理委员会</w:t>
      </w:r>
      <w:r>
        <w:rPr>
          <w:rFonts w:ascii="Times New Roman" w:hAnsi="Times New Roman" w:eastAsia="仿宋_GB2312"/>
          <w:b w:val="0"/>
          <w:bCs w:val="0"/>
        </w:rPr>
        <w:t>负责实施，旨在</w:t>
      </w:r>
      <w:r>
        <w:rPr>
          <w:rFonts w:hint="eastAsia" w:ascii="Times New Roman" w:hAnsi="Times New Roman" w:eastAsia="仿宋_GB2312"/>
          <w:b w:val="0"/>
          <w:bCs w:val="0"/>
        </w:rPr>
        <w:t>提升社区服务能力</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910</w:t>
      </w:r>
      <w:r>
        <w:rPr>
          <w:rFonts w:ascii="Times New Roman" w:hAnsi="Times New Roman" w:eastAsia="仿宋_GB2312"/>
          <w:b w:val="0"/>
          <w:bCs w:val="0"/>
        </w:rPr>
        <w:t>万元。</w:t>
      </w:r>
    </w:p>
    <w:p w14:paraId="1E523358">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528866EC">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55E14F2A">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3FA6D985">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7EF3A64B">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643F896C">
      <w:pPr>
        <w:pStyle w:val="10"/>
        <w:widowControl w:val="0"/>
        <w:numPr>
          <w:ilvl w:val="0"/>
          <w:numId w:val="1"/>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社会影响：考察项目对社会的综合影响。</w:t>
      </w:r>
    </w:p>
    <w:p w14:paraId="1E0CC61F">
      <w:pPr>
        <w:spacing w:line="560" w:lineRule="exact"/>
        <w:ind w:firstLine="643" w:firstLineChars="200"/>
      </w:pPr>
      <w:r>
        <w:rPr>
          <w:rFonts w:eastAsia="楷体_GB2312"/>
          <w:b/>
          <w:bCs/>
          <w:sz w:val="32"/>
          <w:szCs w:val="32"/>
        </w:rPr>
        <w:t>（二）绩效评价原则、评价指标体系（详情见表1）、评价方法、评价标准。</w:t>
      </w:r>
    </w:p>
    <w:p w14:paraId="6B195785">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463F755D">
      <w:pPr>
        <w:spacing w:line="560" w:lineRule="exact"/>
        <w:ind w:firstLine="640" w:firstLineChars="200"/>
        <w:rPr>
          <w:rFonts w:eastAsia="仿宋_GB2312"/>
          <w:sz w:val="32"/>
          <w:szCs w:val="32"/>
        </w:rPr>
      </w:pPr>
      <w:r>
        <w:rPr>
          <w:rFonts w:eastAsia="仿宋_GB2312"/>
          <w:sz w:val="32"/>
          <w:szCs w:val="32"/>
        </w:rPr>
        <w:t>本次项目绩效评价遵循以下基本原则：</w:t>
      </w:r>
    </w:p>
    <w:p w14:paraId="0B8647EE">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w:t>
      </w:r>
      <w:r>
        <w:rPr>
          <w:rFonts w:hint="eastAsia" w:ascii="Times New Roman" w:hAnsi="Times New Roman" w:eastAsia="仿宋_GB2312"/>
          <w:b w:val="0"/>
          <w:bCs w:val="0"/>
        </w:rPr>
        <w:t>地</w:t>
      </w:r>
      <w:r>
        <w:rPr>
          <w:rFonts w:ascii="Times New Roman" w:hAnsi="Times New Roman" w:eastAsia="仿宋_GB2312"/>
          <w:b w:val="0"/>
          <w:bCs w:val="0"/>
        </w:rPr>
        <w:t>反映。</w:t>
      </w:r>
    </w:p>
    <w:p w14:paraId="39823274">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（2）统筹兼顾。单位自评、部门评价和财政评价应职责明确，各有侧重，相互衔接。单位自评应由项目单位自主实施，即“谁支出、谁自评”。部门评价和财政评价应在单位自评的基础上开展。</w:t>
      </w:r>
    </w:p>
    <w:p w14:paraId="52D6606F">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（3）激励约束。绩效评价结果应与预算安排、政策调整、改进管理实质性挂钩，体现奖优罚劣和激励相容导向，有效要安排、低效要压减、无效要问责。</w:t>
      </w:r>
    </w:p>
    <w:p w14:paraId="053E696E">
      <w:pPr>
        <w:pStyle w:val="1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（4）公开透明。绩效评价结果应依法依规公开，并自觉接受社会监督。</w:t>
      </w:r>
    </w:p>
    <w:p w14:paraId="465F520A">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51DB227F">
      <w:pPr>
        <w:spacing w:line="560" w:lineRule="exact"/>
        <w:ind w:firstLine="708" w:firstLineChars="200"/>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5EC74C4F">
      <w:pPr>
        <w:spacing w:line="560" w:lineRule="exact"/>
        <w:ind w:firstLine="708" w:firstLineChars="200"/>
        <w:rPr>
          <w:rFonts w:eastAsia="仿宋_GB2312"/>
          <w:spacing w:val="17"/>
          <w:sz w:val="32"/>
          <w:szCs w:val="32"/>
        </w:rPr>
      </w:pPr>
      <w:r>
        <w:rPr>
          <w:rFonts w:eastAsia="仿宋_GB2312"/>
          <w:spacing w:val="17"/>
          <w:sz w:val="32"/>
          <w:szCs w:val="32"/>
        </w:rPr>
        <w:t>（1）确定评价指标</w:t>
      </w:r>
    </w:p>
    <w:p w14:paraId="1EC75B4D">
      <w:pPr>
        <w:spacing w:line="560" w:lineRule="exact"/>
        <w:ind w:firstLine="708" w:firstLineChars="200"/>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1066253">
      <w:pPr>
        <w:spacing w:line="560" w:lineRule="exact"/>
        <w:ind w:firstLine="708" w:firstLineChars="200"/>
        <w:rPr>
          <w:rFonts w:eastAsia="仿宋_GB2312"/>
          <w:spacing w:val="17"/>
          <w:sz w:val="32"/>
          <w:szCs w:val="32"/>
        </w:rPr>
      </w:pPr>
      <w:r>
        <w:rPr>
          <w:rFonts w:eastAsia="仿宋_GB2312"/>
          <w:spacing w:val="17"/>
          <w:sz w:val="32"/>
          <w:szCs w:val="32"/>
        </w:rPr>
        <w:t>（2）确定权重</w:t>
      </w:r>
    </w:p>
    <w:p w14:paraId="4CF703B0">
      <w:pPr>
        <w:spacing w:line="560" w:lineRule="exact"/>
        <w:ind w:firstLine="708" w:firstLineChars="200"/>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确定各个指标相对于项目总体绩效的权重分值。在绩效评价指标体系中，项目决策权重为20分，项目过程权重为20分，项目产出权重为40分，项目效益权重为20分。</w:t>
      </w:r>
    </w:p>
    <w:p w14:paraId="3B55423E">
      <w:pPr>
        <w:spacing w:line="560" w:lineRule="exact"/>
        <w:ind w:firstLine="708" w:firstLineChars="200"/>
        <w:rPr>
          <w:rFonts w:eastAsia="仿宋_GB2312"/>
          <w:spacing w:val="17"/>
          <w:sz w:val="32"/>
          <w:szCs w:val="32"/>
        </w:rPr>
      </w:pPr>
      <w:r>
        <w:rPr>
          <w:rFonts w:eastAsia="仿宋_GB2312"/>
          <w:spacing w:val="17"/>
          <w:sz w:val="32"/>
          <w:szCs w:val="32"/>
        </w:rPr>
        <w:t>（3）确定指标标准值</w:t>
      </w:r>
    </w:p>
    <w:p w14:paraId="50DB0D0E">
      <w:pPr>
        <w:spacing w:line="560" w:lineRule="exact"/>
        <w:ind w:firstLine="708" w:firstLineChars="200"/>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7E90A554">
      <w:pPr>
        <w:pStyle w:val="10"/>
        <w:spacing w:before="0" w:after="0" w:line="560" w:lineRule="exact"/>
        <w:ind w:firstLine="708" w:firstLineChars="200"/>
        <w:jc w:val="both"/>
        <w:rPr>
          <w:rFonts w:ascii="Times New Roman" w:hAnsi="Times New Roman" w:eastAsia="仿宋_GB2312"/>
          <w:b w:val="0"/>
          <w:bCs w:val="0"/>
          <w:spacing w:val="17"/>
          <w:kern w:val="2"/>
        </w:rPr>
      </w:pPr>
      <w:r>
        <w:rPr>
          <w:rFonts w:ascii="Times New Roman" w:hAnsi="Times New Roman" w:eastAsia="仿宋_GB2312"/>
          <w:b w:val="0"/>
          <w:bCs w:val="0"/>
          <w:spacing w:val="17"/>
          <w:kern w:val="2"/>
        </w:rPr>
        <w:t>绩效评价总分值100分，根据综合评分结果，90（含）-100分为优、80（含）-90分为良、60（含）-80分为中、60分以下为差。</w:t>
      </w:r>
    </w:p>
    <w:p w14:paraId="0E238027">
      <w:pPr>
        <w:pStyle w:val="10"/>
        <w:widowControl w:val="0"/>
        <w:spacing w:before="0" w:after="0" w:line="560" w:lineRule="exact"/>
        <w:ind w:firstLine="708" w:firstLineChars="200"/>
        <w:jc w:val="both"/>
        <w:outlineLvl w:val="9"/>
        <w:rPr>
          <w:rFonts w:ascii="Times New Roman" w:hAnsi="Times New Roman" w:eastAsia="仿宋_GB2312"/>
          <w:b w:val="0"/>
          <w:bCs w:val="0"/>
          <w:spacing w:val="17"/>
        </w:rPr>
      </w:pPr>
      <w:r>
        <w:rPr>
          <w:rFonts w:ascii="Times New Roman" w:hAnsi="Times New Roman" w:eastAsia="仿宋_GB2312"/>
          <w:b w:val="0"/>
          <w:bCs w:val="0"/>
          <w:spacing w:val="17"/>
        </w:rPr>
        <w:t>具体评价指标体系详情见附件1</w:t>
      </w:r>
    </w:p>
    <w:p w14:paraId="02F81CBB">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0372ED22">
      <w:pPr>
        <w:spacing w:line="560" w:lineRule="exact"/>
        <w:ind w:firstLine="708" w:firstLineChars="200"/>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6AFFD17F">
      <w:pPr>
        <w:spacing w:line="560" w:lineRule="exact"/>
        <w:ind w:firstLine="708" w:firstLineChars="200"/>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406F7A9E">
      <w:pPr>
        <w:spacing w:line="560" w:lineRule="exact"/>
        <w:ind w:firstLine="708" w:firstLineChars="200"/>
        <w:rPr>
          <w:rFonts w:eastAsia="仿宋_GB2312"/>
          <w:spacing w:val="17"/>
          <w:sz w:val="32"/>
          <w:szCs w:val="32"/>
        </w:rPr>
      </w:pPr>
      <w:r>
        <w:rPr>
          <w:rFonts w:eastAsia="仿宋_GB2312"/>
          <w:spacing w:val="17"/>
          <w:sz w:val="32"/>
          <w:szCs w:val="32"/>
        </w:rPr>
        <w:t>（</w:t>
      </w:r>
      <w:r>
        <w:rPr>
          <w:rFonts w:hint="eastAsia" w:eastAsia="仿宋_GB2312"/>
          <w:spacing w:val="17"/>
          <w:sz w:val="32"/>
          <w:szCs w:val="32"/>
        </w:rPr>
        <w:t>一</w:t>
      </w:r>
      <w:r>
        <w:rPr>
          <w:rFonts w:eastAsia="仿宋_GB2312"/>
          <w:spacing w:val="17"/>
          <w:sz w:val="32"/>
          <w:szCs w:val="32"/>
        </w:rPr>
        <w:t>）公众评判法。是指通过专家评估、公众问卷及抽样调查等方式进行评判的方法。</w:t>
      </w:r>
      <w:r>
        <w:rPr>
          <w:rFonts w:hint="eastAsia" w:eastAsia="仿宋_GB2312"/>
          <w:spacing w:val="17"/>
          <w:sz w:val="32"/>
          <w:szCs w:val="32"/>
        </w:rPr>
        <w:t>选用此方法是因为公众是服务的直接受益者，其满意度是衡量绩效的核心指标。问卷能直接收集公众对服务效率、质量、公平性的反馈，体现“以人民为中心”的评价导向。</w:t>
      </w:r>
    </w:p>
    <w:p w14:paraId="0FBFE4DB">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4FBB56C9">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计划、历史</w:t>
      </w:r>
      <w:r>
        <w:rPr>
          <w:rFonts w:ascii="Times New Roman" w:hAnsi="Times New Roman" w:eastAsia="仿宋_GB2312"/>
          <w:b w:val="0"/>
          <w:bCs w:val="0"/>
        </w:rPr>
        <w:t>标准。</w:t>
      </w:r>
    </w:p>
    <w:p w14:paraId="4FE16120">
      <w:pPr>
        <w:pStyle w:val="10"/>
        <w:numPr>
          <w:ilvl w:val="0"/>
          <w:numId w:val="2"/>
        </w:numPr>
        <w:spacing w:before="0" w:after="0" w:line="560" w:lineRule="exact"/>
        <w:ind w:firstLine="711" w:firstLineChars="200"/>
        <w:jc w:val="both"/>
        <w:rPr>
          <w:rFonts w:ascii="Times New Roman" w:hAnsi="Times New Roman" w:eastAsia="楷体"/>
          <w:spacing w:val="17"/>
        </w:rPr>
      </w:pPr>
      <w:r>
        <w:rPr>
          <w:rFonts w:ascii="Times New Roman" w:hAnsi="Times New Roman" w:eastAsia="楷体"/>
          <w:spacing w:val="17"/>
        </w:rPr>
        <w:t>绩效评价工作过程</w:t>
      </w:r>
    </w:p>
    <w:p w14:paraId="1457E6E3">
      <w:pPr>
        <w:spacing w:line="560" w:lineRule="exact"/>
        <w:ind w:firstLine="640" w:firstLineChars="200"/>
        <w:rPr>
          <w:rFonts w:eastAsia="仿宋_GB2312"/>
          <w:sz w:val="32"/>
          <w:szCs w:val="32"/>
        </w:rPr>
      </w:pPr>
      <w:r>
        <w:rPr>
          <w:rFonts w:eastAsia="仿宋_GB2312"/>
          <w:sz w:val="32"/>
          <w:szCs w:val="32"/>
        </w:rPr>
        <w:t>（1）前期准备与规划</w:t>
      </w:r>
    </w:p>
    <w:p w14:paraId="0B415947">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w:t>
      </w:r>
      <w:r>
        <w:rPr>
          <w:rFonts w:hint="eastAsia" w:eastAsia="仿宋_GB2312"/>
          <w:sz w:val="32"/>
          <w:szCs w:val="32"/>
        </w:rPr>
        <w:t>业务科室</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650A9EDB">
      <w:pPr>
        <w:spacing w:line="560" w:lineRule="exact"/>
        <w:ind w:firstLine="640" w:firstLineChars="200"/>
        <w:rPr>
          <w:rFonts w:eastAsia="仿宋_GB2312"/>
          <w:sz w:val="32"/>
          <w:szCs w:val="32"/>
        </w:rPr>
      </w:pPr>
      <w:r>
        <w:rPr>
          <w:rFonts w:eastAsia="仿宋_GB2312"/>
          <w:sz w:val="32"/>
          <w:szCs w:val="32"/>
        </w:rPr>
        <w:t>（2）指标体系构建</w:t>
      </w:r>
    </w:p>
    <w:p w14:paraId="637D1BE3">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51A3B59F">
      <w:pPr>
        <w:spacing w:line="560" w:lineRule="exact"/>
        <w:ind w:firstLine="640" w:firstLineChars="200"/>
        <w:rPr>
          <w:rFonts w:eastAsia="仿宋_GB2312"/>
          <w:sz w:val="32"/>
          <w:szCs w:val="32"/>
        </w:rPr>
      </w:pPr>
      <w:r>
        <w:rPr>
          <w:rFonts w:eastAsia="仿宋_GB2312"/>
          <w:sz w:val="32"/>
          <w:szCs w:val="32"/>
        </w:rPr>
        <w:t>（3）数据收集与整理</w:t>
      </w:r>
    </w:p>
    <w:p w14:paraId="107B6CA8">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w:t>
      </w:r>
      <w:r>
        <w:rPr>
          <w:rFonts w:hint="eastAsia" w:eastAsia="仿宋_GB2312"/>
          <w:sz w:val="32"/>
          <w:szCs w:val="32"/>
        </w:rPr>
        <w:t>地</w:t>
      </w:r>
      <w:r>
        <w:rPr>
          <w:rFonts w:eastAsia="仿宋_GB2312"/>
          <w:sz w:val="32"/>
          <w:szCs w:val="32"/>
        </w:rPr>
        <w:t>处理和补充。随后，对收集到的数据进行了系统的整理与分类，为后续的数据分析提供了有力支持。</w:t>
      </w:r>
    </w:p>
    <w:p w14:paraId="6A041EFA">
      <w:pPr>
        <w:spacing w:line="560" w:lineRule="exact"/>
        <w:ind w:firstLine="640" w:firstLineChars="200"/>
        <w:rPr>
          <w:rFonts w:eastAsia="仿宋_GB2312"/>
          <w:sz w:val="32"/>
          <w:szCs w:val="32"/>
        </w:rPr>
      </w:pPr>
      <w:r>
        <w:rPr>
          <w:rFonts w:eastAsia="仿宋_GB2312"/>
          <w:sz w:val="32"/>
          <w:szCs w:val="32"/>
        </w:rPr>
        <w:t>（4）数据分析与评估</w:t>
      </w:r>
    </w:p>
    <w:p w14:paraId="3B2554A2">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222C8F57">
      <w:pPr>
        <w:spacing w:line="560" w:lineRule="exact"/>
        <w:ind w:firstLine="640" w:firstLineChars="200"/>
        <w:rPr>
          <w:rFonts w:eastAsia="仿宋_GB2312"/>
          <w:sz w:val="32"/>
          <w:szCs w:val="32"/>
        </w:rPr>
      </w:pPr>
      <w:r>
        <w:rPr>
          <w:rFonts w:eastAsia="仿宋_GB2312"/>
          <w:sz w:val="32"/>
          <w:szCs w:val="32"/>
        </w:rPr>
        <w:t>（5）报告撰写与反馈</w:t>
      </w:r>
    </w:p>
    <w:p w14:paraId="2283B0D5">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3123A602">
      <w:pPr>
        <w:spacing w:line="560" w:lineRule="exact"/>
        <w:ind w:firstLine="640" w:firstLineChars="200"/>
        <w:rPr>
          <w:rFonts w:eastAsia="仿宋_GB2312"/>
          <w:sz w:val="32"/>
          <w:szCs w:val="32"/>
        </w:rPr>
      </w:pPr>
      <w:r>
        <w:rPr>
          <w:rFonts w:eastAsia="仿宋_GB2312"/>
          <w:sz w:val="32"/>
          <w:szCs w:val="32"/>
        </w:rPr>
        <w:t>（6）后续跟踪与改进</w:t>
      </w:r>
    </w:p>
    <w:p w14:paraId="3FA47145">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1117EC89">
      <w:pPr>
        <w:numPr>
          <w:ilvl w:val="0"/>
          <w:numId w:val="3"/>
        </w:numPr>
        <w:spacing w:line="560" w:lineRule="exact"/>
        <w:ind w:firstLine="640" w:firstLineChars="200"/>
        <w:rPr>
          <w:rFonts w:eastAsia="黑体"/>
          <w:sz w:val="32"/>
          <w:szCs w:val="32"/>
        </w:rPr>
      </w:pPr>
      <w:r>
        <w:rPr>
          <w:rFonts w:eastAsia="黑体"/>
          <w:sz w:val="32"/>
          <w:szCs w:val="32"/>
        </w:rPr>
        <w:t>综合评价情况及评价结论（附相关评分表）</w:t>
      </w:r>
    </w:p>
    <w:p w14:paraId="5DDA0182">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0F78CBD8">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社区工作经费（6重点，11非重点）</w:t>
      </w:r>
      <w:r>
        <w:rPr>
          <w:rFonts w:eastAsia="仿宋_GB2312"/>
          <w:sz w:val="32"/>
          <w:szCs w:val="32"/>
        </w:rPr>
        <w:t>在</w:t>
      </w:r>
      <w:r>
        <w:rPr>
          <w:rFonts w:hint="eastAsia" w:eastAsia="仿宋_GB2312"/>
          <w:sz w:val="32"/>
          <w:szCs w:val="32"/>
        </w:rPr>
        <w:t>经费支出合理性、所辖资金使用对象社区数量</w:t>
      </w:r>
      <w:r>
        <w:rPr>
          <w:rFonts w:eastAsia="仿宋_GB2312"/>
          <w:sz w:val="32"/>
          <w:szCs w:val="32"/>
        </w:rPr>
        <w:t>等方面表现出色，达到了预期的标准与要求。同时，项目也在</w:t>
      </w:r>
      <w:r>
        <w:rPr>
          <w:rFonts w:hint="eastAsia" w:eastAsia="仿宋_GB2312"/>
          <w:sz w:val="32"/>
          <w:szCs w:val="32"/>
        </w:rPr>
        <w:t>提供充足的社区经费，用以保障辖区居民生活安全和提升幸福感</w:t>
      </w:r>
      <w:r>
        <w:rPr>
          <w:rFonts w:eastAsia="仿宋_GB2312"/>
          <w:sz w:val="32"/>
          <w:szCs w:val="32"/>
        </w:rPr>
        <w:t>取得了显著的成效，如</w:t>
      </w:r>
      <w:r>
        <w:rPr>
          <w:rFonts w:hint="eastAsia" w:eastAsia="仿宋_GB2312"/>
          <w:sz w:val="32"/>
          <w:szCs w:val="32"/>
        </w:rPr>
        <w:t>提升社区服务能力</w:t>
      </w:r>
      <w:r>
        <w:rPr>
          <w:rFonts w:eastAsia="仿宋_GB2312"/>
          <w:sz w:val="32"/>
          <w:szCs w:val="32"/>
        </w:rPr>
        <w:t>。</w:t>
      </w:r>
    </w:p>
    <w:p w14:paraId="2830DB5C">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乌鲁木齐市沙依巴克区炉院街片区管理委员会</w:t>
      </w:r>
      <w:r>
        <w:rPr>
          <w:rFonts w:eastAsia="仿宋_GB2312"/>
          <w:sz w:val="32"/>
          <w:szCs w:val="32"/>
        </w:rPr>
        <w:t>通过有效的规划、组织与协调，项目得以顺利实施，并在预算与时间上保持了良好的控制。</w:t>
      </w:r>
    </w:p>
    <w:p w14:paraId="755C339B">
      <w:pPr>
        <w:pStyle w:val="9"/>
        <w:widowControl/>
        <w:spacing w:beforeAutospacing="0" w:afterAutospacing="0" w:line="560" w:lineRule="exact"/>
        <w:ind w:firstLine="640" w:firstLineChars="200"/>
        <w:rPr>
          <w:rFonts w:eastAsia="仿宋_GB2312"/>
          <w:sz w:val="32"/>
          <w:szCs w:val="32"/>
        </w:rPr>
      </w:pPr>
      <w:r>
        <w:rPr>
          <w:rFonts w:eastAsia="仿宋_GB2312"/>
          <w:sz w:val="32"/>
          <w:szCs w:val="32"/>
        </w:rPr>
        <w:t>从项目效益的角度来看，本项目不仅实现了预期的社会效益方面产生了积极的影响。具体而言，</w:t>
      </w:r>
      <w:r>
        <w:rPr>
          <w:rFonts w:hint="eastAsia" w:eastAsia="仿宋_GB2312"/>
          <w:sz w:val="32"/>
          <w:szCs w:val="32"/>
        </w:rPr>
        <w:t>提供充足的社区经费，用以保障辖区居民生活安全和提升幸福感</w:t>
      </w:r>
      <w:r>
        <w:rPr>
          <w:rFonts w:eastAsia="仿宋_GB2312"/>
          <w:sz w:val="32"/>
          <w:szCs w:val="32"/>
        </w:rPr>
        <w:t>、</w:t>
      </w:r>
      <w:r>
        <w:rPr>
          <w:rFonts w:hint="eastAsia" w:eastAsia="仿宋_GB2312"/>
          <w:sz w:val="32"/>
          <w:szCs w:val="32"/>
        </w:rPr>
        <w:t>提升社区服务能力</w:t>
      </w:r>
      <w:r>
        <w:rPr>
          <w:rFonts w:eastAsia="仿宋_GB2312"/>
          <w:sz w:val="32"/>
          <w:szCs w:val="32"/>
        </w:rPr>
        <w:t>等方面的提升，为项目的利益相关者带来了实实在在的利益。</w:t>
      </w:r>
    </w:p>
    <w:p w14:paraId="6D34C3AE">
      <w:pPr>
        <w:pStyle w:val="9"/>
        <w:widowControl/>
        <w:spacing w:beforeAutospacing="0" w:afterAutospacing="0" w:line="560" w:lineRule="exact"/>
        <w:ind w:firstLine="640" w:firstLineChars="200"/>
      </w:pPr>
      <w:r>
        <w:rPr>
          <w:rFonts w:eastAsia="仿宋_GB2312"/>
          <w:sz w:val="32"/>
          <w:szCs w:val="32"/>
        </w:rPr>
        <w:t>综上所述，</w:t>
      </w:r>
      <w:r>
        <w:rPr>
          <w:rFonts w:hint="eastAsia" w:eastAsia="仿宋_GB2312"/>
          <w:sz w:val="32"/>
          <w:szCs w:val="32"/>
        </w:rPr>
        <w:t>社区工作经费（6重点，11非重点）</w:t>
      </w:r>
      <w:r>
        <w:rPr>
          <w:rFonts w:eastAsia="仿宋_GB2312"/>
          <w:sz w:val="32"/>
          <w:szCs w:val="32"/>
        </w:rPr>
        <w:t>在绩效评价中表现出色，达到了项目的预期目标，并在多个方面取得了显著的成效。</w:t>
      </w:r>
    </w:p>
    <w:p w14:paraId="1C43EC84">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74D532A1">
      <w:pPr>
        <w:pStyle w:val="10"/>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 xml:space="preserve">运用绩效评价组制定的评价指标体系以及财政部《项目支出绩效评价管理办法》（财预〔2020〕10号）文件的评分标准，通过数据采集、问卷调查及访谈等方式，对本项目进行客观评价，最终评分结果：总得分为 </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6AA0CF63">
      <w:pPr>
        <w:pStyle w:val="10"/>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4998" w:type="pct"/>
        <w:jc w:val="center"/>
        <w:tblLayout w:type="autofit"/>
        <w:tblCellMar>
          <w:top w:w="0" w:type="dxa"/>
          <w:left w:w="108" w:type="dxa"/>
          <w:bottom w:w="0" w:type="dxa"/>
          <w:right w:w="108" w:type="dxa"/>
        </w:tblCellMar>
      </w:tblPr>
      <w:tblGrid>
        <w:gridCol w:w="2787"/>
        <w:gridCol w:w="1927"/>
        <w:gridCol w:w="2023"/>
        <w:gridCol w:w="2023"/>
      </w:tblGrid>
      <w:tr w14:paraId="5D69F629">
        <w:tblPrEx>
          <w:tblCellMar>
            <w:top w:w="0" w:type="dxa"/>
            <w:left w:w="108" w:type="dxa"/>
            <w:bottom w:w="0" w:type="dxa"/>
            <w:right w:w="108" w:type="dxa"/>
          </w:tblCellMar>
        </w:tblPrEx>
        <w:trPr>
          <w:trHeight w:val="90" w:hRule="atLeast"/>
          <w:tblHeader/>
          <w:jc w:val="center"/>
        </w:trPr>
        <w:tc>
          <w:tcPr>
            <w:tcW w:w="1590" w:type="pct"/>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3640F384">
            <w:pPr>
              <w:jc w:val="center"/>
              <w:rPr>
                <w:rFonts w:eastAsia="仿宋_GB2312"/>
                <w:b/>
                <w:bCs/>
                <w:szCs w:val="21"/>
              </w:rPr>
            </w:pPr>
            <w:r>
              <w:rPr>
                <w:rFonts w:eastAsia="仿宋_GB2312"/>
                <w:b/>
                <w:bCs/>
                <w:szCs w:val="21"/>
              </w:rPr>
              <w:t>一级指标</w:t>
            </w:r>
          </w:p>
        </w:tc>
        <w:tc>
          <w:tcPr>
            <w:tcW w:w="1099"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74CACDAA">
            <w:pPr>
              <w:jc w:val="center"/>
              <w:rPr>
                <w:rFonts w:eastAsia="仿宋_GB2312"/>
                <w:b/>
                <w:bCs/>
                <w:szCs w:val="21"/>
              </w:rPr>
            </w:pPr>
            <w:r>
              <w:rPr>
                <w:rFonts w:eastAsia="仿宋_GB2312"/>
                <w:b/>
                <w:bCs/>
                <w:szCs w:val="21"/>
              </w:rPr>
              <w:t>权重分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340F43C">
            <w:pPr>
              <w:jc w:val="center"/>
              <w:rPr>
                <w:rFonts w:eastAsia="仿宋_GB2312"/>
                <w:b/>
                <w:bCs/>
                <w:szCs w:val="21"/>
              </w:rPr>
            </w:pPr>
            <w:r>
              <w:rPr>
                <w:rFonts w:eastAsia="仿宋_GB2312"/>
                <w:b/>
                <w:bCs/>
                <w:szCs w:val="21"/>
              </w:rPr>
              <w:t>得分</w:t>
            </w:r>
          </w:p>
        </w:tc>
        <w:tc>
          <w:tcPr>
            <w:tcW w:w="1154" w:type="pct"/>
            <w:tcBorders>
              <w:top w:val="single" w:color="auto" w:sz="4" w:space="0"/>
              <w:left w:val="nil"/>
              <w:bottom w:val="single" w:color="auto" w:sz="4" w:space="0"/>
              <w:right w:val="single" w:color="auto" w:sz="4" w:space="0"/>
            </w:tcBorders>
            <w:shd w:val="clear" w:color="000000" w:fill="BEBEBE" w:themeFill="background1" w:themeFillShade="BF"/>
            <w:vAlign w:val="center"/>
          </w:tcPr>
          <w:p w14:paraId="0DE676D8">
            <w:pPr>
              <w:jc w:val="center"/>
              <w:rPr>
                <w:rFonts w:eastAsia="仿宋_GB2312"/>
                <w:b/>
                <w:bCs/>
                <w:szCs w:val="21"/>
              </w:rPr>
            </w:pPr>
            <w:r>
              <w:rPr>
                <w:rFonts w:hint="eastAsia" w:eastAsia="仿宋_GB2312"/>
                <w:b/>
                <w:bCs/>
                <w:szCs w:val="21"/>
              </w:rPr>
              <w:t>得分率</w:t>
            </w:r>
          </w:p>
        </w:tc>
      </w:tr>
      <w:tr w14:paraId="26488148">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5157DDA">
            <w:pPr>
              <w:jc w:val="center"/>
              <w:rPr>
                <w:rFonts w:eastAsia="仿宋_GB2312"/>
                <w:szCs w:val="21"/>
              </w:rPr>
            </w:pPr>
            <w:r>
              <w:rPr>
                <w:rFonts w:eastAsia="仿宋_GB2312"/>
                <w:szCs w:val="21"/>
              </w:rPr>
              <w:t>项目决策</w:t>
            </w:r>
          </w:p>
        </w:tc>
        <w:tc>
          <w:tcPr>
            <w:tcW w:w="1099" w:type="pct"/>
            <w:tcBorders>
              <w:top w:val="nil"/>
              <w:left w:val="nil"/>
              <w:bottom w:val="single" w:color="auto" w:sz="4" w:space="0"/>
              <w:right w:val="single" w:color="auto" w:sz="4" w:space="0"/>
            </w:tcBorders>
            <w:vAlign w:val="center"/>
          </w:tcPr>
          <w:p w14:paraId="6489F0CE">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1AE7FC29">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50C164E5">
            <w:pPr>
              <w:jc w:val="center"/>
              <w:rPr>
                <w:rFonts w:eastAsia="仿宋_GB2312"/>
                <w:szCs w:val="21"/>
              </w:rPr>
            </w:pPr>
            <w:r>
              <w:rPr>
                <w:rFonts w:hint="eastAsia" w:eastAsia="仿宋_GB2312"/>
                <w:szCs w:val="21"/>
              </w:rPr>
              <w:t>100%</w:t>
            </w:r>
          </w:p>
        </w:tc>
      </w:tr>
      <w:tr w14:paraId="672F469A">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469463B3">
            <w:pPr>
              <w:jc w:val="center"/>
              <w:rPr>
                <w:rFonts w:eastAsia="仿宋_GB2312"/>
                <w:szCs w:val="21"/>
              </w:rPr>
            </w:pPr>
            <w:r>
              <w:rPr>
                <w:rFonts w:eastAsia="仿宋_GB2312"/>
                <w:szCs w:val="21"/>
              </w:rPr>
              <w:t>项目过程</w:t>
            </w:r>
          </w:p>
        </w:tc>
        <w:tc>
          <w:tcPr>
            <w:tcW w:w="1099" w:type="pct"/>
            <w:tcBorders>
              <w:top w:val="nil"/>
              <w:left w:val="nil"/>
              <w:bottom w:val="single" w:color="auto" w:sz="4" w:space="0"/>
              <w:right w:val="single" w:color="auto" w:sz="4" w:space="0"/>
            </w:tcBorders>
            <w:vAlign w:val="center"/>
          </w:tcPr>
          <w:p w14:paraId="45C19AE0">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2F5F5CD7">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7879794C">
            <w:pPr>
              <w:jc w:val="center"/>
              <w:rPr>
                <w:rFonts w:eastAsia="仿宋_GB2312"/>
                <w:szCs w:val="21"/>
              </w:rPr>
            </w:pPr>
            <w:r>
              <w:rPr>
                <w:rFonts w:hint="eastAsia" w:eastAsia="仿宋_GB2312"/>
                <w:szCs w:val="21"/>
              </w:rPr>
              <w:t>100%</w:t>
            </w:r>
          </w:p>
        </w:tc>
      </w:tr>
      <w:tr w14:paraId="1DBB4B2D">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1BB474AA">
            <w:pPr>
              <w:jc w:val="center"/>
              <w:rPr>
                <w:rFonts w:eastAsia="仿宋_GB2312"/>
                <w:szCs w:val="21"/>
              </w:rPr>
            </w:pPr>
            <w:r>
              <w:rPr>
                <w:rFonts w:eastAsia="仿宋_GB2312"/>
                <w:szCs w:val="21"/>
              </w:rPr>
              <w:t>项目产出</w:t>
            </w:r>
          </w:p>
        </w:tc>
        <w:tc>
          <w:tcPr>
            <w:tcW w:w="1099" w:type="pct"/>
            <w:tcBorders>
              <w:top w:val="nil"/>
              <w:left w:val="nil"/>
              <w:bottom w:val="single" w:color="auto" w:sz="4" w:space="0"/>
              <w:right w:val="single" w:color="auto" w:sz="4" w:space="0"/>
            </w:tcBorders>
            <w:vAlign w:val="center"/>
          </w:tcPr>
          <w:p w14:paraId="74EC54C1">
            <w:pPr>
              <w:jc w:val="center"/>
              <w:rPr>
                <w:rFonts w:eastAsia="仿宋_GB2312"/>
                <w:szCs w:val="21"/>
              </w:rPr>
            </w:pPr>
            <w:r>
              <w:rPr>
                <w:rFonts w:eastAsia="仿宋_GB2312"/>
                <w:szCs w:val="21"/>
              </w:rPr>
              <w:t>40</w:t>
            </w:r>
          </w:p>
        </w:tc>
        <w:tc>
          <w:tcPr>
            <w:tcW w:w="1154" w:type="pct"/>
            <w:tcBorders>
              <w:top w:val="nil"/>
              <w:left w:val="nil"/>
              <w:bottom w:val="single" w:color="auto" w:sz="4" w:space="0"/>
              <w:right w:val="single" w:color="auto" w:sz="4" w:space="0"/>
            </w:tcBorders>
            <w:vAlign w:val="center"/>
          </w:tcPr>
          <w:p w14:paraId="297C5664">
            <w:pPr>
              <w:jc w:val="center"/>
              <w:rPr>
                <w:rFonts w:eastAsia="仿宋_GB2312"/>
                <w:szCs w:val="21"/>
              </w:rPr>
            </w:pPr>
            <w:r>
              <w:rPr>
                <w:rFonts w:hint="eastAsia" w:eastAsia="仿宋_GB2312"/>
                <w:szCs w:val="21"/>
              </w:rPr>
              <w:t>40</w:t>
            </w:r>
          </w:p>
        </w:tc>
        <w:tc>
          <w:tcPr>
            <w:tcW w:w="1154" w:type="pct"/>
            <w:tcBorders>
              <w:top w:val="nil"/>
              <w:left w:val="nil"/>
              <w:bottom w:val="single" w:color="auto" w:sz="4" w:space="0"/>
              <w:right w:val="single" w:color="auto" w:sz="4" w:space="0"/>
            </w:tcBorders>
            <w:vAlign w:val="center"/>
          </w:tcPr>
          <w:p w14:paraId="220B11EC">
            <w:pPr>
              <w:jc w:val="center"/>
              <w:rPr>
                <w:rFonts w:eastAsia="仿宋_GB2312"/>
                <w:szCs w:val="21"/>
              </w:rPr>
            </w:pPr>
            <w:r>
              <w:rPr>
                <w:rFonts w:hint="eastAsia" w:eastAsia="仿宋_GB2312"/>
                <w:szCs w:val="21"/>
              </w:rPr>
              <w:t>100%</w:t>
            </w:r>
          </w:p>
        </w:tc>
      </w:tr>
      <w:tr w14:paraId="51336BCF">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353FB8EB">
            <w:pPr>
              <w:jc w:val="center"/>
              <w:rPr>
                <w:rFonts w:eastAsia="仿宋_GB2312"/>
                <w:szCs w:val="21"/>
              </w:rPr>
            </w:pPr>
            <w:r>
              <w:rPr>
                <w:rFonts w:eastAsia="仿宋_GB2312"/>
                <w:szCs w:val="21"/>
              </w:rPr>
              <w:t>项目效益</w:t>
            </w:r>
          </w:p>
        </w:tc>
        <w:tc>
          <w:tcPr>
            <w:tcW w:w="1099" w:type="pct"/>
            <w:tcBorders>
              <w:top w:val="nil"/>
              <w:left w:val="nil"/>
              <w:bottom w:val="single" w:color="auto" w:sz="4" w:space="0"/>
              <w:right w:val="single" w:color="auto" w:sz="4" w:space="0"/>
            </w:tcBorders>
            <w:vAlign w:val="center"/>
          </w:tcPr>
          <w:p w14:paraId="68A5D25B">
            <w:pPr>
              <w:jc w:val="center"/>
              <w:rPr>
                <w:rFonts w:eastAsia="仿宋_GB2312"/>
                <w:szCs w:val="21"/>
              </w:rPr>
            </w:pPr>
            <w:r>
              <w:rPr>
                <w:rFonts w:eastAsia="仿宋_GB2312"/>
                <w:szCs w:val="21"/>
              </w:rPr>
              <w:t>20</w:t>
            </w:r>
          </w:p>
        </w:tc>
        <w:tc>
          <w:tcPr>
            <w:tcW w:w="1154" w:type="pct"/>
            <w:tcBorders>
              <w:top w:val="nil"/>
              <w:left w:val="nil"/>
              <w:bottom w:val="single" w:color="auto" w:sz="4" w:space="0"/>
              <w:right w:val="single" w:color="auto" w:sz="4" w:space="0"/>
            </w:tcBorders>
            <w:vAlign w:val="center"/>
          </w:tcPr>
          <w:p w14:paraId="3C83D5BC">
            <w:pPr>
              <w:jc w:val="center"/>
              <w:rPr>
                <w:rFonts w:eastAsia="仿宋_GB2312"/>
                <w:szCs w:val="21"/>
              </w:rPr>
            </w:pPr>
            <w:r>
              <w:rPr>
                <w:rFonts w:hint="eastAsia" w:eastAsia="仿宋_GB2312"/>
                <w:szCs w:val="21"/>
              </w:rPr>
              <w:t>20</w:t>
            </w:r>
          </w:p>
        </w:tc>
        <w:tc>
          <w:tcPr>
            <w:tcW w:w="1154" w:type="pct"/>
            <w:tcBorders>
              <w:top w:val="nil"/>
              <w:left w:val="nil"/>
              <w:bottom w:val="single" w:color="auto" w:sz="4" w:space="0"/>
              <w:right w:val="single" w:color="auto" w:sz="4" w:space="0"/>
            </w:tcBorders>
            <w:vAlign w:val="center"/>
          </w:tcPr>
          <w:p w14:paraId="28AB5D9F">
            <w:pPr>
              <w:jc w:val="center"/>
              <w:rPr>
                <w:rFonts w:eastAsia="仿宋_GB2312"/>
                <w:szCs w:val="21"/>
              </w:rPr>
            </w:pPr>
            <w:r>
              <w:rPr>
                <w:rFonts w:hint="eastAsia" w:eastAsia="仿宋_GB2312"/>
                <w:szCs w:val="21"/>
              </w:rPr>
              <w:t>100%</w:t>
            </w:r>
          </w:p>
        </w:tc>
      </w:tr>
      <w:tr w14:paraId="5240370C">
        <w:tblPrEx>
          <w:tblCellMar>
            <w:top w:w="0" w:type="dxa"/>
            <w:left w:w="108" w:type="dxa"/>
            <w:bottom w:w="0" w:type="dxa"/>
            <w:right w:w="108" w:type="dxa"/>
          </w:tblCellMar>
        </w:tblPrEx>
        <w:trPr>
          <w:trHeight w:val="340" w:hRule="atLeast"/>
          <w:jc w:val="center"/>
        </w:trPr>
        <w:tc>
          <w:tcPr>
            <w:tcW w:w="1590" w:type="pct"/>
            <w:tcBorders>
              <w:top w:val="nil"/>
              <w:left w:val="single" w:color="auto" w:sz="4" w:space="0"/>
              <w:bottom w:val="single" w:color="auto" w:sz="4" w:space="0"/>
              <w:right w:val="single" w:color="auto" w:sz="4" w:space="0"/>
            </w:tcBorders>
            <w:vAlign w:val="center"/>
          </w:tcPr>
          <w:p w14:paraId="3CBBD63E">
            <w:pPr>
              <w:jc w:val="center"/>
              <w:rPr>
                <w:rFonts w:eastAsia="仿宋_GB2312"/>
                <w:b/>
                <w:bCs/>
                <w:szCs w:val="21"/>
              </w:rPr>
            </w:pPr>
            <w:r>
              <w:rPr>
                <w:rFonts w:eastAsia="仿宋_GB2312"/>
                <w:b/>
                <w:bCs/>
                <w:szCs w:val="21"/>
              </w:rPr>
              <w:t>合计</w:t>
            </w:r>
          </w:p>
        </w:tc>
        <w:tc>
          <w:tcPr>
            <w:tcW w:w="1099" w:type="pct"/>
            <w:tcBorders>
              <w:top w:val="nil"/>
              <w:left w:val="nil"/>
              <w:bottom w:val="single" w:color="auto" w:sz="4" w:space="0"/>
              <w:right w:val="single" w:color="auto" w:sz="4" w:space="0"/>
            </w:tcBorders>
            <w:vAlign w:val="center"/>
          </w:tcPr>
          <w:p w14:paraId="0D16CD89">
            <w:pPr>
              <w:jc w:val="center"/>
              <w:rPr>
                <w:rFonts w:eastAsia="仿宋_GB2312"/>
                <w:b/>
                <w:bCs/>
                <w:szCs w:val="21"/>
              </w:rPr>
            </w:pPr>
            <w:r>
              <w:rPr>
                <w:rFonts w:eastAsia="仿宋_GB2312"/>
                <w:b/>
                <w:bCs/>
                <w:szCs w:val="21"/>
              </w:rPr>
              <w:t>100</w:t>
            </w:r>
          </w:p>
        </w:tc>
        <w:tc>
          <w:tcPr>
            <w:tcW w:w="1154" w:type="pct"/>
            <w:tcBorders>
              <w:top w:val="nil"/>
              <w:left w:val="nil"/>
              <w:bottom w:val="single" w:color="auto" w:sz="4" w:space="0"/>
              <w:right w:val="single" w:color="auto" w:sz="4" w:space="0"/>
            </w:tcBorders>
            <w:vAlign w:val="center"/>
          </w:tcPr>
          <w:p w14:paraId="3ED7BF69">
            <w:pPr>
              <w:jc w:val="center"/>
              <w:rPr>
                <w:rFonts w:eastAsia="仿宋_GB2312"/>
                <w:b/>
                <w:bCs/>
                <w:szCs w:val="21"/>
              </w:rPr>
            </w:pPr>
            <w:r>
              <w:rPr>
                <w:rFonts w:hint="eastAsia" w:eastAsia="仿宋_GB2312"/>
                <w:b/>
                <w:bCs/>
                <w:szCs w:val="21"/>
              </w:rPr>
              <w:t>100</w:t>
            </w:r>
          </w:p>
        </w:tc>
        <w:tc>
          <w:tcPr>
            <w:tcW w:w="1154" w:type="pct"/>
            <w:tcBorders>
              <w:top w:val="nil"/>
              <w:left w:val="nil"/>
              <w:bottom w:val="single" w:color="auto" w:sz="4" w:space="0"/>
              <w:right w:val="single" w:color="auto" w:sz="4" w:space="0"/>
            </w:tcBorders>
            <w:vAlign w:val="center"/>
          </w:tcPr>
          <w:p w14:paraId="75D6F349">
            <w:pPr>
              <w:jc w:val="center"/>
              <w:rPr>
                <w:rFonts w:eastAsia="仿宋_GB2312"/>
                <w:b/>
                <w:bCs/>
                <w:szCs w:val="21"/>
              </w:rPr>
            </w:pPr>
            <w:r>
              <w:rPr>
                <w:rFonts w:hint="eastAsia" w:eastAsia="仿宋_GB2312"/>
                <w:b/>
                <w:bCs/>
                <w:szCs w:val="21"/>
              </w:rPr>
              <w:t>100%</w:t>
            </w:r>
          </w:p>
        </w:tc>
      </w:tr>
    </w:tbl>
    <w:p w14:paraId="048CA732">
      <w:pPr>
        <w:spacing w:line="560" w:lineRule="exact"/>
        <w:ind w:firstLine="640" w:firstLineChars="200"/>
        <w:rPr>
          <w:rFonts w:eastAsia="黑体"/>
          <w:sz w:val="32"/>
          <w:szCs w:val="32"/>
        </w:rPr>
      </w:pPr>
      <w:r>
        <w:rPr>
          <w:rFonts w:eastAsia="黑体"/>
          <w:sz w:val="32"/>
          <w:szCs w:val="32"/>
        </w:rPr>
        <w:t>四、绩效评价指标分析</w:t>
      </w:r>
    </w:p>
    <w:p w14:paraId="22F6E8DB">
      <w:pPr>
        <w:pStyle w:val="10"/>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754FDC2B">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13BE49D2">
      <w:pPr>
        <w:pStyle w:val="19"/>
        <w:spacing w:line="560" w:lineRule="exact"/>
        <w:ind w:firstLine="640"/>
        <w:rPr>
          <w:rFonts w:eastAsia="仿宋_GB2312"/>
          <w:b/>
          <w:bCs/>
          <w:sz w:val="32"/>
          <w:szCs w:val="32"/>
        </w:rPr>
      </w:pPr>
      <w:r>
        <w:rPr>
          <w:rFonts w:eastAsia="仿宋_GB2312"/>
          <w:b/>
          <w:bCs/>
          <w:sz w:val="32"/>
          <w:szCs w:val="32"/>
        </w:rPr>
        <w:t>1.项目立项</w:t>
      </w:r>
    </w:p>
    <w:p w14:paraId="0622BBDC">
      <w:pPr>
        <w:spacing w:line="600" w:lineRule="exact"/>
        <w:ind w:firstLine="640" w:firstLineChars="200"/>
        <w:outlineLvl w:val="0"/>
        <w:rPr>
          <w:rFonts w:eastAsia="仿宋_GB2312"/>
          <w:sz w:val="32"/>
          <w:szCs w:val="32"/>
        </w:rPr>
      </w:pPr>
      <w:r>
        <w:rPr>
          <w:rFonts w:eastAsia="仿宋_GB2312"/>
          <w:sz w:val="32"/>
          <w:szCs w:val="32"/>
        </w:rPr>
        <w:t>（1）立项依据充分性</w:t>
      </w:r>
    </w:p>
    <w:p w14:paraId="7D8D8DBB">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89E2D83">
      <w:pPr>
        <w:spacing w:line="600" w:lineRule="exact"/>
        <w:ind w:firstLine="640" w:firstLineChars="200"/>
        <w:outlineLvl w:val="0"/>
        <w:rPr>
          <w:rFonts w:eastAsia="仿宋_GB2312"/>
          <w:sz w:val="32"/>
          <w:szCs w:val="32"/>
        </w:rPr>
      </w:pPr>
      <w:r>
        <w:rPr>
          <w:rFonts w:eastAsia="仿宋_GB2312"/>
          <w:sz w:val="32"/>
          <w:szCs w:val="32"/>
        </w:rPr>
        <w:t>（2）立项程序规范性</w:t>
      </w:r>
    </w:p>
    <w:p w14:paraId="4744DD32">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根据决算依据编制工作计划和经费预算，经过与部门项目分管领导沟通、筛选确定经费预算计划，确定最终预算方案。项目的审批文件、材料符合相关要求，项目事前经过必要的绩效评估，保障了程序的规范性。</w:t>
      </w:r>
    </w:p>
    <w:p w14:paraId="25F4F273">
      <w:pPr>
        <w:pStyle w:val="19"/>
        <w:spacing w:line="560" w:lineRule="exact"/>
        <w:ind w:firstLine="640"/>
        <w:rPr>
          <w:rFonts w:eastAsia="仿宋_GB2312"/>
          <w:b/>
          <w:bCs/>
          <w:sz w:val="32"/>
          <w:szCs w:val="32"/>
        </w:rPr>
      </w:pPr>
      <w:r>
        <w:rPr>
          <w:rFonts w:eastAsia="仿宋_GB2312"/>
          <w:b/>
          <w:bCs/>
          <w:sz w:val="32"/>
          <w:szCs w:val="32"/>
        </w:rPr>
        <w:t>2.绩效目标</w:t>
      </w:r>
    </w:p>
    <w:p w14:paraId="4105F979">
      <w:pPr>
        <w:spacing w:line="600" w:lineRule="exact"/>
        <w:ind w:firstLine="640" w:firstLineChars="200"/>
        <w:outlineLvl w:val="0"/>
        <w:rPr>
          <w:rFonts w:eastAsia="仿宋_GB2312"/>
          <w:sz w:val="32"/>
          <w:szCs w:val="32"/>
        </w:rPr>
      </w:pPr>
      <w:r>
        <w:rPr>
          <w:rFonts w:eastAsia="仿宋_GB2312"/>
          <w:sz w:val="32"/>
          <w:szCs w:val="32"/>
        </w:rPr>
        <w:t>（1）绩效目标合理性</w:t>
      </w:r>
    </w:p>
    <w:p w14:paraId="1D406CAD">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B95FAE5">
      <w:pPr>
        <w:spacing w:line="600" w:lineRule="exact"/>
        <w:ind w:firstLine="640" w:firstLineChars="200"/>
        <w:outlineLvl w:val="0"/>
        <w:rPr>
          <w:rFonts w:eastAsia="仿宋_GB2312"/>
          <w:sz w:val="32"/>
          <w:szCs w:val="32"/>
        </w:rPr>
      </w:pPr>
      <w:r>
        <w:rPr>
          <w:rFonts w:eastAsia="仿宋_GB2312"/>
          <w:sz w:val="32"/>
          <w:szCs w:val="32"/>
        </w:rPr>
        <w:t>（2）绩效指标明确性</w:t>
      </w:r>
    </w:p>
    <w:p w14:paraId="2309DCDD">
      <w:pPr>
        <w:pStyle w:val="3"/>
        <w:ind w:firstLine="640" w:firstLineChars="20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，数量指标：1.所辖资金使用对象社区数里17</w:t>
      </w:r>
      <w:r>
        <w:rPr>
          <w:rFonts w:eastAsia="仿宋_GB2312"/>
          <w:sz w:val="32"/>
          <w:szCs w:val="32"/>
        </w:rPr>
        <w:t>个</w:t>
      </w:r>
      <w:r>
        <w:rPr>
          <w:rFonts w:hint="eastAsia" w:eastAsia="仿宋_GB2312"/>
          <w:sz w:val="32"/>
          <w:szCs w:val="32"/>
        </w:rPr>
        <w:t>。质量指标：2.经费支出合理性95%，3.社区正常运转率95%。时效指标：4.经费支付及时性95%。经济成本指标：5.所辖各社区经费平均标准53.52万元。社会效益指标：6.提供充足的社区经费，用以保障辖区居民生活安全和提升幸福感有效提升和保障。7.提升社区服务能力持续提升。满意度指标：7.辖区居民满意度95%。绩效目标与项目目标任务数相对应，绩效目标设定的绩效指标清晰、细化、可衡量。</w:t>
      </w:r>
    </w:p>
    <w:p w14:paraId="134D946F">
      <w:pPr>
        <w:pStyle w:val="19"/>
        <w:spacing w:line="560" w:lineRule="exact"/>
        <w:ind w:firstLine="640"/>
        <w:rPr>
          <w:rFonts w:eastAsia="仿宋_GB2312"/>
          <w:kern w:val="2"/>
          <w:sz w:val="32"/>
          <w:szCs w:val="32"/>
        </w:rPr>
      </w:pPr>
      <w:r>
        <w:rPr>
          <w:rFonts w:eastAsia="仿宋_GB2312"/>
          <w:b/>
          <w:bCs/>
          <w:sz w:val="32"/>
          <w:szCs w:val="32"/>
        </w:rPr>
        <w:t>3.资金投入</w:t>
      </w:r>
    </w:p>
    <w:p w14:paraId="224433F4">
      <w:pPr>
        <w:spacing w:line="600" w:lineRule="exact"/>
        <w:ind w:firstLine="640" w:firstLineChars="200"/>
        <w:outlineLvl w:val="0"/>
        <w:rPr>
          <w:rFonts w:eastAsia="仿宋_GB2312"/>
          <w:sz w:val="32"/>
          <w:szCs w:val="32"/>
        </w:rPr>
      </w:pPr>
      <w:r>
        <w:rPr>
          <w:rFonts w:eastAsia="仿宋_GB2312"/>
          <w:sz w:val="32"/>
          <w:szCs w:val="32"/>
        </w:rPr>
        <w:t>（1）预算编制科学性</w:t>
      </w:r>
    </w:p>
    <w:p w14:paraId="2D89D203">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B4A83AD">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14AA3B5F">
      <w:pPr>
        <w:spacing w:line="600" w:lineRule="exact"/>
        <w:ind w:firstLine="640" w:firstLineChars="200"/>
        <w:outlineLvl w:val="0"/>
        <w:rPr>
          <w:rFonts w:eastAsia="仿宋_GB2312"/>
          <w:sz w:val="32"/>
          <w:szCs w:val="32"/>
        </w:rPr>
      </w:pPr>
      <w:r>
        <w:rPr>
          <w:rFonts w:eastAsia="仿宋_GB2312"/>
          <w:sz w:val="32"/>
          <w:szCs w:val="32"/>
        </w:rPr>
        <w:t>（2）资金分配合理性</w:t>
      </w:r>
    </w:p>
    <w:p w14:paraId="61B475D7">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3199A23">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83B132B">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D5B4C63">
      <w:pPr>
        <w:pStyle w:val="10"/>
        <w:numPr>
          <w:ilvl w:val="0"/>
          <w:numId w:val="4"/>
        </w:numPr>
        <w:spacing w:before="0" w:after="0" w:line="560" w:lineRule="exact"/>
        <w:ind w:firstLine="643"/>
        <w:jc w:val="both"/>
        <w:rPr>
          <w:rFonts w:ascii="Times New Roman" w:hAnsi="Times New Roman" w:eastAsia="楷体"/>
        </w:rPr>
      </w:pPr>
      <w:r>
        <w:rPr>
          <w:rFonts w:ascii="Times New Roman" w:hAnsi="Times New Roman" w:eastAsia="楷体"/>
        </w:rPr>
        <w:t>项目过程情况</w:t>
      </w:r>
    </w:p>
    <w:p w14:paraId="728E3DCA">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55E567B1">
      <w:pPr>
        <w:pStyle w:val="19"/>
        <w:spacing w:line="560" w:lineRule="exact"/>
        <w:ind w:firstLine="640"/>
        <w:rPr>
          <w:rFonts w:eastAsia="仿宋_GB2312"/>
          <w:b/>
          <w:bCs/>
          <w:sz w:val="32"/>
          <w:szCs w:val="32"/>
        </w:rPr>
      </w:pPr>
      <w:r>
        <w:rPr>
          <w:rFonts w:eastAsia="仿宋_GB2312"/>
          <w:b/>
          <w:bCs/>
          <w:sz w:val="32"/>
          <w:szCs w:val="32"/>
        </w:rPr>
        <w:t>1.资金管理</w:t>
      </w:r>
    </w:p>
    <w:p w14:paraId="5CC7CE23">
      <w:pPr>
        <w:spacing w:line="600" w:lineRule="exact"/>
        <w:ind w:firstLine="640" w:firstLineChars="200"/>
        <w:outlineLvl w:val="0"/>
        <w:rPr>
          <w:rFonts w:eastAsia="仿宋_GB2312"/>
          <w:sz w:val="32"/>
          <w:szCs w:val="32"/>
        </w:rPr>
      </w:pPr>
      <w:r>
        <w:rPr>
          <w:rFonts w:eastAsia="仿宋_GB2312"/>
          <w:sz w:val="32"/>
          <w:szCs w:val="32"/>
        </w:rPr>
        <w:t>（1）资金到位率</w:t>
      </w:r>
    </w:p>
    <w:p w14:paraId="783BF093">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910</w:t>
      </w:r>
      <w:r>
        <w:rPr>
          <w:rFonts w:eastAsia="仿宋_GB2312"/>
          <w:sz w:val="32"/>
          <w:szCs w:val="32"/>
        </w:rPr>
        <w:t>万元，财政资金</w:t>
      </w:r>
      <w:r>
        <w:rPr>
          <w:rFonts w:hint="eastAsia" w:eastAsia="仿宋_GB2312"/>
          <w:sz w:val="32"/>
          <w:szCs w:val="32"/>
        </w:rPr>
        <w:t>在2024年01月15日</w:t>
      </w:r>
      <w:r>
        <w:rPr>
          <w:rFonts w:eastAsia="仿宋_GB2312"/>
          <w:sz w:val="32"/>
          <w:szCs w:val="32"/>
        </w:rPr>
        <w:t>足额到位，到位率</w:t>
      </w:r>
      <w:r>
        <w:rPr>
          <w:rFonts w:hint="eastAsia" w:eastAsia="仿宋_GB2312"/>
          <w:sz w:val="32"/>
          <w:szCs w:val="32"/>
        </w:rPr>
        <w:t>100</w:t>
      </w:r>
      <w:r>
        <w:rPr>
          <w:rFonts w:eastAsia="仿宋_GB2312"/>
          <w:sz w:val="32"/>
          <w:szCs w:val="32"/>
        </w:rPr>
        <w:t>%，预算资金按计划进度执行。</w:t>
      </w:r>
    </w:p>
    <w:p w14:paraId="2E892BC4">
      <w:pPr>
        <w:spacing w:line="600" w:lineRule="exact"/>
        <w:ind w:firstLine="640" w:firstLineChars="200"/>
        <w:outlineLvl w:val="0"/>
        <w:rPr>
          <w:rFonts w:eastAsia="仿宋_GB2312"/>
          <w:sz w:val="32"/>
          <w:szCs w:val="32"/>
        </w:rPr>
      </w:pPr>
      <w:r>
        <w:rPr>
          <w:rFonts w:eastAsia="仿宋_GB2312"/>
          <w:sz w:val="32"/>
          <w:szCs w:val="32"/>
        </w:rPr>
        <w:t>（2）预算执行率</w:t>
      </w:r>
    </w:p>
    <w:p w14:paraId="3433180B">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910</w:t>
      </w:r>
      <w:r>
        <w:rPr>
          <w:rFonts w:eastAsia="仿宋_GB2312"/>
          <w:sz w:val="32"/>
          <w:szCs w:val="32"/>
        </w:rPr>
        <w:t>万元，预算执行率为</w:t>
      </w:r>
      <w:r>
        <w:rPr>
          <w:rFonts w:hint="eastAsia" w:eastAsia="仿宋_GB2312"/>
          <w:sz w:val="32"/>
          <w:szCs w:val="32"/>
        </w:rPr>
        <w:t>100</w:t>
      </w:r>
      <w:r>
        <w:rPr>
          <w:rFonts w:eastAsia="仿宋_GB2312"/>
          <w:sz w:val="32"/>
          <w:szCs w:val="32"/>
        </w:rPr>
        <w:t>%。</w:t>
      </w:r>
      <w:r>
        <w:rPr>
          <w:rFonts w:hint="eastAsia" w:eastAsia="仿宋_GB2312"/>
          <w:sz w:val="32"/>
          <w:szCs w:val="32"/>
        </w:rPr>
        <w:t>其中办公费693.51万元，水费5.1万元，电费22.75万元，邮电费58.23万元，取暖费20.32万元，物业管理费1.11万元，委托业务费22.69万元，其他交通费用45.19万元，办公设备购置41.12万元。</w:t>
      </w:r>
    </w:p>
    <w:p w14:paraId="21D129B9">
      <w:pPr>
        <w:spacing w:line="600" w:lineRule="exact"/>
        <w:ind w:firstLine="640" w:firstLineChars="200"/>
        <w:outlineLvl w:val="0"/>
        <w:rPr>
          <w:rFonts w:eastAsia="仿宋_GB2312"/>
          <w:sz w:val="32"/>
          <w:szCs w:val="32"/>
        </w:rPr>
      </w:pPr>
      <w:r>
        <w:rPr>
          <w:rFonts w:eastAsia="仿宋_GB2312"/>
          <w:sz w:val="32"/>
          <w:szCs w:val="32"/>
        </w:rPr>
        <w:t>（3）资金使用合规性</w:t>
      </w:r>
    </w:p>
    <w:p w14:paraId="703A537A">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3517CFCE">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6D8BD0A0">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27CF6C35">
      <w:pPr>
        <w:pStyle w:val="19"/>
        <w:spacing w:line="560" w:lineRule="exact"/>
        <w:ind w:firstLine="640"/>
        <w:rPr>
          <w:rFonts w:eastAsia="仿宋_GB2312"/>
          <w:b/>
          <w:bCs/>
          <w:sz w:val="32"/>
          <w:szCs w:val="32"/>
        </w:rPr>
      </w:pPr>
      <w:r>
        <w:rPr>
          <w:rFonts w:eastAsia="仿宋_GB2312"/>
          <w:b/>
          <w:bCs/>
          <w:sz w:val="32"/>
          <w:szCs w:val="32"/>
        </w:rPr>
        <w:t>2.组织实施</w:t>
      </w:r>
    </w:p>
    <w:p w14:paraId="5B76FE40">
      <w:pPr>
        <w:spacing w:line="600" w:lineRule="exact"/>
        <w:ind w:firstLine="640" w:firstLineChars="200"/>
        <w:outlineLvl w:val="0"/>
        <w:rPr>
          <w:rFonts w:eastAsia="仿宋_GB2312"/>
          <w:sz w:val="32"/>
          <w:szCs w:val="32"/>
        </w:rPr>
      </w:pPr>
      <w:r>
        <w:rPr>
          <w:rFonts w:eastAsia="仿宋_GB2312"/>
          <w:sz w:val="32"/>
          <w:szCs w:val="32"/>
        </w:rPr>
        <w:t>（1）管理制度健全性</w:t>
      </w:r>
    </w:p>
    <w:p w14:paraId="7F04C4A6">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10A62738">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513B5BB2">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D399906">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55B06175">
      <w:pPr>
        <w:spacing w:line="600" w:lineRule="exact"/>
        <w:ind w:firstLine="640" w:firstLineChars="200"/>
        <w:outlineLvl w:val="0"/>
        <w:rPr>
          <w:rFonts w:eastAsia="仿宋_GB2312"/>
          <w:sz w:val="32"/>
          <w:szCs w:val="32"/>
        </w:rPr>
      </w:pPr>
      <w:r>
        <w:rPr>
          <w:rFonts w:eastAsia="仿宋_GB2312"/>
          <w:sz w:val="32"/>
          <w:szCs w:val="32"/>
        </w:rPr>
        <w:t>（2）制度执行有效性</w:t>
      </w:r>
    </w:p>
    <w:p w14:paraId="6A979D18">
      <w:pPr>
        <w:spacing w:line="560" w:lineRule="exact"/>
        <w:ind w:firstLine="640" w:firstLineChars="200"/>
        <w:rPr>
          <w:rFonts w:eastAsia="仿宋_GB2312"/>
          <w:sz w:val="32"/>
          <w:szCs w:val="32"/>
        </w:rPr>
      </w:pPr>
      <w:r>
        <w:rPr>
          <w:rFonts w:eastAsia="仿宋_GB2312"/>
          <w:sz w:val="32"/>
          <w:szCs w:val="32"/>
        </w:rPr>
        <w:t>本项目在执行过程中，管理制度得到了全面、有效</w:t>
      </w:r>
      <w:r>
        <w:rPr>
          <w:rFonts w:hint="eastAsia" w:eastAsia="仿宋_GB2312"/>
          <w:sz w:val="32"/>
          <w:szCs w:val="32"/>
        </w:rPr>
        <w:t>地</w:t>
      </w:r>
      <w:r>
        <w:rPr>
          <w:rFonts w:eastAsia="仿宋_GB2312"/>
          <w:sz w:val="32"/>
          <w:szCs w:val="32"/>
        </w:rPr>
        <w:t>落实，为确保项目的顺利实施与目标实现提供了坚实的保障。项目单位重视制度执行的重要性，通过明确责任分工、制定详细执行计划、加强监督考核等措施，确保了各项管理制度能够得到有效执行。</w:t>
      </w:r>
    </w:p>
    <w:p w14:paraId="55728885">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25EC3840">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236B23C">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项目产出情况</w:t>
      </w:r>
    </w:p>
    <w:p w14:paraId="37609079">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42657314">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48FC8DD2">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所辖资金使用对象社区数量</w:t>
      </w:r>
      <w:r>
        <w:rPr>
          <w:rFonts w:eastAsia="仿宋_GB2312"/>
          <w:sz w:val="32"/>
          <w:szCs w:val="32"/>
        </w:rPr>
        <w:t>，指标值：</w:t>
      </w:r>
      <w:r>
        <w:rPr>
          <w:rFonts w:hint="eastAsia" w:eastAsia="仿宋_GB2312"/>
          <w:sz w:val="32"/>
          <w:szCs w:val="32"/>
        </w:rPr>
        <w:t>=17个</w:t>
      </w:r>
      <w:r>
        <w:rPr>
          <w:rFonts w:eastAsia="仿宋_GB2312"/>
          <w:sz w:val="32"/>
          <w:szCs w:val="32"/>
        </w:rPr>
        <w:t>，实际完成值</w:t>
      </w:r>
      <w:r>
        <w:rPr>
          <w:rFonts w:hint="eastAsia" w:eastAsia="仿宋_GB2312"/>
          <w:sz w:val="32"/>
          <w:szCs w:val="32"/>
        </w:rPr>
        <w:t>：17个</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6个重点社区（仓房沟中路西社区、炉院街社区、炉院北街社区、茶街社区、天山建材社区、乌拉泊社区）。11个非重点社区（炉院东街社区、和悦社区、仓房沟南路社区、变电站社区、双龙社区、仓房沟北路社区、双和社区、和平桥社区、长征新村社区、珠江路南社区、明月社区）。</w:t>
      </w:r>
    </w:p>
    <w:p w14:paraId="1BD99D0A">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066A43C1">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经费支出合理性</w:t>
      </w:r>
      <w:r>
        <w:rPr>
          <w:rFonts w:eastAsia="仿宋_GB2312"/>
          <w:sz w:val="32"/>
          <w:szCs w:val="32"/>
        </w:rPr>
        <w:t>，指标值：&gt;=95%，实际完成值</w:t>
      </w:r>
      <w:r>
        <w:rPr>
          <w:rFonts w:hint="eastAsia" w:eastAsia="仿宋_GB2312"/>
          <w:sz w:val="32"/>
          <w:szCs w:val="32"/>
        </w:rPr>
        <w:t>：</w:t>
      </w:r>
      <w:r>
        <w:rPr>
          <w:rFonts w:eastAsia="仿宋_GB2312"/>
          <w:sz w:val="32"/>
          <w:szCs w:val="32"/>
        </w:rPr>
        <w:t>95%，指标完成率</w:t>
      </w:r>
      <w:r>
        <w:rPr>
          <w:rFonts w:hint="eastAsia" w:eastAsia="仿宋_GB2312"/>
          <w:sz w:val="32"/>
          <w:szCs w:val="32"/>
        </w:rPr>
        <w:t>100</w:t>
      </w:r>
      <w:r>
        <w:rPr>
          <w:rFonts w:eastAsia="仿宋_GB2312"/>
          <w:sz w:val="32"/>
          <w:szCs w:val="32"/>
        </w:rPr>
        <w:t>%</w:t>
      </w:r>
      <w:r>
        <w:rPr>
          <w:rFonts w:hint="eastAsia" w:eastAsia="仿宋_GB2312"/>
          <w:sz w:val="32"/>
          <w:szCs w:val="32"/>
        </w:rPr>
        <w:t>。茶街社区道路维修，项目资金支付率的目标值为100%，我单位在项目完工后，根据合同约定，及时向主管单位和财政局申请相关款项，并于2024年1月23日将资金支付给施工单位。</w:t>
      </w:r>
    </w:p>
    <w:p w14:paraId="622AEE46">
      <w:pPr>
        <w:spacing w:line="600" w:lineRule="exact"/>
        <w:ind w:firstLine="640" w:firstLineChars="20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社区正常运转率</w:t>
      </w:r>
      <w:r>
        <w:rPr>
          <w:rFonts w:eastAsia="仿宋_GB2312"/>
          <w:sz w:val="32"/>
          <w:szCs w:val="32"/>
        </w:rPr>
        <w:t>，指标值：&gt;=95%，实际完成值</w:t>
      </w:r>
      <w:r>
        <w:rPr>
          <w:rFonts w:hint="eastAsia" w:eastAsia="仿宋_GB2312"/>
          <w:sz w:val="32"/>
          <w:szCs w:val="32"/>
        </w:rPr>
        <w:t>：</w:t>
      </w:r>
      <w:r>
        <w:rPr>
          <w:rFonts w:eastAsia="仿宋_GB2312"/>
          <w:sz w:val="32"/>
          <w:szCs w:val="32"/>
        </w:rPr>
        <w:t>95%，指标完成率</w:t>
      </w:r>
      <w:r>
        <w:rPr>
          <w:rFonts w:hint="eastAsia" w:eastAsia="仿宋_GB2312"/>
          <w:sz w:val="32"/>
          <w:szCs w:val="32"/>
        </w:rPr>
        <w:t>100</w:t>
      </w:r>
      <w:r>
        <w:rPr>
          <w:rFonts w:eastAsia="仿宋_GB2312"/>
          <w:sz w:val="32"/>
          <w:szCs w:val="32"/>
        </w:rPr>
        <w:t>%</w:t>
      </w:r>
      <w:r>
        <w:rPr>
          <w:rFonts w:hint="eastAsia" w:eastAsia="仿宋_GB2312"/>
          <w:sz w:val="32"/>
          <w:szCs w:val="32"/>
        </w:rPr>
        <w:t>。炉院街社区购买健身器材，保证了居民的身体健康，保障社区正常运转，完成率达到了100%。资金我单位在项目完工后，根据合同约定，及时向主管单位和财政局申请相关款项，并于2024年1月23日将资金支付给对方单位。</w:t>
      </w:r>
    </w:p>
    <w:p w14:paraId="35B602A7">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22909BB5">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经费支付及时性</w:t>
      </w:r>
      <w:r>
        <w:rPr>
          <w:rFonts w:eastAsia="仿宋_GB2312"/>
          <w:sz w:val="32"/>
          <w:szCs w:val="32"/>
        </w:rPr>
        <w:t>，指标值：&gt;=95%，实际完成值</w:t>
      </w:r>
      <w:r>
        <w:rPr>
          <w:rFonts w:hint="eastAsia" w:eastAsia="仿宋_GB2312"/>
          <w:sz w:val="32"/>
          <w:szCs w:val="32"/>
        </w:rPr>
        <w:t>：</w:t>
      </w:r>
      <w:r>
        <w:rPr>
          <w:rFonts w:eastAsia="仿宋_GB2312"/>
          <w:sz w:val="32"/>
          <w:szCs w:val="32"/>
        </w:rPr>
        <w:t>95%，指标完成率</w:t>
      </w:r>
      <w:r>
        <w:rPr>
          <w:rFonts w:hint="eastAsia" w:eastAsia="仿宋_GB2312"/>
          <w:sz w:val="32"/>
          <w:szCs w:val="32"/>
        </w:rPr>
        <w:t>100</w:t>
      </w:r>
      <w:r>
        <w:rPr>
          <w:rFonts w:eastAsia="仿宋_GB2312"/>
          <w:sz w:val="32"/>
          <w:szCs w:val="32"/>
        </w:rPr>
        <w:t>%</w:t>
      </w:r>
      <w:r>
        <w:rPr>
          <w:rFonts w:hint="eastAsia" w:eastAsia="仿宋_GB2312"/>
          <w:sz w:val="32"/>
          <w:szCs w:val="32"/>
        </w:rPr>
        <w:t>。项目预计2024年12月31日完成，实际于2024年12月31日完成。</w:t>
      </w:r>
    </w:p>
    <w:p w14:paraId="70D47531">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1A0D363">
      <w:pPr>
        <w:pStyle w:val="24"/>
        <w:spacing w:line="600" w:lineRule="exact"/>
        <w:ind w:left="407" w:firstLine="0" w:firstLineChars="0"/>
        <w:outlineLvl w:val="0"/>
        <w:rPr>
          <w:rFonts w:eastAsia="仿宋_GB2312"/>
          <w:sz w:val="32"/>
          <w:szCs w:val="32"/>
        </w:rPr>
      </w:pPr>
      <w:r>
        <w:rPr>
          <w:rFonts w:eastAsia="仿宋_GB2312"/>
          <w:sz w:val="32"/>
          <w:szCs w:val="32"/>
        </w:rPr>
        <w:t>指标1：</w:t>
      </w:r>
      <w:r>
        <w:rPr>
          <w:rFonts w:hint="eastAsia" w:eastAsia="仿宋_GB2312"/>
          <w:sz w:val="32"/>
          <w:szCs w:val="32"/>
        </w:rPr>
        <w:t>所辖各社区经费平均标准</w:t>
      </w:r>
      <w:r>
        <w:rPr>
          <w:rFonts w:eastAsia="仿宋_GB2312"/>
          <w:sz w:val="32"/>
          <w:szCs w:val="32"/>
        </w:rPr>
        <w:t>，指标值：</w:t>
      </w:r>
      <w:r>
        <w:rPr>
          <w:rFonts w:hint="eastAsia" w:eastAsia="仿宋_GB2312"/>
          <w:sz w:val="32"/>
          <w:szCs w:val="32"/>
        </w:rPr>
        <w:t>＜</w:t>
      </w:r>
      <w:r>
        <w:rPr>
          <w:rFonts w:eastAsia="仿宋_GB2312"/>
          <w:sz w:val="32"/>
          <w:szCs w:val="32"/>
        </w:rPr>
        <w:t xml:space="preserve"> =</w:t>
      </w:r>
      <w:r>
        <w:rPr>
          <w:rFonts w:hint="eastAsia" w:eastAsia="仿宋_GB2312"/>
          <w:sz w:val="32"/>
          <w:szCs w:val="32"/>
        </w:rPr>
        <w:t>53.52万元</w:t>
      </w:r>
      <w:r>
        <w:rPr>
          <w:rFonts w:eastAsia="仿宋_GB2312"/>
          <w:sz w:val="32"/>
          <w:szCs w:val="32"/>
        </w:rPr>
        <w:t>，实际完成值</w:t>
      </w:r>
      <w:r>
        <w:rPr>
          <w:rFonts w:hint="eastAsia" w:eastAsia="仿宋_GB2312"/>
          <w:sz w:val="32"/>
          <w:szCs w:val="32"/>
        </w:rPr>
        <w:t>：53.52万元</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。本项目实际支出53.52万元，无超支情况，项目资金全部完成。</w:t>
      </w:r>
    </w:p>
    <w:p w14:paraId="1B72A5DD">
      <w:pPr>
        <w:pStyle w:val="12"/>
        <w:numPr>
          <w:ilvl w:val="0"/>
          <w:numId w:val="4"/>
        </w:numPr>
        <w:spacing w:line="560" w:lineRule="exact"/>
        <w:ind w:firstLine="643" w:firstLineChars="0"/>
        <w:rPr>
          <w:rFonts w:eastAsia="楷体_GB2312"/>
          <w:b/>
          <w:bCs/>
          <w:sz w:val="32"/>
          <w:szCs w:val="32"/>
        </w:rPr>
      </w:pPr>
      <w:r>
        <w:rPr>
          <w:rFonts w:eastAsia="楷体_GB2312"/>
          <w:b/>
          <w:bCs/>
          <w:sz w:val="32"/>
          <w:szCs w:val="32"/>
        </w:rPr>
        <w:t>项目效益情况</w:t>
      </w:r>
    </w:p>
    <w:p w14:paraId="1851C16A">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3</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1375C6D8">
      <w:pPr>
        <w:spacing w:line="600" w:lineRule="exact"/>
        <w:ind w:firstLine="640" w:firstLineChars="200"/>
        <w:outlineLvl w:val="0"/>
        <w:rPr>
          <w:rFonts w:eastAsia="仿宋_GB2312"/>
          <w:sz w:val="32"/>
          <w:szCs w:val="32"/>
        </w:rPr>
      </w:pPr>
      <w:r>
        <w:rPr>
          <w:rFonts w:eastAsia="仿宋_GB2312"/>
          <w:sz w:val="32"/>
          <w:szCs w:val="32"/>
        </w:rPr>
        <w:t>1.实施效益</w:t>
      </w:r>
    </w:p>
    <w:p w14:paraId="2859FCF3">
      <w:pPr>
        <w:spacing w:line="600" w:lineRule="exact"/>
        <w:ind w:firstLine="640" w:firstLineChars="200"/>
        <w:outlineLvl w:val="0"/>
        <w:rPr>
          <w:rFonts w:eastAsia="仿宋_GB2312"/>
          <w:sz w:val="32"/>
          <w:szCs w:val="32"/>
        </w:rPr>
      </w:pPr>
      <w:r>
        <w:rPr>
          <w:rFonts w:eastAsia="仿宋_GB2312"/>
          <w:sz w:val="32"/>
          <w:szCs w:val="32"/>
        </w:rPr>
        <w:t>①经济效益指标：</w:t>
      </w:r>
    </w:p>
    <w:p w14:paraId="1F49BDC3">
      <w:pPr>
        <w:spacing w:line="600" w:lineRule="exact"/>
        <w:ind w:firstLine="640" w:firstLineChars="200"/>
        <w:outlineLvl w:val="0"/>
        <w:rPr>
          <w:rFonts w:ascii="Cambria Math" w:hAnsi="Cambria Math" w:eastAsia="仿宋_GB2312" w:cs="Cambria Math"/>
          <w:sz w:val="32"/>
          <w:szCs w:val="32"/>
        </w:rPr>
      </w:pPr>
      <w:r>
        <w:rPr>
          <w:rFonts w:hint="eastAsia" w:ascii="Cambria Math" w:hAnsi="Cambria Math" w:eastAsia="仿宋_GB2312" w:cs="Cambria Math"/>
          <w:sz w:val="32"/>
          <w:szCs w:val="32"/>
        </w:rPr>
        <w:t>2024年该项目未设置此条指标。</w:t>
      </w:r>
    </w:p>
    <w:p w14:paraId="6B01A041">
      <w:pPr>
        <w:spacing w:line="600" w:lineRule="exact"/>
        <w:ind w:firstLine="640" w:firstLineChars="200"/>
        <w:outlineLvl w:val="0"/>
        <w:rPr>
          <w:rFonts w:eastAsia="仿宋_GB2312"/>
          <w:sz w:val="32"/>
          <w:szCs w:val="32"/>
        </w:rPr>
      </w:pPr>
      <w:r>
        <w:rPr>
          <w:rFonts w:eastAsia="仿宋_GB2312"/>
          <w:sz w:val="32"/>
          <w:szCs w:val="32"/>
        </w:rPr>
        <w:t>②社会效益指标：</w:t>
      </w:r>
    </w:p>
    <w:p w14:paraId="386DC338">
      <w:pPr>
        <w:pStyle w:val="24"/>
        <w:spacing w:line="600" w:lineRule="exact"/>
        <w:ind w:left="407" w:firstLine="0" w:firstLineChars="0"/>
        <w:outlineLvl w:val="0"/>
        <w:rPr>
          <w:rFonts w:eastAsia="仿宋_GB2312"/>
          <w:sz w:val="32"/>
          <w:szCs w:val="32"/>
        </w:rPr>
      </w:pPr>
      <w:r>
        <w:rPr>
          <w:rFonts w:eastAsia="仿宋_GB2312"/>
          <w:sz w:val="32"/>
          <w:szCs w:val="32"/>
        </w:rPr>
        <w:t>指标1：</w:t>
      </w:r>
      <w:r>
        <w:rPr>
          <w:rFonts w:hint="eastAsia" w:eastAsia="仿宋_GB2312"/>
          <w:sz w:val="32"/>
          <w:szCs w:val="32"/>
        </w:rPr>
        <w:t>提供充足的社区经费，用以保障辖区居民生活安全和提升幸福感</w:t>
      </w:r>
      <w:r>
        <w:rPr>
          <w:rFonts w:eastAsia="仿宋_GB2312"/>
          <w:sz w:val="32"/>
          <w:szCs w:val="32"/>
        </w:rPr>
        <w:t>，指标值：</w:t>
      </w:r>
      <w:r>
        <w:rPr>
          <w:rFonts w:hint="eastAsia" w:eastAsia="仿宋_GB2312"/>
          <w:sz w:val="32"/>
          <w:szCs w:val="32"/>
        </w:rPr>
        <w:t>有效提升和保障</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100%。通过持续投入，社区文化经费最终实现从"有形覆盖"到"有效覆盖"的转变，使文化服务真正成为社区治理的润滑剂和居民生活的必需品。</w:t>
      </w:r>
    </w:p>
    <w:p w14:paraId="65E6FA82">
      <w:pPr>
        <w:pStyle w:val="24"/>
        <w:spacing w:line="600" w:lineRule="exact"/>
        <w:ind w:left="407" w:firstLine="0" w:firstLineChars="0"/>
        <w:outlineLvl w:val="0"/>
        <w:rPr>
          <w:rFonts w:eastAsia="仿宋_GB2312"/>
          <w:sz w:val="32"/>
          <w:szCs w:val="32"/>
        </w:rPr>
      </w:pPr>
      <w:r>
        <w:rPr>
          <w:rFonts w:eastAsia="仿宋_GB2312"/>
          <w:sz w:val="32"/>
          <w:szCs w:val="32"/>
        </w:rPr>
        <w:t>指标</w:t>
      </w:r>
      <w:r>
        <w:rPr>
          <w:rFonts w:hint="eastAsia" w:eastAsia="仿宋_GB2312"/>
          <w:sz w:val="32"/>
          <w:szCs w:val="32"/>
        </w:rPr>
        <w:t>2</w:t>
      </w:r>
      <w:r>
        <w:rPr>
          <w:rFonts w:eastAsia="仿宋_GB2312"/>
          <w:sz w:val="32"/>
          <w:szCs w:val="32"/>
        </w:rPr>
        <w:t>：</w:t>
      </w:r>
      <w:r>
        <w:rPr>
          <w:rFonts w:hint="eastAsia" w:eastAsia="仿宋_GB2312"/>
          <w:sz w:val="32"/>
          <w:szCs w:val="32"/>
        </w:rPr>
        <w:t>提升社区服务能力</w:t>
      </w:r>
      <w:r>
        <w:rPr>
          <w:rFonts w:eastAsia="仿宋_GB2312"/>
          <w:sz w:val="32"/>
          <w:szCs w:val="32"/>
        </w:rPr>
        <w:t>，指标值：</w:t>
      </w:r>
      <w:r>
        <w:rPr>
          <w:rFonts w:hint="eastAsia" w:eastAsia="仿宋_GB2312"/>
          <w:sz w:val="32"/>
          <w:szCs w:val="32"/>
        </w:rPr>
        <w:t>持续提升</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w:t>
      </w:r>
      <w:r>
        <w:rPr>
          <w:rFonts w:eastAsia="仿宋_GB2312"/>
          <w:sz w:val="32"/>
          <w:szCs w:val="32"/>
        </w:rPr>
        <w:t>通过系统性能力提升，现代社区正逐步实现从"被动管理"到"主动服务"、从"行政主导"到"多元共治"的转型，最终使居民获得感、幸福感、安全感可测量、可感知</w:t>
      </w:r>
      <w:r>
        <w:rPr>
          <w:rFonts w:hint="eastAsia" w:eastAsia="仿宋_GB2312"/>
          <w:sz w:val="32"/>
          <w:szCs w:val="32"/>
        </w:rPr>
        <w:t>。</w:t>
      </w:r>
    </w:p>
    <w:p w14:paraId="69252BC9">
      <w:pPr>
        <w:spacing w:line="600" w:lineRule="exact"/>
        <w:ind w:firstLine="640" w:firstLineChars="200"/>
        <w:outlineLvl w:val="0"/>
        <w:rPr>
          <w:rFonts w:eastAsia="仿宋_GB2312"/>
          <w:sz w:val="32"/>
          <w:szCs w:val="32"/>
        </w:rPr>
      </w:pPr>
      <w:r>
        <w:rPr>
          <w:rFonts w:ascii="Cambria Math" w:hAnsi="Cambria Math" w:eastAsia="仿宋_GB2312" w:cs="Cambria Math"/>
          <w:sz w:val="32"/>
          <w:szCs w:val="32"/>
        </w:rPr>
        <w:t>③</w:t>
      </w:r>
      <w:r>
        <w:rPr>
          <w:rFonts w:eastAsia="仿宋_GB2312"/>
          <w:sz w:val="32"/>
          <w:szCs w:val="32"/>
        </w:rPr>
        <w:t>生态效益指标：</w:t>
      </w:r>
    </w:p>
    <w:p w14:paraId="520DA0B3">
      <w:pPr>
        <w:spacing w:line="600" w:lineRule="exact"/>
        <w:ind w:firstLine="640" w:firstLineChars="200"/>
        <w:outlineLvl w:val="0"/>
        <w:rPr>
          <w:rFonts w:ascii="Cambria Math" w:hAnsi="Cambria Math" w:eastAsia="仿宋_GB2312" w:cs="Cambria Math"/>
          <w:sz w:val="32"/>
          <w:szCs w:val="32"/>
        </w:rPr>
      </w:pPr>
      <w:r>
        <w:rPr>
          <w:rFonts w:hint="eastAsia" w:ascii="Cambria Math" w:hAnsi="Cambria Math" w:eastAsia="仿宋_GB2312" w:cs="Cambria Math"/>
          <w:sz w:val="32"/>
          <w:szCs w:val="32"/>
        </w:rPr>
        <w:t>2024年该项目未设置此条指标。</w:t>
      </w:r>
    </w:p>
    <w:p w14:paraId="6FDAD555">
      <w:pPr>
        <w:spacing w:line="600" w:lineRule="exact"/>
        <w:ind w:firstLine="640" w:firstLineChars="200"/>
        <w:outlineLvl w:val="0"/>
        <w:rPr>
          <w:rFonts w:eastAsia="仿宋_GB2312"/>
          <w:sz w:val="32"/>
          <w:szCs w:val="32"/>
        </w:rPr>
      </w:pPr>
      <w:r>
        <w:rPr>
          <w:rFonts w:eastAsia="仿宋_GB2312"/>
          <w:sz w:val="32"/>
          <w:szCs w:val="32"/>
        </w:rPr>
        <w:t>2.满意度</w:t>
      </w:r>
    </w:p>
    <w:p w14:paraId="66F5F975">
      <w:pPr>
        <w:pStyle w:val="3"/>
        <w:rPr>
          <w:rFonts w:eastAsia="仿宋_GB2312"/>
          <w:sz w:val="32"/>
          <w:szCs w:val="32"/>
        </w:rPr>
      </w:pPr>
      <w:r>
        <w:rPr>
          <w:rFonts w:eastAsia="仿宋_GB2312"/>
          <w:sz w:val="32"/>
          <w:szCs w:val="32"/>
        </w:rPr>
        <w:t>指标1：</w:t>
      </w:r>
      <w:r>
        <w:rPr>
          <w:rFonts w:hint="eastAsia" w:eastAsia="仿宋_GB2312"/>
          <w:sz w:val="32"/>
          <w:szCs w:val="32"/>
        </w:rPr>
        <w:t>辖区居民满意度</w:t>
      </w:r>
      <w:r>
        <w:rPr>
          <w:rFonts w:eastAsia="仿宋_GB2312"/>
          <w:sz w:val="32"/>
          <w:szCs w:val="32"/>
        </w:rPr>
        <w:t>，指标值：&gt;=95%，实际完成值</w:t>
      </w:r>
      <w:r>
        <w:rPr>
          <w:rFonts w:hint="eastAsia" w:eastAsia="仿宋_GB2312"/>
          <w:sz w:val="32"/>
          <w:szCs w:val="32"/>
        </w:rPr>
        <w:t>：</w:t>
      </w:r>
      <w:r>
        <w:rPr>
          <w:rFonts w:eastAsia="仿宋_GB2312"/>
          <w:sz w:val="32"/>
          <w:szCs w:val="32"/>
        </w:rPr>
        <w:t>100%，指标完成率</w:t>
      </w:r>
      <w:r>
        <w:rPr>
          <w:rFonts w:hint="eastAsia" w:eastAsia="仿宋_GB2312"/>
          <w:sz w:val="32"/>
          <w:szCs w:val="32"/>
        </w:rPr>
        <w:t>105.26%。偏差原因：目标设置保守，居民个人主观因素较为满意。共计调查样本总量为200个样本，有效调查问卷200份。其中，统计“辖区居民满意度”的平均值为100%。</w:t>
      </w:r>
    </w:p>
    <w:p w14:paraId="0E960AE7">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30685C87">
      <w:pPr>
        <w:pStyle w:val="19"/>
        <w:spacing w:line="560" w:lineRule="exact"/>
        <w:ind w:firstLine="640"/>
        <w:rPr>
          <w:rFonts w:eastAsia="仿宋_GB2312"/>
          <w:kern w:val="2"/>
          <w:sz w:val="32"/>
          <w:szCs w:val="32"/>
        </w:rPr>
      </w:pPr>
      <w:r>
        <w:rPr>
          <w:rFonts w:hint="eastAsia" w:eastAsia="仿宋_GB2312"/>
          <w:kern w:val="2"/>
          <w:sz w:val="32"/>
          <w:szCs w:val="32"/>
        </w:rPr>
        <w:t>社区工作经费（6重点，11非重点）</w:t>
      </w:r>
      <w:r>
        <w:rPr>
          <w:rFonts w:eastAsia="仿宋_GB2312"/>
          <w:kern w:val="2"/>
          <w:sz w:val="32"/>
          <w:szCs w:val="32"/>
        </w:rPr>
        <w:t>项目年初预算</w:t>
      </w:r>
      <w:r>
        <w:rPr>
          <w:rFonts w:hint="eastAsia" w:eastAsia="仿宋_GB2312"/>
          <w:kern w:val="2"/>
          <w:sz w:val="32"/>
          <w:szCs w:val="32"/>
        </w:rPr>
        <w:t>910</w:t>
      </w:r>
      <w:r>
        <w:rPr>
          <w:rFonts w:eastAsia="仿宋_GB2312"/>
          <w:kern w:val="2"/>
          <w:sz w:val="32"/>
          <w:szCs w:val="32"/>
        </w:rPr>
        <w:t>万元，全年预算</w:t>
      </w:r>
      <w:r>
        <w:rPr>
          <w:rFonts w:hint="eastAsia" w:eastAsia="仿宋_GB2312"/>
          <w:kern w:val="2"/>
          <w:sz w:val="32"/>
          <w:szCs w:val="32"/>
        </w:rPr>
        <w:t>910</w:t>
      </w:r>
      <w:r>
        <w:rPr>
          <w:rFonts w:eastAsia="仿宋_GB2312"/>
          <w:kern w:val="2"/>
          <w:sz w:val="32"/>
          <w:szCs w:val="32"/>
        </w:rPr>
        <w:t>万元，实际支出</w:t>
      </w:r>
      <w:r>
        <w:rPr>
          <w:rFonts w:hint="eastAsia" w:eastAsia="仿宋_GB2312"/>
          <w:kern w:val="2"/>
          <w:sz w:val="32"/>
          <w:szCs w:val="32"/>
        </w:rPr>
        <w:t>910</w:t>
      </w:r>
      <w:r>
        <w:rPr>
          <w:rFonts w:eastAsia="仿宋_GB2312"/>
          <w:kern w:val="2"/>
          <w:sz w:val="32"/>
          <w:szCs w:val="32"/>
        </w:rPr>
        <w:t>万元，预算执行率为</w:t>
      </w:r>
      <w:r>
        <w:rPr>
          <w:rFonts w:hint="eastAsia" w:eastAsia="仿宋_GB2312"/>
          <w:kern w:val="2"/>
          <w:sz w:val="32"/>
          <w:szCs w:val="32"/>
        </w:rPr>
        <w:t>100</w:t>
      </w:r>
      <w:r>
        <w:rPr>
          <w:rFonts w:eastAsia="仿宋_GB2312"/>
          <w:kern w:val="2"/>
          <w:sz w:val="32"/>
          <w:szCs w:val="32"/>
        </w:rPr>
        <w:t>%，项目绩效指标总体完成率为</w:t>
      </w:r>
      <w:r>
        <w:rPr>
          <w:rFonts w:hint="eastAsia" w:eastAsia="仿宋_GB2312"/>
          <w:kern w:val="2"/>
          <w:sz w:val="32"/>
          <w:szCs w:val="32"/>
        </w:rPr>
        <w:t>105.26</w:t>
      </w:r>
      <w:r>
        <w:rPr>
          <w:rFonts w:eastAsia="仿宋_GB2312"/>
          <w:kern w:val="2"/>
          <w:sz w:val="32"/>
          <w:szCs w:val="32"/>
        </w:rPr>
        <w:t>% 总体偏差率为</w:t>
      </w:r>
      <w:r>
        <w:rPr>
          <w:rFonts w:hint="eastAsia" w:eastAsia="仿宋_GB2312"/>
          <w:kern w:val="2"/>
          <w:sz w:val="32"/>
          <w:szCs w:val="32"/>
        </w:rPr>
        <w:t>5.26</w:t>
      </w:r>
      <w:r>
        <w:rPr>
          <w:rFonts w:eastAsia="仿宋_GB2312"/>
          <w:kern w:val="2"/>
          <w:sz w:val="32"/>
          <w:szCs w:val="32"/>
        </w:rPr>
        <w:t>%，偏差原因</w:t>
      </w:r>
      <w:r>
        <w:rPr>
          <w:rFonts w:hint="eastAsia" w:eastAsia="仿宋_GB2312"/>
          <w:kern w:val="2"/>
          <w:sz w:val="32"/>
          <w:szCs w:val="32"/>
        </w:rPr>
        <w:t>：目标设置保守，居民个人主观因素较为满意。</w:t>
      </w:r>
      <w:r>
        <w:rPr>
          <w:rFonts w:eastAsia="仿宋_GB2312"/>
          <w:kern w:val="2"/>
          <w:sz w:val="32"/>
          <w:szCs w:val="32"/>
        </w:rPr>
        <w:t>改进措施</w:t>
      </w:r>
      <w:r>
        <w:rPr>
          <w:rFonts w:hint="eastAsia" w:eastAsia="仿宋_GB2312"/>
          <w:kern w:val="2"/>
          <w:sz w:val="32"/>
          <w:szCs w:val="32"/>
        </w:rPr>
        <w:t>：</w:t>
      </w:r>
      <w:r>
        <w:rPr>
          <w:rFonts w:hint="eastAsia" w:eastAsia="仿宋_GB2312"/>
          <w:sz w:val="32"/>
          <w:szCs w:val="32"/>
        </w:rPr>
        <w:t>24年年初指标值设置不够精确，导致出现偏差，在下一年度将更加精准地去设置指标值</w:t>
      </w:r>
      <w:r>
        <w:rPr>
          <w:rFonts w:eastAsia="仿宋_GB2312"/>
          <w:kern w:val="2"/>
          <w:sz w:val="32"/>
          <w:szCs w:val="32"/>
        </w:rPr>
        <w:t>。</w:t>
      </w:r>
    </w:p>
    <w:p w14:paraId="10C512C0">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黑体"/>
          <w:sz w:val="32"/>
          <w:szCs w:val="32"/>
        </w:rPr>
        <w:t>主要经验及做法、存在的问题及原因分析</w:t>
      </w:r>
    </w:p>
    <w:p w14:paraId="736D14D5">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3AC51B5A">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36B71BCB">
      <w:pPr>
        <w:pStyle w:val="10"/>
        <w:spacing w:before="0" w:after="0" w:line="560" w:lineRule="exact"/>
        <w:ind w:firstLine="640" w:firstLineChars="200"/>
        <w:jc w:val="left"/>
        <w:rPr>
          <w:rFonts w:ascii="Times New Roman" w:hAnsi="Times New Roman" w:eastAsia="仿宋_GB2312"/>
          <w:b w:val="0"/>
          <w:bCs w:val="0"/>
          <w:kern w:val="2"/>
        </w:rPr>
      </w:pPr>
      <w:r>
        <w:rPr>
          <w:rFonts w:ascii="Times New Roman" w:hAnsi="Times New Roman" w:eastAsia="仿宋_GB2312"/>
          <w:b w:val="0"/>
          <w:bCs w:val="0"/>
          <w:kern w:val="2"/>
        </w:rPr>
        <w:t>严格坚持先做事、后验收、再拨付的原则，</w:t>
      </w:r>
      <w:r>
        <w:rPr>
          <w:rFonts w:hint="eastAsia" w:ascii="Times New Roman" w:hAnsi="Times New Roman" w:eastAsia="仿宋_GB2312"/>
          <w:b w:val="0"/>
          <w:bCs w:val="0"/>
          <w:kern w:val="2"/>
        </w:rPr>
        <w:t>杜绝</w:t>
      </w:r>
      <w:r>
        <w:rPr>
          <w:rFonts w:ascii="Times New Roman" w:hAnsi="Times New Roman" w:eastAsia="仿宋_GB2312"/>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30CC64A8">
      <w:pPr>
        <w:keepNext/>
        <w:keepLines/>
        <w:numPr>
          <w:ilvl w:val="0"/>
          <w:numId w:val="5"/>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2C3E44EB">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BE6B493">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7DD86E8B">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7315B8A3">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23594605">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32DFEA96">
      <w:pPr>
        <w:spacing w:line="600" w:lineRule="exact"/>
        <w:ind w:firstLine="640" w:firstLineChars="200"/>
        <w:outlineLvl w:val="0"/>
        <w:rPr>
          <w:rFonts w:eastAsia="仿宋_GB2312"/>
          <w:sz w:val="32"/>
          <w:szCs w:val="32"/>
        </w:rPr>
      </w:pPr>
      <w:r>
        <w:rPr>
          <w:rFonts w:eastAsia="仿宋_GB2312"/>
          <w:sz w:val="32"/>
          <w:szCs w:val="32"/>
        </w:rPr>
        <w:t>3.进一步规范项目建设的程序。项目前期做好可行性研究报告，更加细化实施方案，严格执行资金管理办法和财政资金管理制度，严格按照项目实施方案、招投标管理办法等稳步推进工作，各部门单位根据自己项目的特点进行总结。</w:t>
      </w:r>
    </w:p>
    <w:p w14:paraId="53373BE1">
      <w:pPr>
        <w:spacing w:line="600" w:lineRule="exact"/>
        <w:ind w:firstLine="640" w:firstLineChars="200"/>
        <w:outlineLvl w:val="0"/>
        <w:rPr>
          <w:sz w:val="22"/>
          <w:szCs w:val="28"/>
        </w:rPr>
      </w:pPr>
      <w:r>
        <w:rPr>
          <w:rFonts w:eastAsia="仿宋_GB2312"/>
          <w:sz w:val="32"/>
          <w:szCs w:val="32"/>
        </w:rPr>
        <w:t>4.进一步完善项目评价过程中有关数据和资料的收集、整理、审核及分析。项目启动时同步做好档案的归纳与整理，及时整理、收集、汇总，健全档案资料。项目后续管理有待进一步加强和跟踪</w:t>
      </w:r>
      <w:r>
        <w:rPr>
          <w:rFonts w:eastAsia="仿宋_GB2312"/>
          <w:sz w:val="36"/>
          <w:szCs w:val="32"/>
        </w:rPr>
        <w:t>。</w:t>
      </w:r>
    </w:p>
    <w:p w14:paraId="4988BBAF">
      <w:pPr>
        <w:spacing w:line="560" w:lineRule="exact"/>
        <w:ind w:firstLine="640" w:firstLineChars="200"/>
        <w:rPr>
          <w:rFonts w:eastAsia="黑体"/>
          <w:sz w:val="32"/>
          <w:szCs w:val="32"/>
        </w:rPr>
      </w:pPr>
      <w:r>
        <w:rPr>
          <w:rFonts w:hint="eastAsia" w:eastAsia="黑体"/>
          <w:sz w:val="32"/>
          <w:szCs w:val="32"/>
        </w:rPr>
        <w:t>七、</w:t>
      </w:r>
      <w:r>
        <w:rPr>
          <w:rFonts w:eastAsia="黑体"/>
          <w:sz w:val="32"/>
          <w:szCs w:val="32"/>
        </w:rPr>
        <w:t>其他需要说</w:t>
      </w:r>
      <w:bookmarkStart w:id="0" w:name="page8"/>
      <w:bookmarkEnd w:id="0"/>
      <w:r>
        <w:rPr>
          <w:rFonts w:eastAsia="黑体"/>
          <w:sz w:val="32"/>
          <w:szCs w:val="32"/>
        </w:rPr>
        <w:t>明的问题</w:t>
      </w:r>
    </w:p>
    <w:p w14:paraId="31428C30">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项目支出政策和路径设计科学，符合实际需要；</w:t>
      </w:r>
    </w:p>
    <w:p w14:paraId="1FC76872">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3FFEAA84">
      <w:pPr>
        <w:spacing w:line="600" w:lineRule="exact"/>
        <w:ind w:firstLine="640" w:firstLineChars="200"/>
        <w:outlineLvl w:val="0"/>
        <w:rPr>
          <w:rFonts w:eastAsia="仿宋_GB2312"/>
          <w:sz w:val="32"/>
          <w:szCs w:val="32"/>
        </w:rPr>
      </w:pPr>
      <w:r>
        <w:rPr>
          <w:rFonts w:eastAsia="仿宋_GB2312"/>
          <w:sz w:val="32"/>
          <w:szCs w:val="32"/>
        </w:rPr>
        <w:t>3.</w:t>
      </w:r>
      <w:r>
        <w:rPr>
          <w:rFonts w:hint="eastAsia" w:eastAsia="仿宋_GB2312"/>
          <w:sz w:val="32"/>
          <w:szCs w:val="32"/>
        </w:rPr>
        <w:t>项目的申报、审核机制完善；</w:t>
      </w:r>
    </w:p>
    <w:p w14:paraId="3CE20C26">
      <w:pPr>
        <w:spacing w:line="600" w:lineRule="exact"/>
        <w:ind w:firstLine="640" w:firstLineChars="200"/>
        <w:outlineLvl w:val="0"/>
        <w:rPr>
          <w:rFonts w:eastAsia="仿宋_GB2312"/>
          <w:sz w:val="32"/>
          <w:szCs w:val="32"/>
        </w:rPr>
      </w:pPr>
      <w:r>
        <w:rPr>
          <w:rFonts w:eastAsia="仿宋_GB2312"/>
          <w:sz w:val="32"/>
          <w:szCs w:val="32"/>
        </w:rPr>
        <w:t>4.</w:t>
      </w:r>
      <w:r>
        <w:rPr>
          <w:rFonts w:hint="eastAsia" w:eastAsia="仿宋_GB2312"/>
          <w:sz w:val="32"/>
          <w:szCs w:val="32"/>
        </w:rPr>
        <w:t>未发现虚假行为和骗取财政资金的问题。</w:t>
      </w:r>
    </w:p>
    <w:p w14:paraId="4D1DB735">
      <w:pPr>
        <w:pStyle w:val="13"/>
        <w:spacing w:after="0" w:line="560" w:lineRule="exact"/>
        <w:ind w:left="0" w:leftChars="0" w:firstLine="640"/>
        <w:rPr>
          <w:rFonts w:ascii="Times New Roman" w:hAnsi="Times New Roman" w:eastAsia="仿宋_GB2312"/>
          <w:sz w:val="32"/>
          <w:szCs w:val="32"/>
        </w:rPr>
      </w:pPr>
    </w:p>
    <w:p w14:paraId="08010B87">
      <w:pPr>
        <w:pStyle w:val="13"/>
        <w:spacing w:after="0" w:line="560" w:lineRule="exact"/>
        <w:ind w:left="0" w:leftChars="0" w:firstLine="640"/>
        <w:rPr>
          <w:rFonts w:ascii="Times New Roman" w:hAnsi="Times New Roman" w:eastAsia="仿宋_GB2312"/>
          <w:sz w:val="32"/>
          <w:szCs w:val="32"/>
        </w:rPr>
      </w:pPr>
    </w:p>
    <w:p w14:paraId="2B23E940">
      <w:pPr>
        <w:pStyle w:val="13"/>
        <w:spacing w:after="0" w:line="560" w:lineRule="exact"/>
        <w:ind w:left="0" w:leftChars="0" w:firstLine="0" w:firstLineChars="0"/>
        <w:rPr>
          <w:rFonts w:ascii="Times New Roman" w:hAnsi="Times New Roman" w:eastAsia="仿宋_GB2312"/>
          <w:sz w:val="32"/>
          <w:szCs w:val="32"/>
        </w:rPr>
      </w:pPr>
    </w:p>
    <w:p w14:paraId="5E31E47B">
      <w:pPr>
        <w:spacing w:line="600" w:lineRule="exact"/>
        <w:rPr>
          <w:rFonts w:eastAsia="黑体"/>
          <w:sz w:val="32"/>
          <w:szCs w:val="32"/>
        </w:rPr>
        <w:sectPr>
          <w:footerReference r:id="rId3" w:type="default"/>
          <w:pgSz w:w="11906" w:h="16838"/>
          <w:pgMar w:top="1440" w:right="1558" w:bottom="1440" w:left="1800" w:header="851" w:footer="992" w:gutter="0"/>
          <w:pgNumType w:start="1"/>
          <w:cols w:space="425" w:num="1"/>
          <w:docGrid w:type="lines" w:linePitch="312" w:charSpace="0"/>
        </w:sectPr>
      </w:pPr>
    </w:p>
    <w:p w14:paraId="3B173DB7">
      <w:pPr>
        <w:spacing w:line="600" w:lineRule="exact"/>
        <w:rPr>
          <w:rFonts w:eastAsia="黑体"/>
          <w:sz w:val="32"/>
          <w:szCs w:val="32"/>
        </w:rPr>
      </w:pPr>
      <w:r>
        <w:rPr>
          <w:rFonts w:hint="eastAsia" w:eastAsia="黑体"/>
          <w:sz w:val="32"/>
          <w:szCs w:val="32"/>
        </w:rPr>
        <w:t>附件1</w:t>
      </w:r>
    </w:p>
    <w:p w14:paraId="05A77910">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rPr>
        <w:t>社区工作经费（6重点，11非重点）项目绩效评价指标体系及综合评分表</w:t>
      </w:r>
      <w:bookmarkEnd w:id="1"/>
      <w:bookmarkEnd w:id="2"/>
    </w:p>
    <w:tbl>
      <w:tblPr>
        <w:tblStyle w:val="14"/>
        <w:tblW w:w="447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02"/>
        <w:gridCol w:w="999"/>
        <w:gridCol w:w="1070"/>
        <w:gridCol w:w="1725"/>
        <w:gridCol w:w="5220"/>
        <w:gridCol w:w="1304"/>
        <w:gridCol w:w="1363"/>
      </w:tblGrid>
      <w:tr w14:paraId="42F3A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395" w:type="pct"/>
            <w:shd w:val="clear" w:color="auto" w:fill="FFFFFF"/>
            <w:vAlign w:val="center"/>
          </w:tcPr>
          <w:p w14:paraId="04DC1DA7">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0B6A440C">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06C13291">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3CBD8C9D">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4EC835C1">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71C31B55">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64FC6D22">
            <w:pPr>
              <w:widowControl/>
              <w:spacing w:line="0" w:lineRule="atLeast"/>
              <w:jc w:val="center"/>
              <w:rPr>
                <w:rFonts w:eastAsia="仿宋_GB2312"/>
                <w:b/>
                <w:bCs/>
                <w:kern w:val="0"/>
                <w:sz w:val="18"/>
                <w:szCs w:val="18"/>
              </w:rPr>
            </w:pPr>
            <w:r>
              <w:rPr>
                <w:rFonts w:eastAsia="仿宋_GB2312"/>
                <w:b/>
                <w:bCs/>
                <w:kern w:val="0"/>
                <w:sz w:val="18"/>
                <w:szCs w:val="18"/>
              </w:rPr>
              <w:t>得分</w:t>
            </w:r>
          </w:p>
        </w:tc>
      </w:tr>
      <w:tr w14:paraId="19BB6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395" w:type="pct"/>
            <w:vMerge w:val="restart"/>
            <w:shd w:val="clear" w:color="auto" w:fill="FFFFFF"/>
            <w:vAlign w:val="center"/>
          </w:tcPr>
          <w:p w14:paraId="18A1F543">
            <w:pPr>
              <w:widowControl/>
              <w:spacing w:line="0" w:lineRule="atLeast"/>
              <w:jc w:val="center"/>
              <w:rPr>
                <w:rFonts w:eastAsia="仿宋_GB2312"/>
                <w:kern w:val="0"/>
                <w:sz w:val="18"/>
                <w:szCs w:val="18"/>
              </w:rPr>
            </w:pPr>
          </w:p>
          <w:p w14:paraId="184AD00D">
            <w:pPr>
              <w:widowControl/>
              <w:spacing w:line="0" w:lineRule="atLeast"/>
              <w:jc w:val="center"/>
              <w:rPr>
                <w:rFonts w:eastAsia="仿宋_GB2312"/>
                <w:kern w:val="0"/>
                <w:sz w:val="18"/>
                <w:szCs w:val="18"/>
              </w:rPr>
            </w:pPr>
          </w:p>
          <w:p w14:paraId="091C4BDB">
            <w:pPr>
              <w:widowControl/>
              <w:spacing w:line="0" w:lineRule="atLeast"/>
              <w:jc w:val="center"/>
              <w:rPr>
                <w:rFonts w:eastAsia="仿宋_GB2312"/>
                <w:kern w:val="0"/>
                <w:sz w:val="18"/>
                <w:szCs w:val="18"/>
              </w:rPr>
            </w:pPr>
          </w:p>
          <w:p w14:paraId="1D96CED4">
            <w:pPr>
              <w:widowControl/>
              <w:spacing w:line="0" w:lineRule="atLeast"/>
              <w:jc w:val="center"/>
              <w:rPr>
                <w:rFonts w:eastAsia="仿宋_GB2312"/>
                <w:kern w:val="0"/>
                <w:sz w:val="18"/>
                <w:szCs w:val="18"/>
              </w:rPr>
            </w:pPr>
          </w:p>
          <w:p w14:paraId="3D894C52">
            <w:pPr>
              <w:widowControl/>
              <w:spacing w:line="0" w:lineRule="atLeast"/>
              <w:jc w:val="center"/>
              <w:rPr>
                <w:rFonts w:eastAsia="仿宋_GB2312"/>
                <w:kern w:val="0"/>
                <w:sz w:val="18"/>
                <w:szCs w:val="18"/>
              </w:rPr>
            </w:pPr>
          </w:p>
          <w:p w14:paraId="5741AD32">
            <w:pPr>
              <w:widowControl/>
              <w:spacing w:line="0" w:lineRule="atLeast"/>
              <w:jc w:val="center"/>
              <w:rPr>
                <w:rFonts w:eastAsia="仿宋_GB2312"/>
                <w:kern w:val="0"/>
                <w:sz w:val="18"/>
                <w:szCs w:val="18"/>
              </w:rPr>
            </w:pPr>
          </w:p>
          <w:p w14:paraId="0D9E34FA">
            <w:pPr>
              <w:widowControl/>
              <w:spacing w:line="0" w:lineRule="atLeast"/>
              <w:jc w:val="center"/>
              <w:rPr>
                <w:rFonts w:eastAsia="仿宋_GB2312"/>
                <w:kern w:val="0"/>
                <w:sz w:val="18"/>
                <w:szCs w:val="18"/>
              </w:rPr>
            </w:pPr>
            <w:r>
              <w:rPr>
                <w:rFonts w:eastAsia="仿宋_GB2312"/>
                <w:kern w:val="0"/>
                <w:sz w:val="18"/>
                <w:szCs w:val="18"/>
              </w:rPr>
              <w:t>决策　</w:t>
            </w:r>
          </w:p>
        </w:tc>
        <w:tc>
          <w:tcPr>
            <w:tcW w:w="394" w:type="pct"/>
            <w:vMerge w:val="restart"/>
            <w:shd w:val="clear" w:color="auto" w:fill="FFFFFF"/>
            <w:vAlign w:val="center"/>
          </w:tcPr>
          <w:p w14:paraId="09631E2F">
            <w:pPr>
              <w:widowControl/>
              <w:spacing w:line="0" w:lineRule="atLeast"/>
              <w:jc w:val="center"/>
              <w:rPr>
                <w:rFonts w:eastAsia="仿宋_GB2312"/>
                <w:kern w:val="0"/>
                <w:sz w:val="18"/>
                <w:szCs w:val="18"/>
              </w:rPr>
            </w:pPr>
            <w:r>
              <w:rPr>
                <w:rFonts w:eastAsia="仿宋_GB2312"/>
                <w:kern w:val="0"/>
                <w:sz w:val="18"/>
                <w:szCs w:val="18"/>
              </w:rPr>
              <w:t>项目立项　</w:t>
            </w:r>
          </w:p>
        </w:tc>
        <w:tc>
          <w:tcPr>
            <w:tcW w:w="422" w:type="pct"/>
            <w:shd w:val="clear" w:color="auto" w:fill="FFFFFF"/>
            <w:vAlign w:val="center"/>
          </w:tcPr>
          <w:p w14:paraId="3A89AFDD">
            <w:pPr>
              <w:widowControl/>
              <w:spacing w:line="0" w:lineRule="atLeast"/>
              <w:jc w:val="center"/>
              <w:rPr>
                <w:rFonts w:eastAsia="仿宋_GB2312"/>
                <w:kern w:val="0"/>
                <w:sz w:val="18"/>
                <w:szCs w:val="18"/>
              </w:rPr>
            </w:pPr>
            <w:r>
              <w:rPr>
                <w:rFonts w:eastAsia="仿宋_GB2312"/>
                <w:kern w:val="0"/>
                <w:sz w:val="18"/>
                <w:szCs w:val="18"/>
              </w:rPr>
              <w:t>立项依据</w:t>
            </w:r>
          </w:p>
          <w:p w14:paraId="4F2C935E">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7C1E4E11">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31A5E8F9">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①项目立项是否符合国家法律法规、国民经济发展规划和相关政策；</w:t>
            </w:r>
            <w:r>
              <w:rPr>
                <w:rFonts w:eastAsia="仿宋_GB2312"/>
                <w:kern w:val="0"/>
                <w:sz w:val="18"/>
                <w:szCs w:val="18"/>
              </w:rPr>
              <w:br w:type="textWrapping"/>
            </w:r>
            <w:r>
              <w:rPr>
                <w:rFonts w:eastAsia="仿宋_GB2312"/>
                <w:kern w:val="0"/>
                <w:sz w:val="18"/>
                <w:szCs w:val="18"/>
              </w:rPr>
              <w:t>②项目立项是否符合行业发展规划和政策要求；</w:t>
            </w:r>
            <w:r>
              <w:rPr>
                <w:rFonts w:eastAsia="仿宋_GB2312"/>
                <w:kern w:val="0"/>
                <w:sz w:val="18"/>
                <w:szCs w:val="18"/>
              </w:rPr>
              <w:br w:type="textWrapping"/>
            </w:r>
            <w:r>
              <w:rPr>
                <w:rFonts w:eastAsia="仿宋_GB2312"/>
                <w:kern w:val="0"/>
                <w:sz w:val="18"/>
                <w:szCs w:val="18"/>
              </w:rPr>
              <w:t>③项目立项是否与部门职责范围相符，属于部门履职所需；</w:t>
            </w:r>
            <w:r>
              <w:rPr>
                <w:rFonts w:eastAsia="仿宋_GB2312"/>
                <w:kern w:val="0"/>
                <w:sz w:val="18"/>
                <w:szCs w:val="18"/>
              </w:rPr>
              <w:br w:type="textWrapping"/>
            </w:r>
            <w:r>
              <w:rPr>
                <w:rFonts w:eastAsia="仿宋_GB2312"/>
                <w:kern w:val="0"/>
                <w:sz w:val="18"/>
                <w:szCs w:val="18"/>
              </w:rPr>
              <w:t>④项目是否属于公共财政支持范围，是否符合中央、地方事权支出责任划分原则；</w:t>
            </w:r>
            <w:r>
              <w:rPr>
                <w:rFonts w:eastAsia="仿宋_GB2312"/>
                <w:kern w:val="0"/>
                <w:sz w:val="18"/>
                <w:szCs w:val="18"/>
              </w:rPr>
              <w:br w:type="textWrapping"/>
            </w:r>
            <w:r>
              <w:rPr>
                <w:rFonts w:eastAsia="仿宋_GB2312"/>
                <w:kern w:val="0"/>
                <w:sz w:val="18"/>
                <w:szCs w:val="18"/>
              </w:rPr>
              <w:t>⑤项目是否与相关部门同类项目或部门内部相关项目重复。</w:t>
            </w:r>
          </w:p>
        </w:tc>
        <w:tc>
          <w:tcPr>
            <w:tcW w:w="514" w:type="pct"/>
            <w:shd w:val="clear" w:color="auto" w:fill="FFFFFF"/>
            <w:vAlign w:val="center"/>
          </w:tcPr>
          <w:p w14:paraId="44E7699B">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7CCB2E48">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701449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460D7FA3">
            <w:pPr>
              <w:spacing w:line="0" w:lineRule="atLeast"/>
              <w:jc w:val="center"/>
              <w:rPr>
                <w:rFonts w:eastAsia="仿宋_GB2312"/>
                <w:kern w:val="0"/>
                <w:sz w:val="18"/>
                <w:szCs w:val="18"/>
              </w:rPr>
            </w:pPr>
          </w:p>
        </w:tc>
        <w:tc>
          <w:tcPr>
            <w:tcW w:w="394" w:type="pct"/>
            <w:vMerge w:val="continue"/>
            <w:shd w:val="clear" w:color="auto" w:fill="FFFFFF"/>
            <w:vAlign w:val="center"/>
          </w:tcPr>
          <w:p w14:paraId="0EE67BD1">
            <w:pPr>
              <w:widowControl/>
              <w:spacing w:line="0" w:lineRule="atLeast"/>
              <w:jc w:val="center"/>
              <w:rPr>
                <w:rFonts w:eastAsia="仿宋_GB2312"/>
                <w:kern w:val="0"/>
                <w:sz w:val="18"/>
                <w:szCs w:val="18"/>
              </w:rPr>
            </w:pPr>
          </w:p>
        </w:tc>
        <w:tc>
          <w:tcPr>
            <w:tcW w:w="422" w:type="pct"/>
            <w:shd w:val="clear" w:color="auto" w:fill="FFFFFF"/>
            <w:vAlign w:val="center"/>
          </w:tcPr>
          <w:p w14:paraId="3B28AE1C">
            <w:pPr>
              <w:widowControl/>
              <w:spacing w:line="0" w:lineRule="atLeast"/>
              <w:jc w:val="center"/>
              <w:rPr>
                <w:rFonts w:eastAsia="仿宋_GB2312"/>
                <w:kern w:val="0"/>
                <w:sz w:val="18"/>
                <w:szCs w:val="18"/>
              </w:rPr>
            </w:pPr>
            <w:r>
              <w:rPr>
                <w:rFonts w:eastAsia="仿宋_GB2312"/>
                <w:kern w:val="0"/>
                <w:sz w:val="18"/>
                <w:szCs w:val="18"/>
              </w:rPr>
              <w:t>立项程序</w:t>
            </w:r>
          </w:p>
          <w:p w14:paraId="22AC2FF5">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42B87DEE">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3AC3E895">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①项目是否按照规定的程序申请设立；</w:t>
            </w:r>
            <w:r>
              <w:rPr>
                <w:rFonts w:eastAsia="仿宋_GB2312"/>
                <w:kern w:val="0"/>
                <w:sz w:val="18"/>
                <w:szCs w:val="18"/>
              </w:rPr>
              <w:br w:type="textWrapping"/>
            </w:r>
            <w:r>
              <w:rPr>
                <w:rFonts w:eastAsia="仿宋_GB2312"/>
                <w:kern w:val="0"/>
                <w:sz w:val="18"/>
                <w:szCs w:val="18"/>
              </w:rPr>
              <w:t>②审批文件、材料是否符合相关要求；</w:t>
            </w:r>
            <w:r>
              <w:rPr>
                <w:rFonts w:eastAsia="仿宋_GB2312"/>
                <w:kern w:val="0"/>
                <w:sz w:val="18"/>
                <w:szCs w:val="18"/>
              </w:rPr>
              <w:br w:type="textWrapping"/>
            </w:r>
            <w:r>
              <w:rPr>
                <w:rFonts w:eastAsia="仿宋_GB2312"/>
                <w:kern w:val="0"/>
                <w:sz w:val="18"/>
                <w:szCs w:val="18"/>
              </w:rPr>
              <w:t>③事前是否已经过必要的可行性研究、专家论证、风险评估、绩效评估、集体决策。</w:t>
            </w:r>
          </w:p>
        </w:tc>
        <w:tc>
          <w:tcPr>
            <w:tcW w:w="514" w:type="pct"/>
            <w:shd w:val="clear" w:color="auto" w:fill="FFFFFF"/>
            <w:vAlign w:val="center"/>
          </w:tcPr>
          <w:p w14:paraId="08BE5CCC">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09FAA839">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0F4D8E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395" w:type="pct"/>
            <w:vMerge w:val="continue"/>
            <w:shd w:val="clear" w:color="auto" w:fill="FFFFFF"/>
            <w:vAlign w:val="center"/>
          </w:tcPr>
          <w:p w14:paraId="554E0550">
            <w:pPr>
              <w:spacing w:line="0" w:lineRule="atLeast"/>
              <w:jc w:val="center"/>
              <w:rPr>
                <w:rFonts w:eastAsia="仿宋_GB2312"/>
                <w:kern w:val="0"/>
                <w:sz w:val="18"/>
                <w:szCs w:val="18"/>
              </w:rPr>
            </w:pPr>
          </w:p>
        </w:tc>
        <w:tc>
          <w:tcPr>
            <w:tcW w:w="394" w:type="pct"/>
            <w:vMerge w:val="restart"/>
            <w:shd w:val="clear" w:color="auto" w:fill="FFFFFF"/>
            <w:vAlign w:val="center"/>
          </w:tcPr>
          <w:p w14:paraId="2D2EBA2F">
            <w:pPr>
              <w:widowControl/>
              <w:spacing w:line="0" w:lineRule="atLeast"/>
              <w:jc w:val="center"/>
              <w:rPr>
                <w:rFonts w:eastAsia="仿宋_GB2312"/>
                <w:kern w:val="0"/>
                <w:sz w:val="18"/>
                <w:szCs w:val="18"/>
              </w:rPr>
            </w:pPr>
            <w:r>
              <w:rPr>
                <w:rFonts w:eastAsia="仿宋_GB2312"/>
                <w:kern w:val="0"/>
                <w:sz w:val="18"/>
                <w:szCs w:val="18"/>
              </w:rPr>
              <w:t>绩效目标　</w:t>
            </w:r>
          </w:p>
        </w:tc>
        <w:tc>
          <w:tcPr>
            <w:tcW w:w="422" w:type="pct"/>
            <w:shd w:val="clear" w:color="auto" w:fill="FFFFFF"/>
            <w:vAlign w:val="center"/>
          </w:tcPr>
          <w:p w14:paraId="74A97B08">
            <w:pPr>
              <w:widowControl/>
              <w:spacing w:line="0" w:lineRule="atLeast"/>
              <w:jc w:val="center"/>
              <w:rPr>
                <w:rFonts w:eastAsia="仿宋_GB2312"/>
                <w:kern w:val="0"/>
                <w:sz w:val="18"/>
                <w:szCs w:val="18"/>
              </w:rPr>
            </w:pPr>
            <w:r>
              <w:rPr>
                <w:rFonts w:eastAsia="仿宋_GB2312"/>
                <w:kern w:val="0"/>
                <w:sz w:val="18"/>
                <w:szCs w:val="18"/>
              </w:rPr>
              <w:t>绩效目标</w:t>
            </w:r>
          </w:p>
          <w:p w14:paraId="24E1D992">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07646CAA">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32A97932">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（如未设定预算绩效目标，也可考核其他工作任务目标）</w:t>
            </w:r>
            <w:r>
              <w:rPr>
                <w:rFonts w:eastAsia="仿宋_GB2312"/>
                <w:kern w:val="0"/>
                <w:sz w:val="18"/>
                <w:szCs w:val="18"/>
              </w:rPr>
              <w:br w:type="textWrapping"/>
            </w:r>
            <w:r>
              <w:rPr>
                <w:rFonts w:eastAsia="仿宋_GB2312"/>
                <w:kern w:val="0"/>
                <w:sz w:val="18"/>
                <w:szCs w:val="18"/>
              </w:rPr>
              <w:t>①项目是否有绩效目标；</w:t>
            </w:r>
            <w:r>
              <w:rPr>
                <w:rFonts w:eastAsia="仿宋_GB2312"/>
                <w:kern w:val="0"/>
                <w:sz w:val="18"/>
                <w:szCs w:val="18"/>
              </w:rPr>
              <w:br w:type="textWrapping"/>
            </w:r>
            <w:r>
              <w:rPr>
                <w:rFonts w:eastAsia="仿宋_GB2312"/>
                <w:kern w:val="0"/>
                <w:sz w:val="18"/>
                <w:szCs w:val="18"/>
              </w:rPr>
              <w:t>②项目绩效目标与实际工作内容是否具有相关性；</w:t>
            </w:r>
            <w:r>
              <w:rPr>
                <w:rFonts w:eastAsia="仿宋_GB2312"/>
                <w:kern w:val="0"/>
                <w:sz w:val="18"/>
                <w:szCs w:val="18"/>
              </w:rPr>
              <w:br w:type="textWrapping"/>
            </w:r>
            <w:r>
              <w:rPr>
                <w:rFonts w:eastAsia="仿宋_GB2312"/>
                <w:kern w:val="0"/>
                <w:sz w:val="18"/>
                <w:szCs w:val="18"/>
              </w:rPr>
              <w:t>③项目预期产出效益和效果是否符合正常的业绩水平；</w:t>
            </w:r>
          </w:p>
          <w:p w14:paraId="2A9B38ED">
            <w:pPr>
              <w:widowControl/>
              <w:spacing w:line="0" w:lineRule="atLeast"/>
              <w:jc w:val="left"/>
              <w:rPr>
                <w:rFonts w:eastAsia="仿宋_GB2312"/>
                <w:kern w:val="0"/>
                <w:sz w:val="18"/>
                <w:szCs w:val="18"/>
              </w:rPr>
            </w:pPr>
            <w:r>
              <w:rPr>
                <w:rFonts w:eastAsia="仿宋_GB2312"/>
                <w:kern w:val="0"/>
                <w:sz w:val="18"/>
                <w:szCs w:val="18"/>
              </w:rPr>
              <w:t>④是否与预算确定的项目投资额或资金量相匹配。</w:t>
            </w:r>
          </w:p>
        </w:tc>
        <w:tc>
          <w:tcPr>
            <w:tcW w:w="514" w:type="pct"/>
            <w:shd w:val="clear" w:color="000000" w:fill="FFFFFF"/>
            <w:vAlign w:val="center"/>
          </w:tcPr>
          <w:p w14:paraId="1FE393B2">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78A5E4F5">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1FE064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395" w:type="pct"/>
            <w:vMerge w:val="continue"/>
            <w:shd w:val="clear" w:color="auto" w:fill="FFFFFF"/>
            <w:vAlign w:val="center"/>
          </w:tcPr>
          <w:p w14:paraId="2D581CA0">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84EF002">
            <w:pPr>
              <w:widowControl/>
              <w:spacing w:line="0" w:lineRule="atLeast"/>
              <w:jc w:val="center"/>
              <w:rPr>
                <w:rFonts w:eastAsia="仿宋_GB2312"/>
                <w:kern w:val="0"/>
                <w:sz w:val="18"/>
                <w:szCs w:val="18"/>
              </w:rPr>
            </w:pPr>
          </w:p>
        </w:tc>
        <w:tc>
          <w:tcPr>
            <w:tcW w:w="422" w:type="pct"/>
            <w:shd w:val="clear" w:color="auto" w:fill="FFFFFF"/>
            <w:vAlign w:val="center"/>
          </w:tcPr>
          <w:p w14:paraId="775A33F2">
            <w:pPr>
              <w:widowControl/>
              <w:spacing w:line="0" w:lineRule="atLeast"/>
              <w:jc w:val="center"/>
              <w:rPr>
                <w:rFonts w:eastAsia="仿宋_GB2312"/>
                <w:kern w:val="0"/>
                <w:sz w:val="18"/>
                <w:szCs w:val="18"/>
              </w:rPr>
            </w:pPr>
            <w:r>
              <w:rPr>
                <w:rFonts w:eastAsia="仿宋_GB2312"/>
                <w:kern w:val="0"/>
                <w:sz w:val="18"/>
                <w:szCs w:val="18"/>
              </w:rPr>
              <w:t>绩效指标</w:t>
            </w:r>
          </w:p>
          <w:p w14:paraId="5A87C618">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25C7783D">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705C76C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①是否将项目绩效目标细化分解为具体的绩效指标；</w:t>
            </w:r>
            <w:r>
              <w:rPr>
                <w:rFonts w:eastAsia="仿宋_GB2312"/>
                <w:kern w:val="0"/>
                <w:sz w:val="18"/>
                <w:szCs w:val="18"/>
              </w:rPr>
              <w:br w:type="textWrapping"/>
            </w:r>
            <w:r>
              <w:rPr>
                <w:rFonts w:eastAsia="仿宋_GB2312"/>
                <w:kern w:val="0"/>
                <w:sz w:val="18"/>
                <w:szCs w:val="18"/>
              </w:rPr>
              <w:t>②是否通过清晰、可衡量的指标值予以体现；</w:t>
            </w:r>
            <w:r>
              <w:rPr>
                <w:rFonts w:eastAsia="仿宋_GB2312"/>
                <w:kern w:val="0"/>
                <w:sz w:val="18"/>
                <w:szCs w:val="18"/>
              </w:rPr>
              <w:br w:type="textWrapping"/>
            </w:r>
            <w:r>
              <w:rPr>
                <w:rFonts w:eastAsia="仿宋_GB2312"/>
                <w:kern w:val="0"/>
                <w:sz w:val="18"/>
                <w:szCs w:val="18"/>
              </w:rPr>
              <w:t>③是否与项目目标任务数或计划数相对应。</w:t>
            </w:r>
            <w:r>
              <w:rPr>
                <w:rFonts w:eastAsia="仿宋_GB2312"/>
                <w:kern w:val="0"/>
                <w:sz w:val="18"/>
                <w:szCs w:val="18"/>
              </w:rPr>
              <w:br w:type="textWrapping"/>
            </w:r>
          </w:p>
        </w:tc>
        <w:tc>
          <w:tcPr>
            <w:tcW w:w="514" w:type="pct"/>
            <w:shd w:val="clear" w:color="000000" w:fill="FFFFFF"/>
            <w:vAlign w:val="center"/>
          </w:tcPr>
          <w:p w14:paraId="2644A59A">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3291D68B">
            <w:pPr>
              <w:widowControl/>
              <w:spacing w:line="0" w:lineRule="atLeast"/>
              <w:jc w:val="center"/>
              <w:rPr>
                <w:rFonts w:eastAsia="仿宋_GB2312"/>
                <w:b/>
                <w:bCs/>
                <w:kern w:val="0"/>
                <w:sz w:val="18"/>
                <w:szCs w:val="18"/>
              </w:rPr>
            </w:pPr>
            <w:r>
              <w:rPr>
                <w:rFonts w:hint="eastAsia" w:eastAsia="仿宋_GB2312"/>
                <w:b/>
                <w:bCs/>
                <w:kern w:val="0"/>
                <w:sz w:val="18"/>
                <w:szCs w:val="18"/>
              </w:rPr>
              <w:t>3</w:t>
            </w:r>
          </w:p>
        </w:tc>
      </w:tr>
      <w:tr w14:paraId="30D94A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395" w:type="pct"/>
            <w:vMerge w:val="continue"/>
            <w:shd w:val="clear" w:color="auto" w:fill="FFFFFF"/>
            <w:vAlign w:val="center"/>
          </w:tcPr>
          <w:p w14:paraId="7E8C5DB7">
            <w:pPr>
              <w:spacing w:line="0" w:lineRule="atLeast"/>
              <w:jc w:val="center"/>
              <w:rPr>
                <w:rFonts w:eastAsia="仿宋_GB2312"/>
                <w:kern w:val="0"/>
                <w:sz w:val="18"/>
                <w:szCs w:val="18"/>
              </w:rPr>
            </w:pPr>
          </w:p>
        </w:tc>
        <w:tc>
          <w:tcPr>
            <w:tcW w:w="394" w:type="pct"/>
            <w:vMerge w:val="restart"/>
            <w:shd w:val="clear" w:color="auto" w:fill="FFFFFF"/>
            <w:vAlign w:val="center"/>
          </w:tcPr>
          <w:p w14:paraId="69F42738">
            <w:pPr>
              <w:widowControl/>
              <w:spacing w:line="0" w:lineRule="atLeast"/>
              <w:jc w:val="center"/>
              <w:rPr>
                <w:rFonts w:eastAsia="仿宋_GB2312"/>
                <w:kern w:val="0"/>
                <w:sz w:val="18"/>
                <w:szCs w:val="18"/>
              </w:rPr>
            </w:pPr>
            <w:r>
              <w:rPr>
                <w:rFonts w:eastAsia="仿宋_GB2312"/>
                <w:kern w:val="0"/>
                <w:sz w:val="18"/>
                <w:szCs w:val="18"/>
              </w:rPr>
              <w:t>资金投入</w:t>
            </w:r>
          </w:p>
          <w:p w14:paraId="5691855B">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27B5D11F">
            <w:pPr>
              <w:widowControl/>
              <w:spacing w:line="0" w:lineRule="atLeast"/>
              <w:jc w:val="center"/>
              <w:rPr>
                <w:rFonts w:eastAsia="仿宋_GB2312"/>
                <w:kern w:val="0"/>
                <w:sz w:val="18"/>
                <w:szCs w:val="18"/>
              </w:rPr>
            </w:pPr>
            <w:r>
              <w:rPr>
                <w:rFonts w:eastAsia="仿宋_GB2312"/>
                <w:kern w:val="0"/>
                <w:sz w:val="18"/>
                <w:szCs w:val="18"/>
              </w:rPr>
              <w:t>预算编制</w:t>
            </w:r>
          </w:p>
          <w:p w14:paraId="05245CAB">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5F03CDC2">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2FF969D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①预算编制是否经过科学论证；</w:t>
            </w:r>
            <w:r>
              <w:rPr>
                <w:rFonts w:eastAsia="仿宋_GB2312"/>
                <w:kern w:val="0"/>
                <w:sz w:val="18"/>
                <w:szCs w:val="18"/>
              </w:rPr>
              <w:br w:type="textWrapping"/>
            </w:r>
            <w:r>
              <w:rPr>
                <w:rFonts w:eastAsia="仿宋_GB2312"/>
                <w:kern w:val="0"/>
                <w:sz w:val="18"/>
                <w:szCs w:val="18"/>
              </w:rPr>
              <w:t>②预算内容与项目内容是否匹配；</w:t>
            </w:r>
            <w:r>
              <w:rPr>
                <w:rFonts w:eastAsia="仿宋_GB2312"/>
                <w:kern w:val="0"/>
                <w:sz w:val="18"/>
                <w:szCs w:val="18"/>
              </w:rPr>
              <w:br w:type="textWrapping"/>
            </w:r>
            <w:r>
              <w:rPr>
                <w:rFonts w:eastAsia="仿宋_GB2312"/>
                <w:kern w:val="0"/>
                <w:sz w:val="18"/>
                <w:szCs w:val="18"/>
              </w:rPr>
              <w:t>③预算额度测算依据是否充分，是否按照标准编制；</w:t>
            </w:r>
            <w:r>
              <w:rPr>
                <w:rFonts w:eastAsia="仿宋_GB2312"/>
                <w:kern w:val="0"/>
                <w:sz w:val="18"/>
                <w:szCs w:val="18"/>
              </w:rPr>
              <w:br w:type="textWrapping"/>
            </w:r>
            <w:r>
              <w:rPr>
                <w:rFonts w:eastAsia="仿宋_GB2312"/>
                <w:kern w:val="0"/>
                <w:sz w:val="18"/>
                <w:szCs w:val="18"/>
              </w:rPr>
              <w:t>④预算确定的项目投资额或资金量是否与工作任务相匹配。</w:t>
            </w:r>
          </w:p>
        </w:tc>
        <w:tc>
          <w:tcPr>
            <w:tcW w:w="514" w:type="pct"/>
            <w:shd w:val="clear" w:color="auto" w:fill="FFFFFF"/>
            <w:vAlign w:val="center"/>
          </w:tcPr>
          <w:p w14:paraId="0E5D1E57">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2561B7EA">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4C08D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395" w:type="pct"/>
            <w:vMerge w:val="continue"/>
            <w:shd w:val="clear" w:color="auto" w:fill="FFFFFF"/>
            <w:vAlign w:val="center"/>
          </w:tcPr>
          <w:p w14:paraId="1B0616F8">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53ABEB61">
            <w:pPr>
              <w:widowControl/>
              <w:spacing w:line="0" w:lineRule="atLeast"/>
              <w:jc w:val="center"/>
              <w:rPr>
                <w:rFonts w:eastAsia="仿宋_GB2312"/>
                <w:kern w:val="0"/>
                <w:sz w:val="18"/>
                <w:szCs w:val="18"/>
              </w:rPr>
            </w:pPr>
          </w:p>
        </w:tc>
        <w:tc>
          <w:tcPr>
            <w:tcW w:w="422" w:type="pct"/>
            <w:shd w:val="clear" w:color="auto" w:fill="FFFFFF"/>
            <w:vAlign w:val="center"/>
          </w:tcPr>
          <w:p w14:paraId="0571C66D">
            <w:pPr>
              <w:widowControl/>
              <w:spacing w:line="0" w:lineRule="atLeast"/>
              <w:jc w:val="center"/>
              <w:rPr>
                <w:rFonts w:eastAsia="仿宋_GB2312"/>
                <w:kern w:val="0"/>
                <w:sz w:val="18"/>
                <w:szCs w:val="18"/>
              </w:rPr>
            </w:pPr>
            <w:r>
              <w:rPr>
                <w:rFonts w:eastAsia="仿宋_GB2312"/>
                <w:kern w:val="0"/>
                <w:sz w:val="18"/>
                <w:szCs w:val="18"/>
              </w:rPr>
              <w:t>资金分配</w:t>
            </w:r>
          </w:p>
          <w:p w14:paraId="78D6036F">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454EB03C">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6CBD1D3">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①预算资金分配依据是否充分；</w:t>
            </w:r>
            <w:r>
              <w:rPr>
                <w:rFonts w:eastAsia="仿宋_GB2312"/>
                <w:kern w:val="0"/>
                <w:sz w:val="18"/>
                <w:szCs w:val="18"/>
              </w:rPr>
              <w:br w:type="textWrapping"/>
            </w:r>
            <w:r>
              <w:rPr>
                <w:rFonts w:eastAsia="仿宋_GB2312"/>
                <w:kern w:val="0"/>
                <w:sz w:val="18"/>
                <w:szCs w:val="18"/>
              </w:rPr>
              <w:t>②资金分配额度是否合理，与项目单位或地方实际是否相适应。</w:t>
            </w:r>
          </w:p>
        </w:tc>
        <w:tc>
          <w:tcPr>
            <w:tcW w:w="514" w:type="pct"/>
            <w:shd w:val="clear" w:color="auto" w:fill="FFFFFF"/>
            <w:vAlign w:val="center"/>
          </w:tcPr>
          <w:p w14:paraId="043D784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53CE422">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0BA02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395" w:type="pct"/>
            <w:vMerge w:val="restart"/>
            <w:shd w:val="clear" w:color="auto" w:fill="FFFFFF"/>
            <w:vAlign w:val="center"/>
          </w:tcPr>
          <w:p w14:paraId="09E41DBE">
            <w:pPr>
              <w:spacing w:line="0" w:lineRule="atLeast"/>
              <w:jc w:val="center"/>
              <w:rPr>
                <w:rFonts w:eastAsia="仿宋_GB2312"/>
                <w:kern w:val="0"/>
                <w:sz w:val="18"/>
                <w:szCs w:val="18"/>
              </w:rPr>
            </w:pPr>
          </w:p>
          <w:p w14:paraId="0F55A697">
            <w:pPr>
              <w:spacing w:line="0" w:lineRule="atLeast"/>
              <w:jc w:val="center"/>
              <w:rPr>
                <w:rFonts w:eastAsia="仿宋_GB2312"/>
                <w:kern w:val="0"/>
                <w:sz w:val="18"/>
                <w:szCs w:val="18"/>
              </w:rPr>
            </w:pPr>
          </w:p>
          <w:p w14:paraId="63E4BAE8">
            <w:pPr>
              <w:spacing w:line="0" w:lineRule="atLeast"/>
              <w:jc w:val="center"/>
              <w:rPr>
                <w:rFonts w:eastAsia="仿宋_GB2312"/>
                <w:kern w:val="0"/>
                <w:sz w:val="18"/>
                <w:szCs w:val="18"/>
              </w:rPr>
            </w:pPr>
          </w:p>
          <w:p w14:paraId="58E33E21">
            <w:pPr>
              <w:spacing w:line="0" w:lineRule="atLeast"/>
              <w:jc w:val="center"/>
              <w:rPr>
                <w:rFonts w:eastAsia="仿宋_GB2312"/>
                <w:kern w:val="0"/>
                <w:sz w:val="18"/>
                <w:szCs w:val="18"/>
              </w:rPr>
            </w:pPr>
          </w:p>
          <w:p w14:paraId="20D36EC0">
            <w:pPr>
              <w:spacing w:line="0" w:lineRule="atLeast"/>
              <w:jc w:val="center"/>
              <w:rPr>
                <w:rFonts w:eastAsia="仿宋_GB2312"/>
                <w:kern w:val="0"/>
                <w:sz w:val="18"/>
                <w:szCs w:val="18"/>
              </w:rPr>
            </w:pPr>
          </w:p>
          <w:p w14:paraId="6A4C91C4">
            <w:pPr>
              <w:spacing w:line="0" w:lineRule="atLeast"/>
              <w:jc w:val="center"/>
              <w:rPr>
                <w:rFonts w:eastAsia="仿宋_GB2312"/>
                <w:kern w:val="0"/>
                <w:sz w:val="18"/>
                <w:szCs w:val="18"/>
              </w:rPr>
            </w:pPr>
          </w:p>
          <w:p w14:paraId="1680FA20">
            <w:pPr>
              <w:spacing w:line="0" w:lineRule="atLeast"/>
              <w:jc w:val="center"/>
              <w:rPr>
                <w:rFonts w:eastAsia="仿宋_GB2312"/>
                <w:kern w:val="0"/>
                <w:sz w:val="18"/>
                <w:szCs w:val="18"/>
              </w:rPr>
            </w:pPr>
          </w:p>
          <w:p w14:paraId="6D086302">
            <w:pPr>
              <w:spacing w:line="0" w:lineRule="atLeast"/>
              <w:jc w:val="center"/>
              <w:rPr>
                <w:rFonts w:eastAsia="仿宋_GB2312"/>
                <w:kern w:val="0"/>
                <w:sz w:val="18"/>
                <w:szCs w:val="18"/>
              </w:rPr>
            </w:pPr>
          </w:p>
          <w:p w14:paraId="75CB2535">
            <w:pPr>
              <w:spacing w:line="0" w:lineRule="atLeast"/>
              <w:jc w:val="center"/>
              <w:rPr>
                <w:rFonts w:eastAsia="仿宋_GB2312"/>
                <w:kern w:val="0"/>
                <w:sz w:val="18"/>
                <w:szCs w:val="18"/>
              </w:rPr>
            </w:pPr>
          </w:p>
          <w:p w14:paraId="0D5F483C">
            <w:pPr>
              <w:spacing w:line="0" w:lineRule="atLeast"/>
              <w:jc w:val="center"/>
              <w:rPr>
                <w:rFonts w:eastAsia="仿宋_GB2312"/>
                <w:kern w:val="0"/>
                <w:sz w:val="18"/>
                <w:szCs w:val="18"/>
              </w:rPr>
            </w:pPr>
          </w:p>
          <w:p w14:paraId="1B62E184">
            <w:pPr>
              <w:spacing w:line="0" w:lineRule="atLeast"/>
              <w:jc w:val="center"/>
              <w:rPr>
                <w:rFonts w:eastAsia="仿宋_GB2312"/>
                <w:kern w:val="0"/>
                <w:sz w:val="18"/>
                <w:szCs w:val="18"/>
              </w:rPr>
            </w:pPr>
          </w:p>
          <w:p w14:paraId="3B7255E0">
            <w:pPr>
              <w:spacing w:line="0" w:lineRule="atLeast"/>
              <w:jc w:val="center"/>
              <w:rPr>
                <w:rFonts w:eastAsia="仿宋_GB2312"/>
                <w:kern w:val="0"/>
                <w:sz w:val="18"/>
                <w:szCs w:val="18"/>
              </w:rPr>
            </w:pPr>
          </w:p>
          <w:p w14:paraId="2C5552CF">
            <w:pPr>
              <w:spacing w:line="0" w:lineRule="atLeast"/>
              <w:jc w:val="center"/>
              <w:rPr>
                <w:rFonts w:eastAsia="仿宋_GB2312"/>
                <w:kern w:val="0"/>
                <w:sz w:val="18"/>
                <w:szCs w:val="18"/>
              </w:rPr>
            </w:pPr>
          </w:p>
          <w:p w14:paraId="6056A045">
            <w:pPr>
              <w:spacing w:line="0" w:lineRule="atLeast"/>
              <w:jc w:val="center"/>
              <w:rPr>
                <w:rFonts w:eastAsia="仿宋_GB2312"/>
                <w:kern w:val="0"/>
                <w:sz w:val="18"/>
                <w:szCs w:val="18"/>
              </w:rPr>
            </w:pPr>
          </w:p>
          <w:p w14:paraId="764F656F">
            <w:pPr>
              <w:spacing w:line="0" w:lineRule="atLeast"/>
              <w:jc w:val="center"/>
              <w:rPr>
                <w:rFonts w:eastAsia="仿宋_GB2312"/>
                <w:kern w:val="0"/>
                <w:sz w:val="18"/>
                <w:szCs w:val="18"/>
              </w:rPr>
            </w:pPr>
          </w:p>
          <w:p w14:paraId="5EF34284">
            <w:pPr>
              <w:spacing w:line="0" w:lineRule="atLeast"/>
              <w:jc w:val="center"/>
              <w:rPr>
                <w:rFonts w:eastAsia="仿宋_GB2312"/>
                <w:kern w:val="0"/>
                <w:sz w:val="18"/>
                <w:szCs w:val="18"/>
              </w:rPr>
            </w:pPr>
            <w:r>
              <w:rPr>
                <w:rFonts w:eastAsia="仿宋_GB2312"/>
                <w:kern w:val="0"/>
                <w:sz w:val="18"/>
                <w:szCs w:val="18"/>
              </w:rPr>
              <w:t>过程</w:t>
            </w:r>
          </w:p>
          <w:p w14:paraId="354BB113">
            <w:pPr>
              <w:widowControl/>
              <w:spacing w:line="0" w:lineRule="atLeast"/>
              <w:jc w:val="center"/>
              <w:rPr>
                <w:rFonts w:eastAsia="仿宋_GB2312"/>
                <w:kern w:val="0"/>
                <w:sz w:val="18"/>
                <w:szCs w:val="18"/>
              </w:rPr>
            </w:pPr>
            <w:r>
              <w:rPr>
                <w:rFonts w:eastAsia="仿宋_GB2312"/>
                <w:kern w:val="0"/>
                <w:sz w:val="18"/>
                <w:szCs w:val="18"/>
              </w:rPr>
              <w:t>　　</w:t>
            </w:r>
          </w:p>
        </w:tc>
        <w:tc>
          <w:tcPr>
            <w:tcW w:w="394" w:type="pct"/>
            <w:vMerge w:val="restart"/>
            <w:shd w:val="clear" w:color="auto" w:fill="FFFFFF"/>
            <w:vAlign w:val="center"/>
          </w:tcPr>
          <w:p w14:paraId="33D4E7B1">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09C93736">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0757D828">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500C1939">
            <w:pPr>
              <w:widowControl/>
              <w:spacing w:line="0" w:lineRule="atLeast"/>
              <w:rPr>
                <w:rFonts w:eastAsia="仿宋_GB2312"/>
                <w:kern w:val="0"/>
                <w:sz w:val="18"/>
                <w:szCs w:val="18"/>
              </w:rPr>
            </w:pPr>
            <w:r>
              <w:rPr>
                <w:rFonts w:eastAsia="仿宋_GB2312"/>
                <w:kern w:val="0"/>
                <w:sz w:val="18"/>
                <w:szCs w:val="18"/>
              </w:rPr>
              <w:t>资金到位率=（实际到位资金/预算资金）×100%。</w:t>
            </w:r>
          </w:p>
          <w:p w14:paraId="7B307D5D">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0E465AF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C1B704C">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03AFD58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4EC2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395" w:type="pct"/>
            <w:vMerge w:val="continue"/>
            <w:shd w:val="clear" w:color="auto" w:fill="FFFFFF"/>
            <w:vAlign w:val="center"/>
          </w:tcPr>
          <w:p w14:paraId="1B52F00C">
            <w:pPr>
              <w:spacing w:line="0" w:lineRule="atLeast"/>
              <w:jc w:val="center"/>
              <w:rPr>
                <w:rFonts w:eastAsia="仿宋_GB2312"/>
                <w:kern w:val="0"/>
                <w:sz w:val="18"/>
                <w:szCs w:val="18"/>
              </w:rPr>
            </w:pPr>
          </w:p>
        </w:tc>
        <w:tc>
          <w:tcPr>
            <w:tcW w:w="394" w:type="pct"/>
            <w:vMerge w:val="continue"/>
            <w:shd w:val="clear" w:color="auto" w:fill="FFFFFF"/>
            <w:vAlign w:val="center"/>
          </w:tcPr>
          <w:p w14:paraId="57CFC62A">
            <w:pPr>
              <w:spacing w:line="0" w:lineRule="atLeast"/>
              <w:jc w:val="center"/>
              <w:rPr>
                <w:rFonts w:eastAsia="仿宋_GB2312"/>
                <w:kern w:val="0"/>
                <w:sz w:val="18"/>
                <w:szCs w:val="18"/>
              </w:rPr>
            </w:pPr>
          </w:p>
        </w:tc>
        <w:tc>
          <w:tcPr>
            <w:tcW w:w="422" w:type="pct"/>
            <w:shd w:val="clear" w:color="auto" w:fill="FFFFFF"/>
            <w:vAlign w:val="center"/>
          </w:tcPr>
          <w:p w14:paraId="58F20FE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5957DD5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1AD23735">
            <w:pPr>
              <w:widowControl/>
              <w:spacing w:line="0" w:lineRule="atLeast"/>
              <w:rPr>
                <w:rFonts w:eastAsia="仿宋_GB2312"/>
                <w:kern w:val="0"/>
                <w:sz w:val="18"/>
                <w:szCs w:val="18"/>
              </w:rPr>
            </w:pPr>
            <w:r>
              <w:rPr>
                <w:rFonts w:eastAsia="仿宋_GB2312"/>
                <w:kern w:val="0"/>
                <w:sz w:val="18"/>
                <w:szCs w:val="18"/>
              </w:rPr>
              <w:t>预算执行率=（实际支出资金/实际到位资金）×100%。</w:t>
            </w:r>
            <w:r>
              <w:rPr>
                <w:rFonts w:eastAsia="仿宋_GB2312"/>
                <w:kern w:val="0"/>
                <w:sz w:val="18"/>
                <w:szCs w:val="18"/>
              </w:rPr>
              <w:br w:type="textWrapping"/>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0D9CAA5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E40C83E">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1E9B5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367BEF0C">
            <w:pPr>
              <w:spacing w:line="0" w:lineRule="atLeast"/>
              <w:jc w:val="center"/>
              <w:rPr>
                <w:rFonts w:eastAsia="仿宋_GB2312"/>
                <w:kern w:val="0"/>
                <w:sz w:val="18"/>
                <w:szCs w:val="18"/>
              </w:rPr>
            </w:pPr>
          </w:p>
        </w:tc>
        <w:tc>
          <w:tcPr>
            <w:tcW w:w="394" w:type="pct"/>
            <w:shd w:val="clear" w:color="auto" w:fill="FFFFFF"/>
            <w:vAlign w:val="center"/>
          </w:tcPr>
          <w:p w14:paraId="4B8E69C3">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317C45D7">
            <w:pPr>
              <w:widowControl/>
              <w:spacing w:line="0" w:lineRule="atLeast"/>
              <w:jc w:val="center"/>
              <w:rPr>
                <w:rFonts w:eastAsia="仿宋_GB2312"/>
                <w:kern w:val="0"/>
                <w:sz w:val="18"/>
                <w:szCs w:val="18"/>
              </w:rPr>
            </w:pPr>
            <w:r>
              <w:rPr>
                <w:rFonts w:eastAsia="仿宋_GB2312"/>
                <w:kern w:val="0"/>
                <w:sz w:val="18"/>
                <w:szCs w:val="18"/>
              </w:rPr>
              <w:t>资金使用</w:t>
            </w:r>
          </w:p>
          <w:p w14:paraId="07902772">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4045E7D4">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54DB7852">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①是否符合国家财经法规和财务管理制度以及有关专项资金管理办法的规定；</w:t>
            </w:r>
            <w:r>
              <w:rPr>
                <w:rFonts w:eastAsia="仿宋_GB2312"/>
                <w:kern w:val="0"/>
                <w:sz w:val="18"/>
                <w:szCs w:val="18"/>
              </w:rPr>
              <w:br w:type="textWrapping"/>
            </w:r>
            <w:r>
              <w:rPr>
                <w:rFonts w:eastAsia="仿宋_GB2312"/>
                <w:kern w:val="0"/>
                <w:sz w:val="18"/>
                <w:szCs w:val="18"/>
              </w:rPr>
              <w:t>②资金的拨付是否有完整的审批程序和手续；</w:t>
            </w:r>
            <w:r>
              <w:rPr>
                <w:rFonts w:eastAsia="仿宋_GB2312"/>
                <w:kern w:val="0"/>
                <w:sz w:val="18"/>
                <w:szCs w:val="18"/>
              </w:rPr>
              <w:br w:type="textWrapping"/>
            </w:r>
            <w:r>
              <w:rPr>
                <w:rFonts w:eastAsia="仿宋_GB2312"/>
                <w:kern w:val="0"/>
                <w:sz w:val="18"/>
                <w:szCs w:val="18"/>
              </w:rPr>
              <w:t>③是否符合项目预算批复或合同规定的用途；</w:t>
            </w:r>
            <w:r>
              <w:rPr>
                <w:rFonts w:eastAsia="仿宋_GB2312"/>
                <w:kern w:val="0"/>
                <w:sz w:val="18"/>
                <w:szCs w:val="18"/>
              </w:rPr>
              <w:br w:type="textWrapping"/>
            </w:r>
            <w:r>
              <w:rPr>
                <w:rFonts w:eastAsia="仿宋_GB2312"/>
                <w:kern w:val="0"/>
                <w:sz w:val="18"/>
                <w:szCs w:val="18"/>
              </w:rPr>
              <w:t>④是否存在截留、挤占、挪用、虚列支出等情况。</w:t>
            </w:r>
          </w:p>
        </w:tc>
        <w:tc>
          <w:tcPr>
            <w:tcW w:w="514" w:type="pct"/>
            <w:shd w:val="clear" w:color="000000" w:fill="FFFFFF"/>
            <w:vAlign w:val="center"/>
          </w:tcPr>
          <w:p w14:paraId="02A3C67F">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02AE68">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1CFEB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395" w:type="pct"/>
            <w:vMerge w:val="continue"/>
            <w:shd w:val="clear" w:color="auto" w:fill="FFFFFF"/>
            <w:vAlign w:val="center"/>
          </w:tcPr>
          <w:p w14:paraId="5DE23226">
            <w:pPr>
              <w:spacing w:line="0" w:lineRule="atLeast"/>
              <w:jc w:val="center"/>
              <w:rPr>
                <w:rFonts w:eastAsia="仿宋_GB2312"/>
                <w:kern w:val="0"/>
                <w:sz w:val="18"/>
                <w:szCs w:val="18"/>
              </w:rPr>
            </w:pPr>
          </w:p>
        </w:tc>
        <w:tc>
          <w:tcPr>
            <w:tcW w:w="394" w:type="pct"/>
            <w:vMerge w:val="restart"/>
            <w:shd w:val="clear" w:color="auto" w:fill="FFFFFF"/>
            <w:vAlign w:val="center"/>
          </w:tcPr>
          <w:p w14:paraId="49AAB8F1">
            <w:pPr>
              <w:widowControl/>
              <w:spacing w:line="0" w:lineRule="atLeast"/>
              <w:jc w:val="center"/>
              <w:rPr>
                <w:rFonts w:eastAsia="仿宋_GB2312"/>
                <w:kern w:val="0"/>
                <w:sz w:val="18"/>
                <w:szCs w:val="18"/>
              </w:rPr>
            </w:pPr>
            <w:r>
              <w:rPr>
                <w:rFonts w:eastAsia="仿宋_GB2312"/>
                <w:kern w:val="0"/>
                <w:sz w:val="18"/>
                <w:szCs w:val="18"/>
              </w:rPr>
              <w:t>组织实施</w:t>
            </w:r>
          </w:p>
          <w:p w14:paraId="3585C6ED">
            <w:pPr>
              <w:spacing w:line="0" w:lineRule="atLeast"/>
              <w:jc w:val="center"/>
              <w:rPr>
                <w:rFonts w:eastAsia="仿宋_GB2312"/>
                <w:kern w:val="0"/>
                <w:sz w:val="18"/>
                <w:szCs w:val="18"/>
              </w:rPr>
            </w:pPr>
            <w:r>
              <w:rPr>
                <w:rFonts w:eastAsia="仿宋_GB2312"/>
                <w:kern w:val="0"/>
                <w:sz w:val="18"/>
                <w:szCs w:val="18"/>
              </w:rPr>
              <w:t>　</w:t>
            </w:r>
          </w:p>
        </w:tc>
        <w:tc>
          <w:tcPr>
            <w:tcW w:w="422" w:type="pct"/>
            <w:shd w:val="clear" w:color="auto" w:fill="FFFFFF"/>
            <w:vAlign w:val="center"/>
          </w:tcPr>
          <w:p w14:paraId="682D2F9D">
            <w:pPr>
              <w:widowControl/>
              <w:spacing w:line="0" w:lineRule="atLeast"/>
              <w:jc w:val="center"/>
              <w:rPr>
                <w:rFonts w:eastAsia="仿宋_GB2312"/>
                <w:kern w:val="0"/>
                <w:sz w:val="18"/>
                <w:szCs w:val="18"/>
              </w:rPr>
            </w:pPr>
            <w:r>
              <w:rPr>
                <w:rFonts w:eastAsia="仿宋_GB2312"/>
                <w:kern w:val="0"/>
                <w:sz w:val="18"/>
                <w:szCs w:val="18"/>
              </w:rPr>
              <w:t>管理制度</w:t>
            </w:r>
          </w:p>
          <w:p w14:paraId="288878BF">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168D01A5">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3A84CAA5">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①是否已制定或具有相应的财务和业务管理制度；</w:t>
            </w:r>
            <w:r>
              <w:rPr>
                <w:rFonts w:eastAsia="仿宋_GB2312"/>
                <w:kern w:val="0"/>
                <w:sz w:val="18"/>
                <w:szCs w:val="18"/>
              </w:rPr>
              <w:br w:type="textWrapping"/>
            </w:r>
            <w:r>
              <w:rPr>
                <w:rFonts w:eastAsia="仿宋_GB2312"/>
                <w:kern w:val="0"/>
                <w:sz w:val="18"/>
                <w:szCs w:val="18"/>
              </w:rPr>
              <w:t>②财务和业务管理制度是否合法、合规、完整。</w:t>
            </w:r>
          </w:p>
        </w:tc>
        <w:tc>
          <w:tcPr>
            <w:tcW w:w="514" w:type="pct"/>
            <w:shd w:val="clear" w:color="000000" w:fill="FFFFFF"/>
            <w:vAlign w:val="center"/>
          </w:tcPr>
          <w:p w14:paraId="135EDC28">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3930B78F">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693A4E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395" w:type="pct"/>
            <w:vMerge w:val="continue"/>
            <w:shd w:val="clear" w:color="auto" w:fill="FFFFFF"/>
            <w:vAlign w:val="center"/>
          </w:tcPr>
          <w:p w14:paraId="72F12328">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27DEB6C9">
            <w:pPr>
              <w:widowControl/>
              <w:spacing w:line="0" w:lineRule="atLeast"/>
              <w:jc w:val="center"/>
              <w:rPr>
                <w:rFonts w:eastAsia="仿宋_GB2312"/>
                <w:kern w:val="0"/>
                <w:sz w:val="18"/>
                <w:szCs w:val="18"/>
              </w:rPr>
            </w:pPr>
          </w:p>
        </w:tc>
        <w:tc>
          <w:tcPr>
            <w:tcW w:w="422" w:type="pct"/>
            <w:shd w:val="clear" w:color="auto" w:fill="FFFFFF"/>
            <w:vAlign w:val="center"/>
          </w:tcPr>
          <w:p w14:paraId="2616FD3C">
            <w:pPr>
              <w:widowControl/>
              <w:spacing w:line="0" w:lineRule="atLeast"/>
              <w:jc w:val="center"/>
              <w:rPr>
                <w:rFonts w:eastAsia="仿宋_GB2312"/>
                <w:kern w:val="0"/>
                <w:sz w:val="18"/>
                <w:szCs w:val="18"/>
              </w:rPr>
            </w:pPr>
            <w:r>
              <w:rPr>
                <w:rFonts w:eastAsia="仿宋_GB2312"/>
                <w:kern w:val="0"/>
                <w:sz w:val="18"/>
                <w:szCs w:val="18"/>
              </w:rPr>
              <w:t>制度执行</w:t>
            </w:r>
          </w:p>
          <w:p w14:paraId="5AFDB3D2">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51E875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5DDD688D">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ype="textWrapping"/>
            </w:r>
            <w:r>
              <w:rPr>
                <w:rFonts w:eastAsia="仿宋_GB2312"/>
                <w:kern w:val="0"/>
                <w:sz w:val="18"/>
                <w:szCs w:val="18"/>
              </w:rPr>
              <w:t>①是否遵守相关法律法规和相关管理规定；</w:t>
            </w:r>
            <w:r>
              <w:rPr>
                <w:rFonts w:eastAsia="仿宋_GB2312"/>
                <w:kern w:val="0"/>
                <w:sz w:val="18"/>
                <w:szCs w:val="18"/>
              </w:rPr>
              <w:br w:type="textWrapping"/>
            </w:r>
            <w:r>
              <w:rPr>
                <w:rFonts w:eastAsia="仿宋_GB2312"/>
                <w:kern w:val="0"/>
                <w:sz w:val="18"/>
                <w:szCs w:val="18"/>
              </w:rPr>
              <w:t>②项目调整及支出调整手续是否完备；</w:t>
            </w:r>
            <w:r>
              <w:rPr>
                <w:rFonts w:eastAsia="仿宋_GB2312"/>
                <w:kern w:val="0"/>
                <w:sz w:val="18"/>
                <w:szCs w:val="18"/>
              </w:rPr>
              <w:br w:type="textWrapping"/>
            </w:r>
            <w:r>
              <w:rPr>
                <w:rFonts w:eastAsia="仿宋_GB2312"/>
                <w:kern w:val="0"/>
                <w:sz w:val="18"/>
                <w:szCs w:val="18"/>
              </w:rPr>
              <w:t>③项目合同书、验收报告、技术鉴定等资料是否齐全并及时归档；</w:t>
            </w:r>
            <w:r>
              <w:rPr>
                <w:rFonts w:eastAsia="仿宋_GB2312"/>
                <w:kern w:val="0"/>
                <w:sz w:val="18"/>
                <w:szCs w:val="18"/>
              </w:rPr>
              <w:br w:type="textWrapping"/>
            </w:r>
            <w:r>
              <w:rPr>
                <w:rFonts w:eastAsia="仿宋_GB2312"/>
                <w:kern w:val="0"/>
                <w:sz w:val="18"/>
                <w:szCs w:val="18"/>
              </w:rPr>
              <w:t>④项目实施的人员条件、场地设备、信息支撑等是否落实到位。</w:t>
            </w:r>
          </w:p>
        </w:tc>
        <w:tc>
          <w:tcPr>
            <w:tcW w:w="514" w:type="pct"/>
            <w:shd w:val="clear" w:color="000000" w:fill="FFFFFF"/>
            <w:vAlign w:val="center"/>
          </w:tcPr>
          <w:p w14:paraId="1200C41D">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2704CAD">
            <w:pPr>
              <w:widowControl/>
              <w:spacing w:line="0" w:lineRule="atLeast"/>
              <w:jc w:val="center"/>
              <w:rPr>
                <w:rFonts w:eastAsia="仿宋_GB2312"/>
                <w:b/>
                <w:bCs/>
                <w:kern w:val="0"/>
                <w:sz w:val="18"/>
                <w:szCs w:val="18"/>
              </w:rPr>
            </w:pPr>
            <w:r>
              <w:rPr>
                <w:rFonts w:hint="eastAsia" w:eastAsia="仿宋_GB2312"/>
                <w:b/>
                <w:bCs/>
                <w:kern w:val="0"/>
                <w:sz w:val="18"/>
                <w:szCs w:val="18"/>
              </w:rPr>
              <w:t>4</w:t>
            </w:r>
          </w:p>
        </w:tc>
      </w:tr>
      <w:tr w14:paraId="26D09D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395" w:type="pct"/>
            <w:vMerge w:val="restart"/>
            <w:shd w:val="clear" w:color="auto" w:fill="FFFFFF"/>
            <w:vAlign w:val="center"/>
          </w:tcPr>
          <w:p w14:paraId="7CF1EDBF">
            <w:pPr>
              <w:widowControl/>
              <w:spacing w:line="0" w:lineRule="atLeast"/>
              <w:jc w:val="center"/>
              <w:rPr>
                <w:rFonts w:eastAsia="仿宋_GB2312"/>
                <w:kern w:val="0"/>
                <w:sz w:val="18"/>
                <w:szCs w:val="18"/>
              </w:rPr>
            </w:pPr>
            <w:r>
              <w:rPr>
                <w:rFonts w:eastAsia="仿宋_GB2312"/>
                <w:kern w:val="0"/>
                <w:sz w:val="18"/>
                <w:szCs w:val="18"/>
              </w:rPr>
              <w:t>产出</w:t>
            </w:r>
          </w:p>
        </w:tc>
        <w:tc>
          <w:tcPr>
            <w:tcW w:w="394" w:type="pct"/>
            <w:shd w:val="clear" w:color="auto" w:fill="FFFFFF"/>
            <w:vAlign w:val="center"/>
          </w:tcPr>
          <w:p w14:paraId="683AC5ED">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31C7F395">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5ED876D7">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3153FC89">
            <w:pPr>
              <w:widowControl/>
              <w:spacing w:line="0" w:lineRule="atLeast"/>
              <w:rPr>
                <w:rFonts w:eastAsia="仿宋_GB2312"/>
                <w:kern w:val="0"/>
                <w:sz w:val="18"/>
                <w:szCs w:val="18"/>
              </w:rPr>
            </w:pPr>
            <w:r>
              <w:rPr>
                <w:rFonts w:eastAsia="仿宋_GB2312"/>
                <w:kern w:val="0"/>
                <w:sz w:val="18"/>
                <w:szCs w:val="18"/>
              </w:rPr>
              <w:t>实际完成率=（实际产出数/计划产出数）×100%。</w:t>
            </w:r>
            <w:r>
              <w:rPr>
                <w:rFonts w:eastAsia="仿宋_GB2312"/>
                <w:kern w:val="0"/>
                <w:sz w:val="18"/>
                <w:szCs w:val="18"/>
              </w:rPr>
              <w:br w:type="textWrapping"/>
            </w:r>
            <w:r>
              <w:rPr>
                <w:rFonts w:eastAsia="仿宋_GB2312"/>
                <w:kern w:val="0"/>
                <w:sz w:val="18"/>
                <w:szCs w:val="18"/>
              </w:rPr>
              <w:t>实际产出数：一定时期（本年度或项目期）内项目实际产出的产品或提供的服务数量。</w:t>
            </w:r>
            <w:r>
              <w:rPr>
                <w:rFonts w:eastAsia="仿宋_GB2312"/>
                <w:kern w:val="0"/>
                <w:sz w:val="18"/>
                <w:szCs w:val="18"/>
              </w:rPr>
              <w:br w:type="textWrapping"/>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E0BD2D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26A51984">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62F5FC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3" w:hRule="atLeast"/>
          <w:jc w:val="center"/>
        </w:trPr>
        <w:tc>
          <w:tcPr>
            <w:tcW w:w="395" w:type="pct"/>
            <w:vMerge w:val="continue"/>
            <w:shd w:val="clear" w:color="auto" w:fill="FFFFFF"/>
            <w:vAlign w:val="center"/>
          </w:tcPr>
          <w:p w14:paraId="2C35C722">
            <w:pPr>
              <w:widowControl/>
              <w:spacing w:line="0" w:lineRule="atLeast"/>
              <w:jc w:val="center"/>
              <w:rPr>
                <w:rFonts w:eastAsia="仿宋_GB2312"/>
                <w:kern w:val="0"/>
                <w:sz w:val="18"/>
                <w:szCs w:val="18"/>
              </w:rPr>
            </w:pPr>
          </w:p>
        </w:tc>
        <w:tc>
          <w:tcPr>
            <w:tcW w:w="394" w:type="pct"/>
            <w:shd w:val="clear" w:color="auto" w:fill="FFFFFF"/>
            <w:vAlign w:val="center"/>
          </w:tcPr>
          <w:p w14:paraId="26252238">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799E8107">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50C8DCB5">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44C7ECA3">
            <w:pPr>
              <w:widowControl/>
              <w:spacing w:line="0" w:lineRule="atLeast"/>
              <w:rPr>
                <w:rFonts w:eastAsia="仿宋_GB2312"/>
                <w:kern w:val="0"/>
                <w:sz w:val="18"/>
                <w:szCs w:val="18"/>
              </w:rPr>
            </w:pPr>
            <w:r>
              <w:rPr>
                <w:rFonts w:eastAsia="仿宋_GB2312"/>
                <w:kern w:val="0"/>
                <w:sz w:val="18"/>
                <w:szCs w:val="18"/>
              </w:rPr>
              <w:t>质量达标率=（质量达标产出数/实际产出数）×100%。</w:t>
            </w:r>
          </w:p>
          <w:p w14:paraId="44CDFDBC">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2D8BEAF1">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BC0EAA0">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8A2CD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395" w:type="pct"/>
            <w:vMerge w:val="continue"/>
            <w:shd w:val="clear" w:color="auto" w:fill="FFFFFF"/>
            <w:vAlign w:val="center"/>
          </w:tcPr>
          <w:p w14:paraId="11E3B402">
            <w:pPr>
              <w:spacing w:line="0" w:lineRule="atLeast"/>
              <w:jc w:val="center"/>
              <w:rPr>
                <w:rFonts w:eastAsia="仿宋_GB2312"/>
                <w:kern w:val="0"/>
                <w:sz w:val="18"/>
                <w:szCs w:val="18"/>
              </w:rPr>
            </w:pPr>
          </w:p>
        </w:tc>
        <w:tc>
          <w:tcPr>
            <w:tcW w:w="394" w:type="pct"/>
            <w:shd w:val="clear" w:color="auto" w:fill="FFFFFF"/>
            <w:vAlign w:val="center"/>
          </w:tcPr>
          <w:p w14:paraId="677D627A">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037D389">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08BB1A38">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0CE99BF5">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type="textWrapping"/>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910AFA9">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102FE64D">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0B19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395" w:type="pct"/>
            <w:vMerge w:val="continue"/>
            <w:shd w:val="clear" w:color="auto" w:fill="FFFFFF"/>
            <w:vAlign w:val="center"/>
          </w:tcPr>
          <w:p w14:paraId="38BFC850">
            <w:pPr>
              <w:widowControl/>
              <w:spacing w:line="0" w:lineRule="atLeast"/>
              <w:jc w:val="center"/>
              <w:rPr>
                <w:rFonts w:eastAsia="仿宋_GB2312"/>
                <w:kern w:val="0"/>
                <w:sz w:val="18"/>
                <w:szCs w:val="18"/>
              </w:rPr>
            </w:pPr>
          </w:p>
        </w:tc>
        <w:tc>
          <w:tcPr>
            <w:tcW w:w="394" w:type="pct"/>
            <w:shd w:val="clear" w:color="auto" w:fill="FFFFFF"/>
            <w:vAlign w:val="center"/>
          </w:tcPr>
          <w:p w14:paraId="30746DAB">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7DA01355">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1129866">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416D1F8D">
            <w:pPr>
              <w:widowControl/>
              <w:spacing w:line="0" w:lineRule="atLeast"/>
              <w:rPr>
                <w:rFonts w:eastAsia="仿宋_GB2312"/>
                <w:kern w:val="0"/>
                <w:sz w:val="18"/>
                <w:szCs w:val="18"/>
              </w:rPr>
            </w:pPr>
            <w:r>
              <w:rPr>
                <w:rFonts w:eastAsia="仿宋_GB2312"/>
                <w:kern w:val="0"/>
                <w:sz w:val="18"/>
                <w:szCs w:val="18"/>
              </w:rPr>
              <w:br w:type="textWrapping"/>
            </w:r>
            <w:r>
              <w:rPr>
                <w:rFonts w:eastAsia="仿宋_GB2312"/>
                <w:kern w:val="0"/>
                <w:sz w:val="18"/>
                <w:szCs w:val="18"/>
              </w:rPr>
              <w:t>成本节约率=[（计划成本-实际成本）/计划成本]×100%。</w:t>
            </w:r>
            <w:r>
              <w:rPr>
                <w:rFonts w:eastAsia="仿宋_GB2312"/>
                <w:kern w:val="0"/>
                <w:sz w:val="18"/>
                <w:szCs w:val="18"/>
              </w:rPr>
              <w:br w:type="textWrapping"/>
            </w:r>
            <w:r>
              <w:rPr>
                <w:rFonts w:eastAsia="仿宋_GB2312"/>
                <w:kern w:val="0"/>
                <w:sz w:val="18"/>
                <w:szCs w:val="18"/>
              </w:rPr>
              <w:t>实际成本：项目实施单位如期、保质、保量完成既定工作目标实际所耗费的支出。</w:t>
            </w:r>
            <w:r>
              <w:rPr>
                <w:rFonts w:eastAsia="仿宋_GB2312"/>
                <w:kern w:val="0"/>
                <w:sz w:val="18"/>
                <w:szCs w:val="18"/>
              </w:rPr>
              <w:br w:type="textWrapping"/>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2603B4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10CF6DBD">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1395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395" w:type="pct"/>
            <w:vMerge w:val="restart"/>
            <w:shd w:val="clear" w:color="auto" w:fill="FFFFFF"/>
            <w:vAlign w:val="center"/>
          </w:tcPr>
          <w:p w14:paraId="37C8A3AF">
            <w:pPr>
              <w:widowControl/>
              <w:spacing w:line="0" w:lineRule="atLeast"/>
              <w:jc w:val="center"/>
              <w:rPr>
                <w:rFonts w:eastAsia="仿宋_GB2312"/>
                <w:kern w:val="0"/>
                <w:sz w:val="18"/>
                <w:szCs w:val="18"/>
              </w:rPr>
            </w:pPr>
            <w:r>
              <w:rPr>
                <w:rFonts w:eastAsia="仿宋_GB2312"/>
                <w:kern w:val="0"/>
                <w:sz w:val="18"/>
                <w:szCs w:val="18"/>
              </w:rPr>
              <w:t>效益　</w:t>
            </w:r>
          </w:p>
        </w:tc>
        <w:tc>
          <w:tcPr>
            <w:tcW w:w="394" w:type="pct"/>
            <w:vMerge w:val="restart"/>
            <w:shd w:val="clear" w:color="auto" w:fill="FFFFFF"/>
            <w:vAlign w:val="center"/>
          </w:tcPr>
          <w:p w14:paraId="273C3822">
            <w:pPr>
              <w:widowControl/>
              <w:spacing w:line="0" w:lineRule="atLeast"/>
              <w:jc w:val="center"/>
              <w:rPr>
                <w:rFonts w:eastAsia="仿宋_GB2312"/>
                <w:kern w:val="0"/>
                <w:sz w:val="18"/>
                <w:szCs w:val="18"/>
              </w:rPr>
            </w:pPr>
            <w:r>
              <w:rPr>
                <w:rFonts w:eastAsia="仿宋_GB2312"/>
                <w:kern w:val="0"/>
                <w:sz w:val="18"/>
                <w:szCs w:val="18"/>
              </w:rPr>
              <w:t>项目效益　</w:t>
            </w:r>
          </w:p>
        </w:tc>
        <w:tc>
          <w:tcPr>
            <w:tcW w:w="422" w:type="pct"/>
            <w:shd w:val="clear" w:color="auto" w:fill="FFFFFF"/>
            <w:vAlign w:val="center"/>
          </w:tcPr>
          <w:p w14:paraId="4C424133">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24CC1AFE">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45345778">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040C5E3B">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6987A36C">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39A14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395" w:type="pct"/>
            <w:vMerge w:val="continue"/>
            <w:shd w:val="clear" w:color="auto" w:fill="FFFFFF"/>
            <w:vAlign w:val="center"/>
          </w:tcPr>
          <w:p w14:paraId="604F047F">
            <w:pPr>
              <w:widowControl/>
              <w:spacing w:line="0" w:lineRule="atLeast"/>
              <w:jc w:val="center"/>
              <w:rPr>
                <w:rFonts w:eastAsia="仿宋_GB2312"/>
                <w:kern w:val="0"/>
                <w:sz w:val="18"/>
                <w:szCs w:val="18"/>
              </w:rPr>
            </w:pPr>
          </w:p>
        </w:tc>
        <w:tc>
          <w:tcPr>
            <w:tcW w:w="394" w:type="pct"/>
            <w:vMerge w:val="continue"/>
            <w:shd w:val="clear" w:color="auto" w:fill="FFFFFF"/>
            <w:vAlign w:val="center"/>
          </w:tcPr>
          <w:p w14:paraId="526C53A7">
            <w:pPr>
              <w:widowControl/>
              <w:spacing w:line="0" w:lineRule="atLeast"/>
              <w:jc w:val="center"/>
              <w:rPr>
                <w:rFonts w:eastAsia="仿宋_GB2312"/>
                <w:kern w:val="0"/>
                <w:sz w:val="18"/>
                <w:szCs w:val="18"/>
              </w:rPr>
            </w:pPr>
          </w:p>
        </w:tc>
        <w:tc>
          <w:tcPr>
            <w:tcW w:w="422" w:type="pct"/>
            <w:shd w:val="clear" w:color="auto" w:fill="FFFFFF"/>
            <w:vAlign w:val="center"/>
          </w:tcPr>
          <w:p w14:paraId="20D20D81">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355CCD8E">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44468332">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6024015C">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0550B59">
            <w:pPr>
              <w:widowControl/>
              <w:spacing w:line="0" w:lineRule="atLeast"/>
              <w:jc w:val="center"/>
              <w:rPr>
                <w:rFonts w:eastAsia="仿宋_GB2312"/>
                <w:b/>
                <w:bCs/>
                <w:kern w:val="0"/>
                <w:sz w:val="18"/>
                <w:szCs w:val="18"/>
              </w:rPr>
            </w:pPr>
            <w:r>
              <w:rPr>
                <w:rFonts w:hint="eastAsia" w:eastAsia="仿宋_GB2312"/>
                <w:b/>
                <w:bCs/>
                <w:kern w:val="0"/>
                <w:sz w:val="18"/>
                <w:szCs w:val="18"/>
              </w:rPr>
              <w:t>10</w:t>
            </w:r>
          </w:p>
        </w:tc>
      </w:tr>
      <w:tr w14:paraId="03E71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3" w:hRule="atLeast"/>
          <w:jc w:val="center"/>
        </w:trPr>
        <w:tc>
          <w:tcPr>
            <w:tcW w:w="3949" w:type="pct"/>
            <w:gridSpan w:val="5"/>
            <w:shd w:val="clear" w:color="auto" w:fill="FFFFFF"/>
            <w:vAlign w:val="center"/>
          </w:tcPr>
          <w:p w14:paraId="7B75704B">
            <w:pPr>
              <w:widowControl/>
              <w:spacing w:line="0" w:lineRule="atLeast"/>
              <w:jc w:val="center"/>
              <w:rPr>
                <w:rFonts w:eastAsia="仿宋_GB2312"/>
                <w:b/>
                <w:bCs/>
                <w:kern w:val="0"/>
                <w:sz w:val="18"/>
                <w:szCs w:val="18"/>
              </w:rPr>
            </w:pPr>
            <w:r>
              <w:rPr>
                <w:rFonts w:hint="eastAsia" w:eastAsia="仿宋_GB2312"/>
                <w:b/>
                <w:bCs/>
                <w:kern w:val="0"/>
                <w:sz w:val="18"/>
                <w:szCs w:val="18"/>
              </w:rPr>
              <w:t>合计</w:t>
            </w:r>
          </w:p>
        </w:tc>
        <w:tc>
          <w:tcPr>
            <w:tcW w:w="512" w:type="pct"/>
            <w:shd w:val="clear" w:color="000000" w:fill="FFFFFF"/>
            <w:vAlign w:val="center"/>
          </w:tcPr>
          <w:p w14:paraId="6361F2EB">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FB0FD02">
            <w:pPr>
              <w:widowControl/>
              <w:spacing w:line="0" w:lineRule="atLeast"/>
              <w:jc w:val="center"/>
              <w:rPr>
                <w:rFonts w:eastAsia="仿宋_GB2312"/>
                <w:b/>
                <w:bCs/>
                <w:kern w:val="0"/>
                <w:sz w:val="18"/>
                <w:szCs w:val="18"/>
              </w:rPr>
            </w:pPr>
            <w:r>
              <w:rPr>
                <w:rFonts w:hint="eastAsia" w:eastAsia="仿宋_GB2312"/>
                <w:b/>
                <w:bCs/>
                <w:kern w:val="0"/>
                <w:sz w:val="18"/>
                <w:szCs w:val="18"/>
              </w:rPr>
              <w:t>100</w:t>
            </w:r>
          </w:p>
        </w:tc>
      </w:tr>
    </w:tbl>
    <w:p w14:paraId="532495A6">
      <w:pPr>
        <w:sectPr>
          <w:pgSz w:w="16838" w:h="11906" w:orient="landscape"/>
          <w:pgMar w:top="1800" w:right="1440" w:bottom="1558" w:left="1440" w:header="851" w:footer="992" w:gutter="0"/>
          <w:cols w:space="425" w:num="1"/>
          <w:docGrid w:type="lines" w:linePitch="312" w:charSpace="0"/>
        </w:sectPr>
      </w:pPr>
    </w:p>
    <w:p w14:paraId="3D8DD886">
      <w:pPr>
        <w:spacing w:line="600" w:lineRule="exact"/>
        <w:rPr>
          <w:rFonts w:eastAsia="黑体"/>
          <w:sz w:val="32"/>
          <w:szCs w:val="32"/>
        </w:rPr>
      </w:pPr>
      <w:r>
        <w:rPr>
          <w:rFonts w:hint="eastAsia" w:eastAsia="黑体"/>
          <w:sz w:val="32"/>
          <w:szCs w:val="32"/>
        </w:rPr>
        <w:t>附件2</w:t>
      </w:r>
    </w:p>
    <w:tbl>
      <w:tblPr>
        <w:tblW w:w="13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2"/>
        <w:gridCol w:w="692"/>
        <w:gridCol w:w="963"/>
        <w:gridCol w:w="2344"/>
        <w:gridCol w:w="3472"/>
        <w:gridCol w:w="1400"/>
        <w:gridCol w:w="1341"/>
        <w:gridCol w:w="242"/>
        <w:gridCol w:w="392"/>
        <w:gridCol w:w="357"/>
        <w:gridCol w:w="480"/>
        <w:gridCol w:w="603"/>
        <w:gridCol w:w="867"/>
      </w:tblGrid>
      <w:tr w14:paraId="5867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13851" w:type="dxa"/>
            <w:gridSpan w:val="13"/>
            <w:tcBorders>
              <w:top w:val="nil"/>
              <w:left w:val="nil"/>
              <w:bottom w:val="nil"/>
              <w:right w:val="nil"/>
            </w:tcBorders>
            <w:shd w:val="clear"/>
            <w:vAlign w:val="center"/>
          </w:tcPr>
          <w:p w14:paraId="7690EA4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7D47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51" w:type="dxa"/>
            <w:gridSpan w:val="13"/>
            <w:tcBorders>
              <w:top w:val="nil"/>
              <w:left w:val="nil"/>
              <w:bottom w:val="nil"/>
              <w:right w:val="nil"/>
            </w:tcBorders>
            <w:shd w:val="clear"/>
            <w:vAlign w:val="center"/>
          </w:tcPr>
          <w:p w14:paraId="1BD18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3877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7DA44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11691" w:type="dxa"/>
            <w:gridSpan w:val="11"/>
            <w:tcBorders>
              <w:top w:val="single" w:color="000000" w:sz="4" w:space="0"/>
              <w:left w:val="single" w:color="000000" w:sz="4" w:space="0"/>
              <w:bottom w:val="single" w:color="000000" w:sz="4" w:space="0"/>
              <w:right w:val="single" w:color="000000" w:sz="4" w:space="0"/>
            </w:tcBorders>
            <w:shd w:val="clear"/>
            <w:vAlign w:val="center"/>
          </w:tcPr>
          <w:p w14:paraId="7F07C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社区工作经费（6重点，11非重点）</w:t>
            </w:r>
          </w:p>
        </w:tc>
      </w:tr>
      <w:tr w14:paraId="17742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2C9A7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4173" w:type="dxa"/>
            <w:gridSpan w:val="3"/>
            <w:tcBorders>
              <w:top w:val="single" w:color="000000" w:sz="4" w:space="0"/>
              <w:left w:val="single" w:color="000000" w:sz="4" w:space="0"/>
              <w:bottom w:val="single" w:color="000000" w:sz="4" w:space="0"/>
              <w:right w:val="single" w:color="000000" w:sz="4" w:space="0"/>
            </w:tcBorders>
            <w:shd w:val="clear"/>
            <w:vAlign w:val="center"/>
          </w:tcPr>
          <w:p w14:paraId="52C1B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乌鲁木齐市沙依巴克区人民政府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995B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2013A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乌鲁木齐市沙依巴克区炉院街片区管理委员会</w:t>
            </w:r>
          </w:p>
        </w:tc>
      </w:tr>
      <w:tr w14:paraId="7ACCA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D4CB8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C9D0FA9">
            <w:pPr>
              <w:jc w:val="center"/>
              <w:rPr>
                <w:rFonts w:hint="eastAsia" w:ascii="宋体" w:hAnsi="宋体" w:eastAsia="宋体" w:cs="宋体"/>
                <w:i w:val="0"/>
                <w:iCs w:val="0"/>
                <w:color w:val="000000"/>
                <w:sz w:val="20"/>
                <w:szCs w:val="20"/>
                <w:u w:val="none"/>
              </w:rPr>
            </w:pP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7A0CD4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7A9D0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53238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D499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DBB6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D1F0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26A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E9BFC06">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80234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1D8E5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14AC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25535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15357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74A02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5E9AF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57479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D23FBCC">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6F4DC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2BC20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10E3E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47814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910.00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431F8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33BD2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8BBA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639C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F0C9905">
            <w:pPr>
              <w:jc w:val="center"/>
              <w:rPr>
                <w:rFonts w:hint="eastAsia" w:ascii="宋体" w:hAnsi="宋体" w:eastAsia="宋体" w:cs="宋体"/>
                <w:i w:val="0"/>
                <w:iCs w:val="0"/>
                <w:color w:val="000000"/>
                <w:sz w:val="20"/>
                <w:szCs w:val="20"/>
                <w:u w:val="none"/>
              </w:rPr>
            </w:pPr>
          </w:p>
        </w:tc>
        <w:tc>
          <w:tcPr>
            <w:tcW w:w="2600" w:type="dxa"/>
            <w:gridSpan w:val="2"/>
            <w:tcBorders>
              <w:top w:val="single" w:color="000000" w:sz="4" w:space="0"/>
              <w:left w:val="single" w:color="000000" w:sz="4" w:space="0"/>
              <w:bottom w:val="single" w:color="000000" w:sz="4" w:space="0"/>
              <w:right w:val="single" w:color="000000" w:sz="4" w:space="0"/>
            </w:tcBorders>
            <w:shd w:val="clear"/>
            <w:vAlign w:val="center"/>
          </w:tcPr>
          <w:p w14:paraId="58B34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573" w:type="dxa"/>
            <w:tcBorders>
              <w:top w:val="single" w:color="000000" w:sz="4" w:space="0"/>
              <w:left w:val="single" w:color="000000" w:sz="4" w:space="0"/>
              <w:bottom w:val="single" w:color="000000" w:sz="4" w:space="0"/>
              <w:right w:val="single" w:color="000000" w:sz="4" w:space="0"/>
            </w:tcBorders>
            <w:shd w:val="clear"/>
            <w:vAlign w:val="center"/>
          </w:tcPr>
          <w:p w14:paraId="68B10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23C7A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2480" w:type="dxa"/>
            <w:gridSpan w:val="2"/>
            <w:tcBorders>
              <w:top w:val="single" w:color="000000" w:sz="4" w:space="0"/>
              <w:left w:val="single" w:color="000000" w:sz="4" w:space="0"/>
              <w:bottom w:val="single" w:color="000000" w:sz="4" w:space="0"/>
              <w:right w:val="single" w:color="000000" w:sz="4" w:space="0"/>
            </w:tcBorders>
            <w:shd w:val="clear"/>
            <w:vAlign w:val="center"/>
          </w:tcPr>
          <w:p w14:paraId="089A0E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786" w:type="dxa"/>
            <w:gridSpan w:val="2"/>
            <w:tcBorders>
              <w:top w:val="single" w:color="000000" w:sz="4" w:space="0"/>
              <w:left w:val="single" w:color="000000" w:sz="4" w:space="0"/>
              <w:bottom w:val="single" w:color="000000" w:sz="4" w:space="0"/>
              <w:right w:val="single" w:color="000000" w:sz="4" w:space="0"/>
            </w:tcBorders>
            <w:shd w:val="clear"/>
            <w:vAlign w:val="center"/>
          </w:tcPr>
          <w:p w14:paraId="5D337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92" w:type="dxa"/>
            <w:gridSpan w:val="2"/>
            <w:tcBorders>
              <w:top w:val="single" w:color="000000" w:sz="4" w:space="0"/>
              <w:left w:val="single" w:color="000000" w:sz="4" w:space="0"/>
              <w:bottom w:val="single" w:color="000000" w:sz="4" w:space="0"/>
              <w:right w:val="single" w:color="000000" w:sz="4" w:space="0"/>
            </w:tcBorders>
            <w:shd w:val="clear"/>
            <w:vAlign w:val="center"/>
          </w:tcPr>
          <w:p w14:paraId="26B54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4627B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491C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4A24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7333" w:type="dxa"/>
            <w:gridSpan w:val="5"/>
            <w:tcBorders>
              <w:top w:val="single" w:color="000000" w:sz="4" w:space="0"/>
              <w:left w:val="single" w:color="000000" w:sz="4" w:space="0"/>
              <w:bottom w:val="single" w:color="000000" w:sz="4" w:space="0"/>
              <w:right w:val="single" w:color="000000" w:sz="4" w:space="0"/>
            </w:tcBorders>
            <w:shd w:val="clear"/>
            <w:vAlign w:val="center"/>
          </w:tcPr>
          <w:p w14:paraId="7D26B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center"/>
          </w:tcPr>
          <w:p w14:paraId="5BF5B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6665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282659">
            <w:pPr>
              <w:jc w:val="center"/>
              <w:rPr>
                <w:rFonts w:hint="eastAsia" w:ascii="宋体" w:hAnsi="宋体" w:eastAsia="宋体" w:cs="宋体"/>
                <w:i w:val="0"/>
                <w:iCs w:val="0"/>
                <w:color w:val="000000"/>
                <w:sz w:val="20"/>
                <w:szCs w:val="20"/>
                <w:u w:val="none"/>
              </w:rPr>
            </w:pPr>
          </w:p>
        </w:tc>
        <w:tc>
          <w:tcPr>
            <w:tcW w:w="7333" w:type="dxa"/>
            <w:gridSpan w:val="5"/>
            <w:tcBorders>
              <w:top w:val="single" w:color="000000" w:sz="4" w:space="0"/>
              <w:left w:val="single" w:color="000000" w:sz="4" w:space="0"/>
              <w:bottom w:val="single" w:color="000000" w:sz="4" w:space="0"/>
              <w:right w:val="single" w:color="000000" w:sz="4" w:space="0"/>
            </w:tcBorders>
            <w:shd w:val="clear"/>
            <w:vAlign w:val="top"/>
          </w:tcPr>
          <w:p w14:paraId="4266BE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保障全局机构正常运行。2：贯彻执行国家和自治区有关财政、税收、行政事业单位国有资产管理的法规、制度和方针政策；组织拟定财政、财务、会计管理、行政事业单位国有资产管理等方面的规章、办法，并监督实施，依法管理本级财政、执行本级预算。3、接待处理和反映辖区群众来信、来访工作，为辖区群众解答法律咨询，提供法律服务，进行法制宣传教育，对社会矛盾纠纷进行调处等工作，负责指导、管理辖区人民调解工作及标准化调委会达标活动和普法工作。4：负责辖区社会治安综合治理的宣传、督查、指导、考评及创建治安模范单位等工作，指导、督察社区对外来流动人口的登记、管理工作。5：负责民生工作，为群众提供有效的科技、教育、文化、信息、卫生、体育、劳动就业、社会保障、安全生产等后面的服务。6：对辖区纪检监察工作负责，并指导、监督辖区窗口示范单位的行风建设，对各类公文签收、拟办、传达、督查落实、催办等工作。</w:t>
            </w:r>
          </w:p>
        </w:tc>
        <w:tc>
          <w:tcPr>
            <w:tcW w:w="5438" w:type="dxa"/>
            <w:gridSpan w:val="7"/>
            <w:tcBorders>
              <w:top w:val="single" w:color="000000" w:sz="4" w:space="0"/>
              <w:left w:val="single" w:color="000000" w:sz="4" w:space="0"/>
              <w:bottom w:val="single" w:color="000000" w:sz="4" w:space="0"/>
              <w:right w:val="single" w:color="000000" w:sz="4" w:space="0"/>
            </w:tcBorders>
            <w:shd w:val="clear"/>
            <w:vAlign w:val="top"/>
          </w:tcPr>
          <w:p w14:paraId="435B7C3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经费支出针对6个重点社区，11个非重点社区。保证社区正常运转，经费支出和合理性达到了95%，社区平均经费为53.52万元。提升社区服务能力，保障辖区居民安全。确保资金真正惠及社区居民。</w:t>
            </w:r>
          </w:p>
        </w:tc>
      </w:tr>
      <w:tr w14:paraId="293B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0A4B5F0">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E721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1080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26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D860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6FEF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2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519D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80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014C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7E1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178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C849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0210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942F2B">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A19B7F7">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8570B9">
            <w:pPr>
              <w:jc w:val="center"/>
              <w:rPr>
                <w:rFonts w:hint="eastAsia" w:ascii="宋体" w:hAnsi="宋体" w:eastAsia="宋体" w:cs="宋体"/>
                <w:i w:val="0"/>
                <w:iCs w:val="0"/>
                <w:color w:val="000000"/>
                <w:sz w:val="20"/>
                <w:szCs w:val="20"/>
                <w:u w:val="none"/>
              </w:rPr>
            </w:pPr>
          </w:p>
        </w:tc>
        <w:tc>
          <w:tcPr>
            <w:tcW w:w="26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11D71E8">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0710D2A">
            <w:pPr>
              <w:jc w:val="center"/>
              <w:rPr>
                <w:rFonts w:hint="eastAsia" w:ascii="宋体" w:hAnsi="宋体" w:eastAsia="宋体" w:cs="宋体"/>
                <w:i w:val="0"/>
                <w:iCs w:val="0"/>
                <w:color w:val="000000"/>
                <w:sz w:val="20"/>
                <w:szCs w:val="20"/>
                <w:u w:val="none"/>
              </w:rPr>
            </w:pPr>
          </w:p>
        </w:tc>
        <w:tc>
          <w:tcPr>
            <w:tcW w:w="2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3C0CD00">
            <w:pPr>
              <w:jc w:val="center"/>
              <w:rPr>
                <w:rFonts w:hint="eastAsia" w:ascii="宋体" w:hAnsi="宋体" w:eastAsia="宋体" w:cs="宋体"/>
                <w:i w:val="0"/>
                <w:iCs w:val="0"/>
                <w:color w:val="000000"/>
                <w:sz w:val="20"/>
                <w:szCs w:val="20"/>
                <w:u w:val="none"/>
              </w:rPr>
            </w:pPr>
          </w:p>
        </w:tc>
        <w:tc>
          <w:tcPr>
            <w:tcW w:w="80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AA416C">
            <w:pPr>
              <w:jc w:val="center"/>
              <w:rPr>
                <w:rFonts w:hint="eastAsia" w:ascii="宋体" w:hAnsi="宋体" w:eastAsia="宋体" w:cs="宋体"/>
                <w:i w:val="0"/>
                <w:iCs w:val="0"/>
                <w:color w:val="000000"/>
                <w:sz w:val="20"/>
                <w:szCs w:val="20"/>
                <w:u w:val="none"/>
              </w:rPr>
            </w:pPr>
          </w:p>
        </w:tc>
        <w:tc>
          <w:tcPr>
            <w:tcW w:w="772"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2313D94">
            <w:pPr>
              <w:jc w:val="center"/>
              <w:rPr>
                <w:rFonts w:hint="eastAsia" w:ascii="宋体" w:hAnsi="宋体" w:eastAsia="宋体" w:cs="宋体"/>
                <w:i w:val="0"/>
                <w:iCs w:val="0"/>
                <w:color w:val="000000"/>
                <w:sz w:val="20"/>
                <w:szCs w:val="20"/>
                <w:u w:val="none"/>
              </w:rPr>
            </w:pPr>
          </w:p>
        </w:tc>
        <w:tc>
          <w:tcPr>
            <w:tcW w:w="178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70258FB">
            <w:pPr>
              <w:jc w:val="center"/>
              <w:rPr>
                <w:rFonts w:hint="eastAsia" w:ascii="宋体" w:hAnsi="宋体" w:eastAsia="宋体" w:cs="宋体"/>
                <w:i w:val="0"/>
                <w:iCs w:val="0"/>
                <w:color w:val="000000"/>
                <w:sz w:val="20"/>
                <w:szCs w:val="20"/>
                <w:u w:val="none"/>
              </w:rPr>
            </w:pPr>
          </w:p>
        </w:tc>
      </w:tr>
      <w:tr w14:paraId="7F84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19F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C1B3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4AB5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B629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所辖资金使用对象社区数量</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A20D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=17个</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CCD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=17个</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E4BA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0FFEE4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1734298">
            <w:pPr>
              <w:jc w:val="center"/>
              <w:rPr>
                <w:rFonts w:hint="eastAsia" w:ascii="宋体" w:hAnsi="宋体" w:eastAsia="宋体" w:cs="宋体"/>
                <w:i w:val="0"/>
                <w:iCs w:val="0"/>
                <w:color w:val="000000"/>
                <w:sz w:val="20"/>
                <w:szCs w:val="20"/>
                <w:u w:val="none"/>
              </w:rPr>
            </w:pPr>
          </w:p>
        </w:tc>
      </w:tr>
      <w:tr w14:paraId="06C9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1D5E4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702C4D">
            <w:pPr>
              <w:jc w:val="center"/>
              <w:rPr>
                <w:rFonts w:hint="eastAsia" w:ascii="宋体" w:hAnsi="宋体" w:eastAsia="宋体" w:cs="宋体"/>
                <w:i w:val="0"/>
                <w:iCs w:val="0"/>
                <w:color w:val="000000"/>
                <w:sz w:val="20"/>
                <w:szCs w:val="20"/>
                <w:u w:val="none"/>
              </w:rPr>
            </w:pP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84C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1116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经费支出合理性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0E9E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DEA0B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2A632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54B37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02F0B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项目进度延迟或变更，影响经费支出计划。</w:t>
            </w:r>
          </w:p>
        </w:tc>
      </w:tr>
      <w:tr w14:paraId="2EF93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6D13CC">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617E15">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9D4D76">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CD04D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社区正常运转率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BA88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8709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FD082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3F6C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C612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数据采集过程中可能存在遗漏或错误，导致运转率计算不准确。</w:t>
            </w:r>
          </w:p>
        </w:tc>
      </w:tr>
      <w:tr w14:paraId="54C2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CE526E1">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43DF747">
            <w:pPr>
              <w:jc w:val="center"/>
              <w:rPr>
                <w:rFonts w:hint="eastAsia" w:ascii="宋体" w:hAnsi="宋体" w:eastAsia="宋体" w:cs="宋体"/>
                <w:i w:val="0"/>
                <w:iCs w:val="0"/>
                <w:color w:val="000000"/>
                <w:sz w:val="20"/>
                <w:szCs w:val="20"/>
                <w:u w:val="none"/>
              </w:rPr>
            </w:pP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6E1E6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6D4C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经费支付及时性</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7A812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F55E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C50F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22F91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291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财务人员操作失误，影响支付准确性。</w:t>
            </w:r>
          </w:p>
        </w:tc>
      </w:tr>
      <w:tr w14:paraId="737F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5D715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FC4B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0AFD3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0AE7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所辖各社区经费平均标准</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BDC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&lt;=53.52万元</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8066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=53.52万元</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1808D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E318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6D4A6921">
            <w:pPr>
              <w:jc w:val="center"/>
              <w:rPr>
                <w:rFonts w:hint="eastAsia" w:ascii="宋体" w:hAnsi="宋体" w:eastAsia="宋体" w:cs="宋体"/>
                <w:i w:val="0"/>
                <w:iCs w:val="0"/>
                <w:color w:val="000000"/>
                <w:sz w:val="20"/>
                <w:szCs w:val="20"/>
                <w:u w:val="none"/>
              </w:rPr>
            </w:pPr>
          </w:p>
        </w:tc>
      </w:tr>
      <w:tr w14:paraId="0FB0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1B1BCC6">
            <w:pPr>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1EEDD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152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EF544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AF1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提供充足的社区经费，用以保障辖区居民生活安全和提升幸福感</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51DE4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有效提升和保障</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65C84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B36E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489F4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21BB28B">
            <w:pPr>
              <w:jc w:val="center"/>
              <w:rPr>
                <w:rFonts w:hint="eastAsia" w:ascii="宋体" w:hAnsi="宋体" w:eastAsia="宋体" w:cs="宋体"/>
                <w:i w:val="0"/>
                <w:iCs w:val="0"/>
                <w:color w:val="000000"/>
                <w:sz w:val="20"/>
                <w:szCs w:val="20"/>
                <w:u w:val="none"/>
              </w:rPr>
            </w:pPr>
          </w:p>
        </w:tc>
      </w:tr>
      <w:tr w14:paraId="6019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00FD2E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C33FD4">
            <w:pPr>
              <w:jc w:val="center"/>
              <w:rPr>
                <w:rFonts w:hint="eastAsia" w:ascii="宋体" w:hAnsi="宋体" w:eastAsia="宋体" w:cs="宋体"/>
                <w:i w:val="0"/>
                <w:iCs w:val="0"/>
                <w:color w:val="000000"/>
                <w:sz w:val="20"/>
                <w:szCs w:val="20"/>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30E8BC">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6233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提升社区服务能力</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02A3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持续提升</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3F516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4DBFC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19BC7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49B56A2">
            <w:pPr>
              <w:jc w:val="center"/>
              <w:rPr>
                <w:rFonts w:hint="eastAsia" w:ascii="宋体" w:hAnsi="宋体" w:eastAsia="宋体" w:cs="宋体"/>
                <w:i w:val="0"/>
                <w:iCs w:val="0"/>
                <w:color w:val="000000"/>
                <w:sz w:val="20"/>
                <w:szCs w:val="20"/>
                <w:u w:val="none"/>
              </w:rPr>
            </w:pPr>
          </w:p>
        </w:tc>
      </w:tr>
      <w:tr w14:paraId="4C66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FA311A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770F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520" w:type="dxa"/>
            <w:tcBorders>
              <w:top w:val="single" w:color="000000" w:sz="4" w:space="0"/>
              <w:left w:val="single" w:color="000000" w:sz="4" w:space="0"/>
              <w:bottom w:val="single" w:color="000000" w:sz="4" w:space="0"/>
              <w:right w:val="single" w:color="000000" w:sz="4" w:space="0"/>
            </w:tcBorders>
            <w:shd w:val="clear"/>
            <w:vAlign w:val="center"/>
          </w:tcPr>
          <w:p w14:paraId="240802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414CB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辖区居民满意度</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4CB23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2080" w:type="dxa"/>
            <w:tcBorders>
              <w:top w:val="single" w:color="000000" w:sz="4" w:space="0"/>
              <w:left w:val="single" w:color="000000" w:sz="4" w:space="0"/>
              <w:bottom w:val="single" w:color="000000" w:sz="4" w:space="0"/>
              <w:right w:val="single" w:color="000000" w:sz="4" w:space="0"/>
            </w:tcBorders>
            <w:shd w:val="clear"/>
            <w:vAlign w:val="center"/>
          </w:tcPr>
          <w:p w14:paraId="2DF29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073EC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6069D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3B0DA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目标设置保守，居民个人主观因素较为满意。</w:t>
            </w:r>
          </w:p>
        </w:tc>
      </w:tr>
      <w:tr w14:paraId="0ACCF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0493" w:type="dxa"/>
            <w:gridSpan w:val="7"/>
            <w:tcBorders>
              <w:top w:val="single" w:color="000000" w:sz="4" w:space="0"/>
              <w:left w:val="single" w:color="000000" w:sz="4" w:space="0"/>
              <w:bottom w:val="single" w:color="000000" w:sz="4" w:space="0"/>
              <w:right w:val="single" w:color="000000" w:sz="4" w:space="0"/>
            </w:tcBorders>
            <w:shd w:val="clear"/>
            <w:vAlign w:val="center"/>
          </w:tcPr>
          <w:p w14:paraId="0BDE8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800" w:type="dxa"/>
            <w:gridSpan w:val="2"/>
            <w:tcBorders>
              <w:top w:val="single" w:color="000000" w:sz="4" w:space="0"/>
              <w:left w:val="single" w:color="000000" w:sz="4" w:space="0"/>
              <w:bottom w:val="single" w:color="000000" w:sz="4" w:space="0"/>
              <w:right w:val="single" w:color="000000" w:sz="4" w:space="0"/>
            </w:tcBorders>
            <w:shd w:val="clear"/>
            <w:vAlign w:val="center"/>
          </w:tcPr>
          <w:p w14:paraId="2117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772" w:type="dxa"/>
            <w:gridSpan w:val="2"/>
            <w:tcBorders>
              <w:top w:val="single" w:color="000000" w:sz="4" w:space="0"/>
              <w:left w:val="single" w:color="000000" w:sz="4" w:space="0"/>
              <w:bottom w:val="single" w:color="000000" w:sz="4" w:space="0"/>
              <w:right w:val="single" w:color="000000" w:sz="4" w:space="0"/>
            </w:tcBorders>
            <w:shd w:val="clear"/>
            <w:vAlign w:val="center"/>
          </w:tcPr>
          <w:p w14:paraId="4549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1786" w:type="dxa"/>
            <w:gridSpan w:val="2"/>
            <w:tcBorders>
              <w:top w:val="single" w:color="000000" w:sz="4" w:space="0"/>
              <w:left w:val="single" w:color="000000" w:sz="4" w:space="0"/>
              <w:bottom w:val="single" w:color="000000" w:sz="4" w:space="0"/>
              <w:right w:val="single" w:color="000000" w:sz="4" w:space="0"/>
            </w:tcBorders>
            <w:shd w:val="clear"/>
            <w:vAlign w:val="center"/>
          </w:tcPr>
          <w:p w14:paraId="429132C4">
            <w:pPr>
              <w:jc w:val="center"/>
              <w:rPr>
                <w:rFonts w:hint="eastAsia" w:ascii="宋体" w:hAnsi="宋体" w:eastAsia="宋体" w:cs="宋体"/>
                <w:i w:val="0"/>
                <w:iCs w:val="0"/>
                <w:color w:val="000000"/>
                <w:sz w:val="20"/>
                <w:szCs w:val="20"/>
                <w:u w:val="none"/>
              </w:rPr>
            </w:pPr>
          </w:p>
        </w:tc>
      </w:tr>
    </w:tbl>
    <w:p w14:paraId="5BB5D5D6">
      <w:pPr>
        <w:spacing w:line="240" w:lineRule="atLeast"/>
        <w:rPr>
          <w:rFonts w:hint="eastAsia" w:ascii="仿宋_GB2312" w:hAnsi="仿宋_GB2312" w:eastAsia="仿宋_GB2312" w:cs="仿宋_GB2312"/>
          <w:b/>
          <w:bCs/>
          <w:kern w:val="0"/>
          <w:sz w:val="28"/>
          <w:szCs w:val="28"/>
          <w:lang w:bidi="ar"/>
        </w:rPr>
      </w:pPr>
      <w:bookmarkStart w:id="3" w:name="_GoBack"/>
      <w:bookmarkEnd w:id="3"/>
    </w:p>
    <w:p w14:paraId="69D9606F">
      <w:pPr>
        <w:spacing w:line="240" w:lineRule="atLeast"/>
        <w:jc w:val="center"/>
        <w:rPr>
          <w:rFonts w:hint="eastAsia" w:ascii="仿宋_GB2312" w:hAnsi="仿宋_GB2312" w:eastAsia="仿宋_GB2312" w:cs="仿宋_GB2312"/>
          <w:b/>
          <w:bCs/>
          <w:kern w:val="0"/>
          <w:sz w:val="28"/>
          <w:szCs w:val="28"/>
          <w:lang w:bidi="ar"/>
        </w:rPr>
      </w:pPr>
    </w:p>
    <w:p w14:paraId="120A4BE4"/>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5C2BBE74">
        <w:pPr>
          <w:pStyle w:val="7"/>
          <w:jc w:val="center"/>
        </w:pPr>
        <w:r>
          <w:fldChar w:fldCharType="begin"/>
        </w:r>
        <w:r>
          <w:instrText xml:space="preserve">PAGE   \* MERGEFORMAT</w:instrText>
        </w:r>
        <w:r>
          <w:fldChar w:fldCharType="separate"/>
        </w:r>
        <w:r>
          <w:rPr>
            <w:lang w:val="zh-CN"/>
          </w:rPr>
          <w:t>13</w:t>
        </w:r>
        <w:r>
          <w:fldChar w:fldCharType="end"/>
        </w:r>
      </w:p>
    </w:sdtContent>
  </w:sdt>
  <w:p w14:paraId="15364641">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116B29BF"/>
    <w:multiLevelType w:val="singleLevel"/>
    <w:tmpl w:val="116B29BF"/>
    <w:lvl w:ilvl="0" w:tentative="0">
      <w:start w:val="3"/>
      <w:numFmt w:val="chineseCounting"/>
      <w:suff w:val="nothing"/>
      <w:lvlText w:val="%1、"/>
      <w:lvlJc w:val="left"/>
      <w:rPr>
        <w:rFonts w:hint="eastAsia"/>
      </w:rPr>
    </w:lvl>
  </w:abstractNum>
  <w:abstractNum w:abstractNumId="3">
    <w:nsid w:val="27813159"/>
    <w:multiLevelType w:val="singleLevel"/>
    <w:tmpl w:val="27813159"/>
    <w:lvl w:ilvl="0" w:tentative="0">
      <w:start w:val="3"/>
      <w:numFmt w:val="chineseCounting"/>
      <w:suff w:val="nothing"/>
      <w:lvlText w:val="（%1）"/>
      <w:lvlJc w:val="left"/>
      <w:rPr>
        <w:rFonts w:hint="eastAsia"/>
      </w:rPr>
    </w:lvl>
  </w:abstractNum>
  <w:abstractNum w:abstractNumId="4">
    <w:nsid w:val="6FAA0AB1"/>
    <w:multiLevelType w:val="singleLevel"/>
    <w:tmpl w:val="6FAA0AB1"/>
    <w:lvl w:ilvl="0" w:tentative="0">
      <w:start w:val="2"/>
      <w:numFmt w:val="chineseCounting"/>
      <w:suff w:val="nothing"/>
      <w:lvlText w:val="（%1）"/>
      <w:lvlJc w:val="left"/>
      <w:pPr>
        <w:ind w:left="-13"/>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GM5NzlhN2JhOTc3OTljZTBmY2FhN2MzNTk3ODEifQ=="/>
  </w:docVars>
  <w:rsids>
    <w:rsidRoot w:val="FF6C4049"/>
    <w:rsid w:val="00032A44"/>
    <w:rsid w:val="000D2A2A"/>
    <w:rsid w:val="00161D44"/>
    <w:rsid w:val="001C5778"/>
    <w:rsid w:val="001E0E3F"/>
    <w:rsid w:val="002A2DB3"/>
    <w:rsid w:val="00353C63"/>
    <w:rsid w:val="00354F84"/>
    <w:rsid w:val="004E4BAE"/>
    <w:rsid w:val="0051533C"/>
    <w:rsid w:val="00585E35"/>
    <w:rsid w:val="00670478"/>
    <w:rsid w:val="006F7242"/>
    <w:rsid w:val="00782E8A"/>
    <w:rsid w:val="00785A59"/>
    <w:rsid w:val="00794621"/>
    <w:rsid w:val="007960BB"/>
    <w:rsid w:val="007A199E"/>
    <w:rsid w:val="007B168A"/>
    <w:rsid w:val="008111FD"/>
    <w:rsid w:val="008B2CFE"/>
    <w:rsid w:val="00991405"/>
    <w:rsid w:val="009E6388"/>
    <w:rsid w:val="00AB1F1F"/>
    <w:rsid w:val="00AE26E2"/>
    <w:rsid w:val="00BF4B0B"/>
    <w:rsid w:val="00CF0D94"/>
    <w:rsid w:val="00D62A9A"/>
    <w:rsid w:val="00E02AC8"/>
    <w:rsid w:val="00E61972"/>
    <w:rsid w:val="00EE5337"/>
    <w:rsid w:val="00EF70DB"/>
    <w:rsid w:val="00F26FF6"/>
    <w:rsid w:val="01610122"/>
    <w:rsid w:val="02510197"/>
    <w:rsid w:val="03EC461B"/>
    <w:rsid w:val="07397B77"/>
    <w:rsid w:val="092F2005"/>
    <w:rsid w:val="0AD007F3"/>
    <w:rsid w:val="0E3C619F"/>
    <w:rsid w:val="0F6273CA"/>
    <w:rsid w:val="100F38EC"/>
    <w:rsid w:val="11170296"/>
    <w:rsid w:val="12C66037"/>
    <w:rsid w:val="12CD1ABC"/>
    <w:rsid w:val="13471461"/>
    <w:rsid w:val="13B90F01"/>
    <w:rsid w:val="155E4C4D"/>
    <w:rsid w:val="181066D2"/>
    <w:rsid w:val="18555F3E"/>
    <w:rsid w:val="1BFE6D92"/>
    <w:rsid w:val="1C671E73"/>
    <w:rsid w:val="1D322C47"/>
    <w:rsid w:val="23616034"/>
    <w:rsid w:val="23696C97"/>
    <w:rsid w:val="24480FA2"/>
    <w:rsid w:val="25227A45"/>
    <w:rsid w:val="26AC3A6A"/>
    <w:rsid w:val="27325366"/>
    <w:rsid w:val="2B9D7E25"/>
    <w:rsid w:val="2BFD6A4C"/>
    <w:rsid w:val="2C7C7A3B"/>
    <w:rsid w:val="2D594243"/>
    <w:rsid w:val="2D974E17"/>
    <w:rsid w:val="2F364819"/>
    <w:rsid w:val="2FA026BE"/>
    <w:rsid w:val="2FD63906"/>
    <w:rsid w:val="37215DAE"/>
    <w:rsid w:val="38CA40DD"/>
    <w:rsid w:val="395F2B56"/>
    <w:rsid w:val="3B482032"/>
    <w:rsid w:val="3BBA0580"/>
    <w:rsid w:val="3BECE841"/>
    <w:rsid w:val="3CDE204C"/>
    <w:rsid w:val="3D363C36"/>
    <w:rsid w:val="3E9C3F6D"/>
    <w:rsid w:val="3FF7797D"/>
    <w:rsid w:val="42F71CED"/>
    <w:rsid w:val="44C24BC1"/>
    <w:rsid w:val="46690BD8"/>
    <w:rsid w:val="487C55E7"/>
    <w:rsid w:val="49792371"/>
    <w:rsid w:val="49F70BF1"/>
    <w:rsid w:val="4B4340EE"/>
    <w:rsid w:val="503D507A"/>
    <w:rsid w:val="51FA74D0"/>
    <w:rsid w:val="52AA4A52"/>
    <w:rsid w:val="533269B7"/>
    <w:rsid w:val="539D3AD1"/>
    <w:rsid w:val="56F1131F"/>
    <w:rsid w:val="59943D66"/>
    <w:rsid w:val="59E051FD"/>
    <w:rsid w:val="59E6355E"/>
    <w:rsid w:val="5B004660"/>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6019A0"/>
    <w:rsid w:val="65F242EE"/>
    <w:rsid w:val="666D7E19"/>
    <w:rsid w:val="68376930"/>
    <w:rsid w:val="68F91E38"/>
    <w:rsid w:val="69A53AE0"/>
    <w:rsid w:val="6B3158B9"/>
    <w:rsid w:val="6BA02A3F"/>
    <w:rsid w:val="6C105349"/>
    <w:rsid w:val="6C1E5A53"/>
    <w:rsid w:val="6D3823F1"/>
    <w:rsid w:val="6F5C41AC"/>
    <w:rsid w:val="6FAF6C78"/>
    <w:rsid w:val="716167CC"/>
    <w:rsid w:val="718A7AD1"/>
    <w:rsid w:val="72A44BC2"/>
    <w:rsid w:val="7317C656"/>
    <w:rsid w:val="734ED73F"/>
    <w:rsid w:val="73A75386"/>
    <w:rsid w:val="73C82B32"/>
    <w:rsid w:val="73F94DAE"/>
    <w:rsid w:val="74220495"/>
    <w:rsid w:val="747D1B6F"/>
    <w:rsid w:val="749E5641"/>
    <w:rsid w:val="76271066"/>
    <w:rsid w:val="77FD8BE9"/>
    <w:rsid w:val="78000AED"/>
    <w:rsid w:val="78036054"/>
    <w:rsid w:val="79A9BD3F"/>
    <w:rsid w:val="7AC5270E"/>
    <w:rsid w:val="7B776F12"/>
    <w:rsid w:val="7BFFFDD0"/>
    <w:rsid w:val="7C2C0EA9"/>
    <w:rsid w:val="7C336E5F"/>
    <w:rsid w:val="7C8D4919"/>
    <w:rsid w:val="7D7A5F86"/>
    <w:rsid w:val="7E4B683A"/>
    <w:rsid w:val="7E5E656D"/>
    <w:rsid w:val="7E8F2BCB"/>
    <w:rsid w:val="7F37BB4E"/>
    <w:rsid w:val="7F607FD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2"/>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Calibri" w:hAnsi="Calibri"/>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11">
    <w:name w:val="annotation subject"/>
    <w:basedOn w:val="3"/>
    <w:next w:val="3"/>
    <w:link w:val="23"/>
    <w:qFormat/>
    <w:uiPriority w:val="0"/>
    <w:rPr>
      <w:b/>
      <w:bCs/>
    </w:rPr>
  </w:style>
  <w:style w:type="paragraph" w:styleId="12">
    <w:name w:val="Body Text First Indent"/>
    <w:basedOn w:val="4"/>
    <w:qFormat/>
    <w:uiPriority w:val="0"/>
    <w:pPr>
      <w:spacing w:after="0"/>
      <w:ind w:firstLine="200" w:firstLineChars="200"/>
    </w:pPr>
  </w:style>
  <w:style w:type="paragraph" w:styleId="13">
    <w:name w:val="Body Text First Indent 2"/>
    <w:basedOn w:val="5"/>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 w:type="character" w:customStyle="1" w:styleId="21">
    <w:name w:val="页眉 字符"/>
    <w:basedOn w:val="15"/>
    <w:link w:val="8"/>
    <w:qFormat/>
    <w:uiPriority w:val="0"/>
    <w:rPr>
      <w:rFonts w:ascii="Times New Roman" w:hAnsi="Times New Roman" w:eastAsia="宋体" w:cs="Times New Roman"/>
      <w:kern w:val="2"/>
      <w:sz w:val="18"/>
      <w:szCs w:val="18"/>
    </w:rPr>
  </w:style>
  <w:style w:type="character" w:customStyle="1" w:styleId="22">
    <w:name w:val="批注文字 字符"/>
    <w:basedOn w:val="15"/>
    <w:link w:val="3"/>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10687</Words>
  <Characters>11098</Characters>
  <Lines>700</Lines>
  <Paragraphs>458</Paragraphs>
  <TotalTime>10</TotalTime>
  <ScaleCrop>false</ScaleCrop>
  <LinksUpToDate>false</LinksUpToDate>
  <CharactersWithSpaces>11112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2025-11-27T03:42:19Z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0E74DC2983F34ECD8CDCF7E9F3EB68DC_13</vt:lpwstr>
  </property>
  <property fmtid="{D5CDD505-2E9C-101B-9397-08002B2CF9AE}" pid="4" name="KSOTemplateDocerSaveRecord">
    <vt:lpwstr>eyJoZGlkIjoiOGFkNmZiY2VjMDdjZjNhYjcxMzg2NTlkY2FmMDAzYzIiLCJ1c2VySWQiOiIzMTEwOTcwNTkifQ==</vt:lpwstr>
  </property>
</Properties>
</file>