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方正小标宋_GBK" w:hAnsi="华文中宋" w:eastAsia="方正小标宋_GBK" w:cs="宋体"/>
          <w:b/>
          <w:kern w:val="0"/>
          <w:sz w:val="48"/>
          <w:szCs w:val="48"/>
        </w:rPr>
      </w:pPr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项目支出绩效自评报告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（   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2022</w:t>
      </w:r>
      <w:r>
        <w:rPr>
          <w:rFonts w:hint="eastAsia" w:hAnsi="宋体" w:eastAsia="仿宋_GB2312" w:cs="宋体"/>
          <w:kern w:val="0"/>
          <w:sz w:val="36"/>
          <w:szCs w:val="36"/>
        </w:rPr>
        <w:t xml:space="preserve">  年度）</w:t>
      </w: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700" w:lineRule="exact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   </w:t>
      </w:r>
    </w:p>
    <w:p>
      <w:pPr>
        <w:spacing w:line="700" w:lineRule="exact"/>
        <w:ind w:firstLine="900" w:firstLineChars="250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项目名称：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信访疑难</w:t>
      </w:r>
      <w:bookmarkStart w:id="0" w:name="_GoBack"/>
      <w:bookmarkEnd w:id="0"/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资金</w:t>
      </w:r>
    </w:p>
    <w:p>
      <w:pPr>
        <w:spacing w:line="540" w:lineRule="exact"/>
        <w:ind w:firstLine="567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实施单位（公章）：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沙依巴克区信访局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28"/>
          <w:szCs w:val="28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主管部门（公章）：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沙依巴克区信访局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项目负责人（签章）：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马志军</w:t>
      </w:r>
    </w:p>
    <w:p>
      <w:pPr>
        <w:spacing w:line="540" w:lineRule="exact"/>
        <w:ind w:left="273"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填报时间：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2023年03月23日</w:t>
      </w:r>
    </w:p>
    <w:p>
      <w:pPr>
        <w:spacing w:line="700" w:lineRule="exact"/>
        <w:ind w:firstLine="708" w:firstLineChars="236"/>
        <w:jc w:val="lef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一、基本情况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（一）项目概况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一、基本情况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（一）项目概况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1、项目背景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特殊疑难信访问题专项资金项目的设立是为了解决复杂、长期积累、久拖未决、难以划分责任主体或无法追查责任单位的特殊疑难信访问题，特别是对事关民生的“无头案、钉子案、骨头案”的当事人实施适度救助，达到息访息诉，实现事要解决、案结事了、和谐社会的工作目标，极大限度降低进京赴省到市非正常重复上访量，确保全区社会和谐稳定项目主要内容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2、项目主要内容：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特殊疑难信访问题专项资金项目主要为了了解决复杂、长期积累、久拖未决、难以划分责任主体或无法追查责任单位的特殊疑难信访问题，特别是对事关民生的“无头案、钉子案、骨头案”的当事人实施适度救助，达到息访息诉，实现事要解决、案结事了、和谐社会的工作目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项目实施情况：项目目前已经完成实际设立的目标，项目在实施过程中严格按照目标设立的各阶段任务进行开展工作，在前期立项过程中严格把质量关，建立安全防护机制，保证项目实施各阶段安全顺利进行。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本项目总投资10万元，其中：财政本级资金10万元。项目实际支出10万元，支出率为100%。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3、资金投入和使用情况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（1）资金安排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总投资10万元，按照单位财务制度等相关规定，资金支出符合信访疑难专项资金费用范围，做到了专款专用。在项目资金拨付和使用过程中，为确保项目资金的安全性，提高项目资金使用效率，严格遵循信访疑难资金的拨付程序，认真审核项目实施各阶段的相关材料和手续，根据项目实施进展情况拨付资金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（2）预算资金来源及使用情况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项目预算资金来源于当年财政拔付，项目资金到位10万元，全年执行10万元，预算执行率为100%,主要用于支付项目实施进程中的各项费用。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（二）项目绩效目标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（二）项目绩效目标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1、总体目标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维护正常信访秩序，确保社会面和谐稳定，依法维护群众利益，息诉息访。案件事了，事心双结。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2、阶段性目标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（1）前期准备：通过制定项目实施方案，经项目负责人审核通过后，有序开展后续工作。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（2）组织实施：资金一到位，立即根据项目要求实施项目。项目责任人按照项目实施方案要求逐一进行项目部署安排，提高项目质量及效率性。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二、绩效评价工作开展情况</w:t>
      </w:r>
    </w:p>
    <w:p>
      <w:pPr>
        <w:spacing w:line="540" w:lineRule="exact"/>
        <w:ind w:firstLine="567" w:firstLineChars="181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（一）绩效评价目的、对象和范围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（一）绩效评价目的、对象和范围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1、绩效评价的目的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财政支出绩效评价运用科学、规范的绩效评价方法，制定统一的评价标准，使财政资金得到事前、事中和事后多方面的控制。财政支出绩效评价贯穿于财政支出安排和实施的全过程，是对财政支出效益、管理水平、投入风险等方面的综合评价；是发挥财政调控功能、提高财政资金安排科学性、促进财政支持社会经济目标实现的重要保证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（1）项目在实施前向项目负责人提供财政支出绩效方面的资金管理信息，促进项目支出严格按照资金管理规定进行。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（2）项目绩效管理财政支出运行提供及时、有效的信息。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综合来看，通过开展有效的财政支出绩效评价管理，达到改进预算管理、控制节约成本，提高预算资金使用效益的目的。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2、绩效评价的对象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信访疑难资金项目所包含的全部项目建设内容。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3、绩效评价的范围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信访疑难资金项目的决策、过程、产出、效益等。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（二）绩效评价原则、评价指标体系、评价方法、评价标准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（二）绩效评价原则、评价指标体系（详情见表1）、评价方法、评价标准。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1、绩效评价原则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本次项目绩效评价遵循以下基本原则：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（1）科学公正。绩效评价应当运用科学合理的方法，按照规范的程序，对项目绩效进行客观、公正的反映。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（2）统筹兼顾。单位自评、部门评价和财政评价应职责明确，各有侧重，相互衔接。单位自评应由项目单位自主实施，即“谁支出、谁自评”。部门评价和财政评价应在单位自评的基础上开展。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（3）激励约束。绩效评价结果应与预算安排、政策调整、改进管理实质性挂钩，体现奖优罚劣和激励相容导向，有效要安排、低效要压减、无效要问责。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（4）公开透明。绩效评价结果应依法依规公开，并自觉接受社会监督。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2、评价指标体系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绩效评价框架是开展绩效评价的核心。绩效评价框架包括评价准则、关键评价问题、评价指标、数据来源、数据收集方法等。指标体系建立过程如下：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（1）确定评价指标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采用层次分析法，建立评价指标体系。绩效评价将指标分为项目决策指标、项目过程指标、项目产出指标、项目效益指标四个维度，最终形成一个由多个相互联系的指标组成的多层次指标体系。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（2）确定权重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确定各个指标相对于项目总体绩效的权重分值。在绩效评价指标体系中，项目决策权重为20分，项目过程权重为20分，项目产出权重为40分，项目效益权重为20分。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（3）确定指标标准值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指标标准值是绩效评价指标的尺度，既要反映同类项目的先进水平，又要符合项目的实际绩效水平。具体采用计划标准等确定此次绩效评价指标标准值。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绩效评价总分值100分，根据综合评分结果，评价计分90分-100分（含90分）对应的评分结果级别为优，80-90分（含80分）对应的评分结果级别为良，60-80分（含60分）对应的评分结果级别为中，60分以下对应的评分结果级别为差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具体评价指标体系详情见附件1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3、绩效评价方法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绩效评价从项目决策、项目过程、项目产出、项目效益四个维度进行评价。评价对象为项目目标实施情况，  评价核心为资金的支出完成情况和项目的产出效益。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本次评价指标中，既有定性指标又有定量指标，各类指标因考核内容不同和客观标准不同存在较大差异，因此核定具体指标时采用了不同方法，具体评价方法如下：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（1）比较法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通过对绩效目标与实施效果、历史与当期情况，综合分析绩效目标实现程度。对项目最终验收情况与年度绩效目标对比、预算资金执行情况等相关因素进行比较。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（2）因素分析法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通过综合分析影响绩效目标实现、实施效果的内外因素，评价绩效目标实现程度。通过对项目的开展情况、项目产出数量、成本控制、资金拨付文件及自评报告等相关资料的收集和审核，综合分析各因素对绩效目标实现的影响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4、评价标准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绩效评价标准通常包括计划标准、行业标准、历史标准等，用于对绩效指标完成情况进行比较。本次评价主要采用了计划标准和行业标准。</w:t>
      </w:r>
    </w:p>
    <w:p>
      <w:pPr>
        <w:spacing w:line="540" w:lineRule="exact"/>
        <w:ind w:firstLine="567" w:firstLineChars="181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（三）绩效评价工作过程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（三）绩效评价工作过程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1、前期准备。首先成立评价工作组，开展前期调研；其次明确项目绩效目标，设计绩效评价指标体系并确定绩效评价方法；接着确定现场和非现场评价范围，设计资料清单；最后制定评价实施方案并进行论证。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、组织实施。制定绩效评价工作方案，具体包括项目概况、评价思路、方法手段、组织实施、进度安排等。收集项目立项依据、相关会议纪要、实施方案、财政资金分配方案、支付管理情况等相关评价资料并进行梳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3、分析评价。根据收集梳理的资料围绕项目立项、资金落实、业务管理、财务管理、项目产出、项目效益等内容，对照已确定的绩效评价指标进行详细全面的分析评价，逐项打分并形成绩效评价最终结果。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三、综合评价情况及评价结论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对信访疑难资金项目进行客观评价，最终评分结果：总得分为100分，属于“优”。其中，项目决策类指标权重为20分，得分为20分，得分率为 100%。项目过程类指标权重为20分，得分为20分，得分率为 100%。项目产出类指标权重为40分，得分为40分，得分率为 100%。项目效益类指标权重为20分，得分为20分，得分率为100%。</w:t>
      </w:r>
    </w:p>
    <w:p>
      <w:pPr>
        <w:spacing w:line="540" w:lineRule="exact"/>
        <w:ind w:firstLine="640"/>
        <w:rPr>
          <w:rStyle w:val="18"/>
          <w:rFonts w:ascii="黑体" w:hAnsi="黑体" w:eastAsia="黑体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四、绩效评价指标分析</w:t>
      </w:r>
      <w:r>
        <w:rPr>
          <w:rStyle w:val="18"/>
          <w:rFonts w:hint="eastAsia" w:ascii="黑体" w:hAnsi="黑体" w:eastAsia="黑体"/>
        </w:rPr>
        <w:t xml:space="preserve"> 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（一）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项目决策情况</w:t>
      </w:r>
    </w:p>
    <w:p>
      <w:pPr>
        <w:tabs>
          <w:tab w:val="center" w:pos="4295"/>
        </w:tabs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（一）项目决策情况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立项符合法律法规、相关政策及部门职责，能反映和考核项目立项依据情况，项目申请、设立过程符合相关要求，能反映和考核项目立项的规范情况，所设定的绩效目标依据充分，符合客观实际，能反映和考核项目绩效目标与项目实施的相符情况，依据绩效目标设定的绩效指标清晰、细化、可衡量，能反映和考核项目绩效目标的明细化情况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ab/>
      </w:r>
    </w:p>
    <w:p>
      <w:pPr>
        <w:spacing w:line="540" w:lineRule="exact"/>
        <w:ind w:firstLine="567" w:firstLineChars="181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（二）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项目过程情况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（二）项目过程情况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严格按照预期绩效目标执行预算资金。项目资金使用符合相关的财务管理制度规定，能够反映和考核项目资金的规范运行情况；项目实施单位的财务和业务管理制度健全，能够反映和考核财务和业务管理制度对项目顺利实施的保障情况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（三）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项目产出情况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（三）项目产出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数量指标方面：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a.解决特殊疑难信访问题数量指标，指标值为1件，实际完成1件，完成率100%，偏差率0%，偏差原因是无。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质量指标方面：疑难问题息诉息访率指标，指标值为100%，实际完成100%，完成率100%，偏差率0%，偏差原因是无。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成本指标方面：项目预算控制率指标，指标值为≤100%，实际完成100%，完成率100%，偏差率0%，偏差原因是无。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时效指标方面：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问题处理时限达标率指标，指标值为100%，实际完成100%，完成率100%，偏差率0%，偏差原因是无。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资金拨付及时率指标，指标值为100%，实际完成100%，完成率100%，偏差率0%，偏差原因是无。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（四）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项目效益情况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（四）效益情况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经济效益指标方面：该项目本年度未设置经济效益指标。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社会效益指标方面：维护正常信访秩序，确保社会面和谐稳定指标，指标值为有效保障，实际完成为有效保障，完成率100%，偏差率0%，偏差原因是无。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可持续影响指标方面：该项目本年度未设置可持续影响指标。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bCs w:val="0"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（五）满意度指标完成情况分析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满意度指标方面：受益群众满意度指标，指标值为100%，实际完成100%，完成率100%，偏差率0%，偏差原因是无。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五、预算执行进度与绩效指标偏差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该项目预算执行率为100%，总体完成率为100%，无偏差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六、主要经验及做法、存在的问题及原因分析</w:t>
      </w:r>
    </w:p>
    <w:p>
      <w:pPr>
        <w:spacing w:line="540" w:lineRule="exact"/>
        <w:ind w:firstLine="567"/>
        <w:rPr>
          <w:rFonts w:ascii="仿宋_GB2312" w:eastAsia="仿宋_GB2312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（一）主要经验及做法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为确保项目顺利进行，提前做好项目规划，将所列计划再三审核。在项目实施过程中做好定期监督检查，严格按照项目管理规范进行，在项目资金使用过程中，严格落实把关，按照项目资金使用范围做好审核工作，让项目资金落于实处。在项目完成后，做好受益群众民意调查及项目防范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严格坚持先做事、后验收、再拨付的原则，基本杜绝了资金被挤占和挪用现象的发生，跟踪检查到位。财政、纪检、监察等职能部门全面参与专项资金事前、事中和事后全过程的监管。在监督环节上，实行关口前移，从事后监督管理转向事前审核，事中监督和事后检查稽核相结合的监督制度上来，形成多环节全过程的监督管理格局，尽量早发现问题，早解决问题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（二）存在的问题及原因分析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存在的问题及原因分析：由于信访工作具有其特殊性，投入产出评价指标难以用数据直接体现，定量分析还有待加强。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七、有关建议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进一步加强对绩效管理工作的组织领导，提高对预算绩效管理工作重要性的认识，总结经验查找问题，抓紧研究制定更全面更完善的绩效评价管理办法。结合食品安全考核建立绩效工作考核制度，加大全局对全面实施预算绩效管理和绩效管理工作的学习力度，让“花钱必问效，无效必问责”的理念深入工作每个环节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八、其他需要说明的问题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无其他说明问题</w:t>
      </w: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sectPr>
      <w:footerReference r:id="rId3" w:type="default"/>
      <w:pgSz w:w="11906" w:h="16838"/>
      <w:pgMar w:top="1440" w:right="1558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003363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GJmMzNkYTYyMWYwZGQxZDFmNzNlMDBjMjI4NjcifQ=="/>
  </w:docVars>
  <w:rsids>
    <w:rsidRoot w:val="00CA6457"/>
    <w:rsid w:val="000048AA"/>
    <w:rsid w:val="00056465"/>
    <w:rsid w:val="00102DFF"/>
    <w:rsid w:val="00121AE4"/>
    <w:rsid w:val="00146AAD"/>
    <w:rsid w:val="001B3A40"/>
    <w:rsid w:val="00291BC0"/>
    <w:rsid w:val="00311DBE"/>
    <w:rsid w:val="004366A8"/>
    <w:rsid w:val="00502BA7"/>
    <w:rsid w:val="005162F1"/>
    <w:rsid w:val="00535153"/>
    <w:rsid w:val="00554F82"/>
    <w:rsid w:val="0056390D"/>
    <w:rsid w:val="005719B0"/>
    <w:rsid w:val="005D10D6"/>
    <w:rsid w:val="007E3CE9"/>
    <w:rsid w:val="00855E3A"/>
    <w:rsid w:val="0091457F"/>
    <w:rsid w:val="00922CB9"/>
    <w:rsid w:val="009C229E"/>
    <w:rsid w:val="009E5CD9"/>
    <w:rsid w:val="00A26421"/>
    <w:rsid w:val="00A34588"/>
    <w:rsid w:val="00A4293B"/>
    <w:rsid w:val="00A67D50"/>
    <w:rsid w:val="00A8691A"/>
    <w:rsid w:val="00AC1946"/>
    <w:rsid w:val="00B40063"/>
    <w:rsid w:val="00B41F61"/>
    <w:rsid w:val="00BA46E6"/>
    <w:rsid w:val="00C56C72"/>
    <w:rsid w:val="00CA6457"/>
    <w:rsid w:val="00CE2FD9"/>
    <w:rsid w:val="00D17F2E"/>
    <w:rsid w:val="00D30354"/>
    <w:rsid w:val="00DF42A0"/>
    <w:rsid w:val="00E30E91"/>
    <w:rsid w:val="00E769FE"/>
    <w:rsid w:val="00EA2CBE"/>
    <w:rsid w:val="00F32FEE"/>
    <w:rsid w:val="00FB10BB"/>
    <w:rsid w:val="07261865"/>
    <w:rsid w:val="0856517C"/>
    <w:rsid w:val="0BFB189F"/>
    <w:rsid w:val="11BD75F7"/>
    <w:rsid w:val="13BE561A"/>
    <w:rsid w:val="15392994"/>
    <w:rsid w:val="18FE139B"/>
    <w:rsid w:val="2A891760"/>
    <w:rsid w:val="3029612C"/>
    <w:rsid w:val="32A221C5"/>
    <w:rsid w:val="33F20F2A"/>
    <w:rsid w:val="34C44675"/>
    <w:rsid w:val="3B5B5607"/>
    <w:rsid w:val="3CE21B3C"/>
    <w:rsid w:val="47D67A3E"/>
    <w:rsid w:val="4D2606A1"/>
    <w:rsid w:val="51830480"/>
    <w:rsid w:val="53A616BE"/>
    <w:rsid w:val="54662BFB"/>
    <w:rsid w:val="62051CA5"/>
    <w:rsid w:val="6C3A69EF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widowControl/>
      <w:spacing w:before="240" w:after="60"/>
      <w:jc w:val="left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Theme="majorHAnsi" w:hAnsiTheme="majorHAnsi" w:eastAsiaTheme="majorEastAsia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Theme="majorHAnsi" w:hAnsiTheme="majorHAnsi" w:eastAsiaTheme="majorEastAsia"/>
      <w:kern w:val="0"/>
      <w:sz w:val="22"/>
      <w:szCs w:val="2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60"/>
      <w:jc w:val="center"/>
      <w:outlineLvl w:val="1"/>
    </w:pPr>
    <w:rPr>
      <w:rFonts w:asciiTheme="majorHAnsi" w:hAnsiTheme="majorHAnsi" w:eastAsiaTheme="majorEastAsia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  <w:lang w:eastAsia="en-US" w:bidi="en-US"/>
    </w:rPr>
  </w:style>
  <w:style w:type="paragraph" w:styleId="32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</w:rPr>
  </w:style>
  <w:style w:type="character" w:customStyle="1" w:styleId="34">
    <w:name w:val="引用 字符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  <w:szCs w:val="22"/>
    </w:rPr>
  </w:style>
  <w:style w:type="character" w:customStyle="1" w:styleId="36">
    <w:name w:val="明显引用 字符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3">
    <w:name w:val="页眉 字符"/>
    <w:basedOn w:val="17"/>
    <w:link w:val="13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4">
    <w:name w:val="页脚 字符"/>
    <w:basedOn w:val="17"/>
    <w:link w:val="12"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5">
    <w:name w:val="批注框文本 字符"/>
    <w:basedOn w:val="17"/>
    <w:link w:val="11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4295</Words>
  <Characters>4425</Characters>
  <Lines>4</Lines>
  <Paragraphs>1</Paragraphs>
  <TotalTime>13</TotalTime>
  <ScaleCrop>false</ScaleCrop>
  <LinksUpToDate>false</LinksUpToDate>
  <CharactersWithSpaces>4444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2018-08-15T02:06:00Z</dcterms:created>
  <dc:creator>赵 恺（预算处）</dc:creator>
  <cp:lastModifiedBy>莉</cp:lastModifiedBy>
  <cp:lastPrinted>2018-12-31T10:56:00Z</cp:lastPrinted>
  <dcterms:modified xsi:type="dcterms:W3CDTF">2023-08-18T04:59:24Z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816E87A58DAC4416968E17CCE1630EDD_13</vt:lpwstr>
  </property>
</Properties>
</file>