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B222C">
      <w:pPr>
        <w:spacing w:line="540" w:lineRule="exact"/>
        <w:jc w:val="center"/>
        <w:rPr>
          <w:rFonts w:hint="default" w:ascii="Times New Roman" w:hAnsi="Times New Roman" w:eastAsia="华文中宋" w:cs="Times New Roman"/>
          <w:b/>
          <w:kern w:val="0"/>
          <w:sz w:val="52"/>
          <w:szCs w:val="52"/>
        </w:rPr>
      </w:pPr>
    </w:p>
    <w:p w14:paraId="7C72AB17">
      <w:pPr>
        <w:spacing w:line="540" w:lineRule="exact"/>
        <w:rPr>
          <w:rFonts w:hint="default" w:ascii="Times New Roman" w:hAnsi="Times New Roman" w:eastAsia="华文中宋" w:cs="Times New Roman"/>
          <w:b/>
          <w:kern w:val="0"/>
          <w:sz w:val="52"/>
          <w:szCs w:val="52"/>
        </w:rPr>
      </w:pPr>
    </w:p>
    <w:p w14:paraId="5FAAB522">
      <w:pPr>
        <w:spacing w:line="540" w:lineRule="exact"/>
        <w:jc w:val="center"/>
        <w:rPr>
          <w:rFonts w:hint="default" w:ascii="Times New Roman" w:hAnsi="Times New Roman" w:eastAsia="华文中宋" w:cs="Times New Roman"/>
          <w:b/>
          <w:kern w:val="0"/>
          <w:sz w:val="52"/>
          <w:szCs w:val="52"/>
        </w:rPr>
      </w:pPr>
    </w:p>
    <w:p w14:paraId="0E160B97">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乌财建【202】78号关于下达2021年保障性安居工程第二批中央基建投资预算（2022年以前结转再安排）项目支出绩效评价报告</w:t>
      </w:r>
    </w:p>
    <w:p w14:paraId="17DDA089">
      <w:pPr>
        <w:spacing w:line="540" w:lineRule="exact"/>
        <w:jc w:val="center"/>
        <w:rPr>
          <w:rFonts w:hint="default" w:ascii="Times New Roman" w:hAnsi="Times New Roman" w:eastAsia="华文中宋" w:cs="Times New Roman"/>
          <w:b/>
          <w:kern w:val="0"/>
          <w:sz w:val="52"/>
          <w:szCs w:val="52"/>
        </w:rPr>
      </w:pPr>
    </w:p>
    <w:p w14:paraId="2DC2C9CE">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5C1BEDC7">
      <w:pPr>
        <w:spacing w:line="540" w:lineRule="exact"/>
        <w:jc w:val="center"/>
        <w:rPr>
          <w:rFonts w:hint="default" w:ascii="Times New Roman" w:hAnsi="Times New Roman" w:eastAsia="仿宋_GB2312" w:cs="Times New Roman"/>
          <w:kern w:val="0"/>
          <w:sz w:val="30"/>
          <w:szCs w:val="30"/>
        </w:rPr>
      </w:pPr>
    </w:p>
    <w:p w14:paraId="03355416">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项目名称：</w:t>
      </w:r>
      <w:bookmarkStart w:id="0" w:name="OLE_LINK1"/>
      <w:r>
        <w:rPr>
          <w:rFonts w:hint="default" w:ascii="Times New Roman" w:hAnsi="Times New Roman" w:eastAsia="仿宋_GB2312" w:cs="Times New Roman"/>
          <w:kern w:val="0"/>
          <w:sz w:val="36"/>
          <w:szCs w:val="36"/>
        </w:rPr>
        <w:t>乌财建【202】78号关于下达2021年保障性安居工程第二批中央基建投资预算</w:t>
      </w:r>
      <w:bookmarkEnd w:id="0"/>
      <w:r>
        <w:rPr>
          <w:rFonts w:hint="default" w:ascii="Times New Roman" w:hAnsi="Times New Roman" w:eastAsia="仿宋_GB2312" w:cs="Times New Roman"/>
          <w:kern w:val="0"/>
          <w:sz w:val="36"/>
          <w:szCs w:val="36"/>
        </w:rPr>
        <w:t>（2022年以前结转再安排）</w:t>
      </w:r>
    </w:p>
    <w:p w14:paraId="638C5C32">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eastAsia="zh-CN"/>
        </w:rPr>
        <w:t>乌鲁木齐市沙依巴克区建设局（交通局、水务局）</w:t>
      </w:r>
    </w:p>
    <w:p w14:paraId="427D3CAA">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主管部门（公章）：</w:t>
      </w:r>
      <w:bookmarkStart w:id="1" w:name="OLE_LINK15"/>
      <w:r>
        <w:rPr>
          <w:rFonts w:hint="eastAsia" w:eastAsia="仿宋_GB2312" w:cs="Times New Roman"/>
          <w:kern w:val="0"/>
          <w:sz w:val="36"/>
          <w:szCs w:val="36"/>
          <w:lang w:eastAsia="zh-CN"/>
        </w:rPr>
        <w:t>乌鲁木齐市沙依巴克区建设局（交通局、水务局）</w:t>
      </w:r>
    </w:p>
    <w:bookmarkEnd w:id="1"/>
    <w:p w14:paraId="247524D9">
      <w:pPr>
        <w:spacing w:line="700" w:lineRule="exact"/>
        <w:ind w:firstLine="1440" w:firstLineChars="400"/>
        <w:jc w:val="left"/>
        <w:rPr>
          <w:rFonts w:hint="eastAsia" w:ascii="Times New Roman" w:hAnsi="Times New Roman" w:eastAsia="仿宋_GB2312" w:cs="Times New Roman"/>
          <w:kern w:val="0"/>
          <w:sz w:val="36"/>
          <w:szCs w:val="36"/>
          <w:lang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eastAsia="zh-CN"/>
        </w:rPr>
        <w:t>徐嘉</w:t>
      </w:r>
    </w:p>
    <w:p w14:paraId="2A60FA2D">
      <w:pPr>
        <w:spacing w:line="700" w:lineRule="exact"/>
        <w:ind w:firstLine="1440" w:firstLineChars="400"/>
        <w:jc w:val="left"/>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1</w:t>
      </w:r>
      <w:r>
        <w:rPr>
          <w:rFonts w:hint="default" w:ascii="Times New Roman" w:hAnsi="Times New Roman" w:eastAsia="仿宋_GB2312" w:cs="Times New Roman"/>
          <w:kern w:val="0"/>
          <w:sz w:val="36"/>
          <w:szCs w:val="36"/>
        </w:rPr>
        <w:t>日</w:t>
      </w:r>
    </w:p>
    <w:p w14:paraId="79D75837">
      <w:pPr>
        <w:spacing w:line="540" w:lineRule="exact"/>
        <w:rPr>
          <w:rStyle w:val="16"/>
          <w:rFonts w:hint="default" w:ascii="Times New Roman" w:hAnsi="Times New Roman" w:eastAsia="黑体" w:cs="Times New Roman"/>
          <w:b w:val="0"/>
          <w:spacing w:val="-4"/>
          <w:sz w:val="32"/>
          <w:szCs w:val="32"/>
        </w:rPr>
        <w:sectPr>
          <w:footerReference r:id="rId3" w:type="default"/>
          <w:pgSz w:w="11906" w:h="16838"/>
          <w:pgMar w:top="2098" w:right="1531" w:bottom="1984" w:left="1531" w:header="851" w:footer="992" w:gutter="0"/>
          <w:pgNumType w:start="1"/>
          <w:cols w:space="425" w:num="1"/>
          <w:docGrid w:type="lines" w:linePitch="312" w:charSpace="0"/>
        </w:sectPr>
      </w:pPr>
    </w:p>
    <w:p w14:paraId="49A89CDF">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1822FE87">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44896739">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16FEA312">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该项目依据</w:t>
      </w:r>
      <w:r>
        <w:rPr>
          <w:rFonts w:hint="default" w:ascii="Times New Roman" w:hAnsi="Times New Roman" w:eastAsia="仿宋_GB2312" w:cs="Times New Roman"/>
          <w:sz w:val="32"/>
          <w:szCs w:val="32"/>
        </w:rPr>
        <w:t>乌财建【202】78号关于下达2021年保障性安居工程第二批中央基建投资预算</w:t>
      </w:r>
      <w:r>
        <w:rPr>
          <w:rFonts w:hint="eastAsia" w:ascii="Times New Roman" w:hAnsi="Times New Roman" w:eastAsia="仿宋_GB2312" w:cs="Times New Roman"/>
          <w:sz w:val="32"/>
          <w:szCs w:val="32"/>
          <w:lang w:eastAsia="zh-CN"/>
        </w:rPr>
        <w:t>进行设立，对扬子江片区和红庙子片区进行老旧小区改造</w:t>
      </w:r>
      <w:r>
        <w:rPr>
          <w:rFonts w:hint="eastAsia" w:eastAsia="仿宋_GB2312" w:cs="Times New Roman"/>
          <w:sz w:val="32"/>
          <w:szCs w:val="32"/>
          <w:lang w:val="en-US" w:eastAsia="zh-CN"/>
        </w:rPr>
        <w:t>,通过对老旧小区进行改造提升居民生活品质、解决“急难愁盼”问题，改善环境、完善功能；优化结构、提升形象、促进可持续发展</w:t>
      </w:r>
      <w:r>
        <w:rPr>
          <w:rFonts w:hint="default" w:ascii="Times New Roman" w:hAnsi="Times New Roman" w:eastAsia="仿宋_GB2312" w:cs="Times New Roman"/>
          <w:sz w:val="32"/>
          <w:szCs w:val="32"/>
          <w:lang w:eastAsia="zh-CN"/>
        </w:rPr>
        <w:t>。</w:t>
      </w:r>
    </w:p>
    <w:p w14:paraId="6E37D813">
      <w:pPr>
        <w:pStyle w:val="10"/>
        <w:keepNext w:val="0"/>
        <w:keepLines w:val="0"/>
        <w:pageBreakBefore w:val="0"/>
        <w:numPr>
          <w:ilvl w:val="0"/>
          <w:numId w:val="0"/>
        </w:numPr>
        <w:kinsoku/>
        <w:wordWrap w:val="0"/>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仿宋_GB2312" w:cs="Times New Roman"/>
          <w:kern w:val="2"/>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p>
    <w:p w14:paraId="5E441AF0">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项目主要内容：</w:t>
      </w:r>
      <w:r>
        <w:rPr>
          <w:rFonts w:hint="eastAsia" w:ascii="Times New Roman" w:hAnsi="Times New Roman" w:eastAsia="仿宋_GB2312" w:cs="Times New Roman"/>
          <w:sz w:val="32"/>
          <w:szCs w:val="32"/>
          <w:lang w:eastAsia="zh-CN"/>
        </w:rPr>
        <w:t>该项目主要对扬子江片区和八一红庙子片区的老旧小区进行改造，涉及改造面积30.29万平方米，</w:t>
      </w:r>
      <w:r>
        <w:rPr>
          <w:rFonts w:hint="eastAsia" w:eastAsia="仿宋_GB2312" w:cs="Times New Roman"/>
          <w:sz w:val="32"/>
          <w:szCs w:val="32"/>
          <w:lang w:eastAsia="zh-CN"/>
        </w:rPr>
        <w:t>并对涉及该项目的施工企业进行工程款支付，切实提升企业的服务水平，</w:t>
      </w:r>
      <w:r>
        <w:rPr>
          <w:rFonts w:hint="eastAsia" w:ascii="Times New Roman" w:hAnsi="Times New Roman" w:eastAsia="仿宋_GB2312" w:cs="Times New Roman"/>
          <w:sz w:val="32"/>
          <w:szCs w:val="32"/>
          <w:lang w:eastAsia="zh-CN"/>
        </w:rPr>
        <w:t>通过老旧小区改造，切实居民居住环境</w:t>
      </w:r>
      <w:r>
        <w:rPr>
          <w:rFonts w:hint="eastAsia" w:eastAsia="仿宋_GB2312" w:cs="Times New Roman"/>
          <w:sz w:val="32"/>
          <w:szCs w:val="32"/>
          <w:lang w:eastAsia="zh-CN"/>
        </w:rPr>
        <w:t>，提升居民的幸福感</w:t>
      </w:r>
      <w:r>
        <w:rPr>
          <w:rFonts w:hint="default" w:ascii="Times New Roman" w:hAnsi="Times New Roman" w:eastAsia="仿宋_GB2312" w:cs="Times New Roman"/>
          <w:sz w:val="32"/>
          <w:szCs w:val="32"/>
          <w:lang w:eastAsia="zh-CN"/>
        </w:rPr>
        <w:t>。</w:t>
      </w:r>
    </w:p>
    <w:p w14:paraId="2E14FC2D">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eastAsia="仿宋_GB2312" w:cs="Times New Roman"/>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项目实施情况：</w:t>
      </w:r>
      <w:r>
        <w:rPr>
          <w:rFonts w:hint="eastAsia" w:eastAsia="仿宋_GB2312" w:cs="Times New Roman"/>
          <w:sz w:val="32"/>
          <w:szCs w:val="32"/>
          <w:lang w:eastAsia="zh-CN"/>
        </w:rPr>
        <w:t>该项目改造两个片区，分别为扬子江片区和八一红庙子片区，完成沥青改造面积</w:t>
      </w:r>
      <w:r>
        <w:rPr>
          <w:rFonts w:hint="eastAsia" w:eastAsia="仿宋_GB2312" w:cs="Times New Roman"/>
          <w:sz w:val="32"/>
          <w:szCs w:val="32"/>
          <w:lang w:val="en-US" w:eastAsia="zh-CN"/>
        </w:rPr>
        <w:t>29.82799万平方米</w:t>
      </w:r>
      <w:r>
        <w:rPr>
          <w:rFonts w:hint="default" w:eastAsia="仿宋_GB2312" w:cs="Times New Roman"/>
          <w:sz w:val="32"/>
          <w:szCs w:val="32"/>
          <w:lang w:eastAsia="zh-CN"/>
        </w:rPr>
        <w:t>。</w:t>
      </w:r>
      <w:r>
        <w:rPr>
          <w:rFonts w:hint="eastAsia" w:eastAsia="仿宋_GB2312" w:cs="Times New Roman"/>
          <w:sz w:val="32"/>
          <w:szCs w:val="32"/>
          <w:lang w:eastAsia="zh-CN"/>
        </w:rPr>
        <w:t>切实改善老旧小区道路状况，提升基础设施水平，保障居民出行安全。</w:t>
      </w:r>
    </w:p>
    <w:p w14:paraId="3DA5F0E1">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7F03484A">
      <w:pPr>
        <w:keepNext w:val="0"/>
        <w:keepLines w:val="0"/>
        <w:pageBreakBefore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5F6C9C93">
      <w:pPr>
        <w:keepNext w:val="0"/>
        <w:keepLines w:val="0"/>
        <w:pageBreakBefore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该项目年初预算数11800万元，全年预算数10009.95万元，该项目资金已全部落实到位，资金来源为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757F216C">
      <w:pPr>
        <w:keepNext w:val="0"/>
        <w:keepLines w:val="0"/>
        <w:pageBreakBefore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1DDBFA1B">
      <w:pPr>
        <w:keepNext w:val="0"/>
        <w:keepLines w:val="0"/>
        <w:pageBreakBefore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该项目年初预算数11800万元，全年预算数10009.95万元</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全年执行数10009.95万元，预算执行率为</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扬子江片区和八一红庙子片区老旧小区改造，对项目施工单位支付资金9794.76万元，对设计、监理单位支付215.19万元</w:t>
      </w:r>
      <w:r>
        <w:rPr>
          <w:rFonts w:hint="default" w:ascii="Times New Roman" w:hAnsi="Times New Roman" w:eastAsia="仿宋_GB2312" w:cs="Times New Roman"/>
          <w:sz w:val="32"/>
          <w:szCs w:val="32"/>
          <w:highlight w:val="none"/>
          <w:lang w:val="en-US" w:eastAsia="zh-CN"/>
        </w:rPr>
        <w:t>。</w:t>
      </w:r>
    </w:p>
    <w:p w14:paraId="466EA362">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5DED4430">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总体目标</w:t>
      </w:r>
    </w:p>
    <w:p w14:paraId="32537566">
      <w:pPr>
        <w:keepNext w:val="0"/>
        <w:keepLines w:val="0"/>
        <w:pageBreakBefore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2" w:name="OLE_LINK16"/>
      <w:r>
        <w:rPr>
          <w:rFonts w:hint="eastAsia" w:ascii="Times New Roman" w:hAnsi="Times New Roman" w:eastAsia="仿宋_GB2312" w:cs="Times New Roman"/>
          <w:sz w:val="32"/>
          <w:szCs w:val="32"/>
          <w:highlight w:val="none"/>
          <w:lang w:val="en-US" w:eastAsia="zh-CN"/>
        </w:rPr>
        <w:t>主要对2021年保障性安居工程进行补贴，改造片区数2个，改造面积30.29万平方米</w:t>
      </w:r>
      <w:r>
        <w:rPr>
          <w:rFonts w:hint="eastAsia" w:eastAsia="仿宋_GB2312" w:cs="Times New Roman"/>
          <w:sz w:val="32"/>
          <w:szCs w:val="32"/>
          <w:highlight w:val="none"/>
          <w:lang w:val="en-US" w:eastAsia="zh-CN"/>
        </w:rPr>
        <w:t>，并于2024年4月和7月对8个企业进行资金支付</w:t>
      </w:r>
      <w:r>
        <w:rPr>
          <w:rFonts w:hint="eastAsia" w:ascii="Times New Roman" w:hAnsi="Times New Roman" w:eastAsia="仿宋_GB2312" w:cs="Times New Roman"/>
          <w:sz w:val="32"/>
          <w:szCs w:val="32"/>
          <w:highlight w:val="none"/>
          <w:lang w:val="en-US" w:eastAsia="zh-CN"/>
        </w:rPr>
        <w:t>。促进保障性安居工程的顺利实施，切实保障安居工程的有序推进，2021年老旧小区及棚户区改造涉及企业及改造面积都比较大，在施工过程中积极进行项目施工，切实确保老旧小区改造项目能够顺利完成，并努力改善居民的居住环境。</w:t>
      </w:r>
    </w:p>
    <w:bookmarkEnd w:id="2"/>
    <w:p w14:paraId="67857AC1">
      <w:pPr>
        <w:keepNext w:val="0"/>
        <w:keepLines w:val="0"/>
        <w:pageBreakBefore w:val="0"/>
        <w:numPr>
          <w:ilvl w:val="0"/>
          <w:numId w:val="0"/>
        </w:numPr>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eastAsia="仿宋_GB2312" w:cs="Times New Roman"/>
          <w:b/>
          <w:bCs/>
          <w:sz w:val="32"/>
          <w:szCs w:val="32"/>
          <w:lang w:val="en-US" w:eastAsia="zh-CN"/>
        </w:rPr>
        <w:t>2.</w:t>
      </w:r>
      <w:r>
        <w:rPr>
          <w:rFonts w:hint="default" w:ascii="Times New Roman" w:hAnsi="Times New Roman" w:eastAsia="仿宋_GB2312" w:cs="Times New Roman"/>
          <w:b/>
          <w:bCs/>
          <w:sz w:val="32"/>
          <w:szCs w:val="32"/>
        </w:rPr>
        <w:t>阶段性目标</w:t>
      </w:r>
    </w:p>
    <w:p w14:paraId="3793D460">
      <w:pPr>
        <w:keepNext w:val="0"/>
        <w:keepLines w:val="0"/>
        <w:pageBreakBefore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宋体" w:cs="Times New Roman"/>
          <w:sz w:val="32"/>
          <w:szCs w:val="32"/>
          <w:lang w:val="en-US" w:eastAsia="zh-CN"/>
        </w:rPr>
      </w:pPr>
      <w:r>
        <w:rPr>
          <w:rFonts w:hint="eastAsia" w:eastAsia="仿宋_GB2312" w:cs="Times New Roman"/>
          <w:sz w:val="32"/>
          <w:szCs w:val="32"/>
          <w:lang w:val="en-US" w:eastAsia="zh-CN"/>
        </w:rPr>
        <w:t>该项目已完成八一红庙子片区和扬子江片区的老旧小区改造工程，本年度主要是对该项目工程款进行支付，2024年2月、2024年4月、2024年7月对施工、设计、监理等单位进行资金支付，后续积极向财政申请资金，保障支付工作的顺利进行，确保资金及时支付到位。年末预期将对项目进行竣工审计，并对项目欠款进行及时支付。</w:t>
      </w:r>
    </w:p>
    <w:p w14:paraId="17902CF0">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13B6B777">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701EB83A">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bCs/>
          <w:highlight w:val="none"/>
          <w:lang w:val="en-US" w:eastAsia="zh-CN"/>
        </w:rPr>
        <w:t>1.绩效评价完整性</w:t>
      </w:r>
    </w:p>
    <w:p w14:paraId="6A336FF9">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02363CFC">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经济效益、社会效益等多个维度，力求全方位反映项目的绩效状况。同时，对于每个指标的评价标准和数据来源均进行了明确说明，确保评价结果的客观性和可追溯性。</w:t>
      </w:r>
    </w:p>
    <w:p w14:paraId="7BB3BB50">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0F937520">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16FA9CE">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3918D8A">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绩效评价的目的</w:t>
      </w:r>
    </w:p>
    <w:p w14:paraId="255F9B3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5D897F3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通过对项目预算执行情况及各项绩效目标达成程度的系统性分析，全面、客观地评估项目在预定周期内的实施效果，包括经济效益、社会效益等多维度指标，为项目后续的改进与优化提供科学依据。</w:t>
      </w:r>
    </w:p>
    <w:p w14:paraId="68DC7EE9">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5F139E6C">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61B7211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2DB1DC8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6C5F7B3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63C323C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C08C54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5D8A59B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43BC911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18AEBC01">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lang w:val="en-US" w:eastAsia="zh-CN"/>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highlight w:val="none"/>
        </w:rPr>
        <w:t>绩效评价的对象</w:t>
      </w:r>
    </w:p>
    <w:p w14:paraId="5DC43521">
      <w:pPr>
        <w:keepNext w:val="0"/>
        <w:keepLines w:val="0"/>
        <w:pageBreakBefore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highlight w:val="none"/>
          <w:lang w:val="en-US" w:eastAsia="zh-CN" w:bidi="ar-SA"/>
        </w:rPr>
      </w:pPr>
      <w:r>
        <w:rPr>
          <w:rFonts w:hint="default" w:ascii="Times New Roman" w:hAnsi="Times New Roman" w:eastAsia="仿宋_GB2312" w:cs="Times New Roman"/>
          <w:b w:val="0"/>
          <w:bCs w:val="0"/>
          <w:kern w:val="28"/>
          <w:sz w:val="32"/>
          <w:szCs w:val="32"/>
          <w:highlight w:val="none"/>
          <w:lang w:val="en-US" w:eastAsia="zh-CN" w:bidi="ar-SA"/>
        </w:rPr>
        <w:t>本项目预算绩效评价报告的评价对象是乌财建【202】78号关于下达2021年保障性安居工程第二批中央基建投资预算（2022年以前结转再安排）及其预算执行情况。该项目由</w:t>
      </w:r>
      <w:r>
        <w:rPr>
          <w:rFonts w:hint="eastAsia" w:ascii="Times New Roman" w:hAnsi="Times New Roman" w:eastAsia="仿宋_GB2312" w:cs="Times New Roman"/>
          <w:b w:val="0"/>
          <w:bCs w:val="0"/>
          <w:kern w:val="28"/>
          <w:sz w:val="32"/>
          <w:szCs w:val="32"/>
          <w:highlight w:val="none"/>
          <w:lang w:val="en-US" w:eastAsia="zh-CN" w:bidi="ar-SA"/>
        </w:rPr>
        <w:t>建管服务中心</w:t>
      </w:r>
      <w:r>
        <w:rPr>
          <w:rFonts w:hint="default" w:ascii="Times New Roman" w:hAnsi="Times New Roman" w:eastAsia="仿宋_GB2312" w:cs="Times New Roman"/>
          <w:b w:val="0"/>
          <w:bCs w:val="0"/>
          <w:kern w:val="28"/>
          <w:sz w:val="32"/>
          <w:szCs w:val="32"/>
          <w:highlight w:val="none"/>
          <w:lang w:val="en-US" w:eastAsia="zh-CN" w:bidi="ar-SA"/>
        </w:rPr>
        <w:t>负责实施，旨在</w:t>
      </w:r>
      <w:r>
        <w:rPr>
          <w:rFonts w:hint="eastAsia" w:ascii="Times New Roman" w:hAnsi="Times New Roman" w:eastAsia="仿宋_GB2312" w:cs="Times New Roman"/>
          <w:b w:val="0"/>
          <w:bCs w:val="0"/>
          <w:kern w:val="28"/>
          <w:sz w:val="32"/>
          <w:szCs w:val="32"/>
          <w:highlight w:val="none"/>
          <w:lang w:val="en-US" w:eastAsia="zh-CN" w:bidi="ar-SA"/>
        </w:rPr>
        <w:t>对扬子江片区和八一红庙子片区的老旧小区进行改造，涉及改造面积30.29万平方米，通过老旧小区改造，切实居民居住环境</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kern w:val="28"/>
          <w:sz w:val="32"/>
          <w:szCs w:val="32"/>
          <w:highlight w:val="none"/>
          <w:lang w:val="en-US" w:eastAsia="zh-CN" w:bidi="ar-SA"/>
        </w:rPr>
        <w:t>项目预算涵盖从</w:t>
      </w:r>
      <w:r>
        <w:rPr>
          <w:rFonts w:hint="eastAsia" w:eastAsia="仿宋_GB2312" w:cs="Times New Roman"/>
          <w:b w:val="0"/>
          <w:bCs w:val="0"/>
          <w:kern w:val="28"/>
          <w:sz w:val="32"/>
          <w:szCs w:val="32"/>
          <w:highlight w:val="none"/>
          <w:lang w:val="en-US" w:eastAsia="zh-CN" w:bidi="ar-SA"/>
        </w:rPr>
        <w:t>2024年1月1日</w:t>
      </w:r>
      <w:r>
        <w:rPr>
          <w:rFonts w:hint="default" w:ascii="Times New Roman" w:hAnsi="Times New Roman" w:eastAsia="仿宋_GB2312" w:cs="Times New Roman"/>
          <w:b w:val="0"/>
          <w:bCs w:val="0"/>
          <w:kern w:val="28"/>
          <w:sz w:val="32"/>
          <w:szCs w:val="32"/>
          <w:highlight w:val="none"/>
          <w:lang w:val="en-US" w:eastAsia="zh-CN" w:bidi="ar-SA"/>
        </w:rPr>
        <w:t>至</w:t>
      </w:r>
      <w:r>
        <w:rPr>
          <w:rFonts w:hint="eastAsia" w:eastAsia="仿宋_GB2312" w:cs="Times New Roman"/>
          <w:b w:val="0"/>
          <w:bCs w:val="0"/>
          <w:kern w:val="28"/>
          <w:sz w:val="32"/>
          <w:szCs w:val="32"/>
          <w:highlight w:val="none"/>
          <w:lang w:val="en-US" w:eastAsia="zh-CN" w:bidi="ar-SA"/>
        </w:rPr>
        <w:t>2024年12月31日</w:t>
      </w:r>
      <w:r>
        <w:rPr>
          <w:rFonts w:hint="default" w:ascii="Times New Roman" w:hAnsi="Times New Roman" w:eastAsia="仿宋_GB2312" w:cs="Times New Roman"/>
          <w:b w:val="0"/>
          <w:bCs w:val="0"/>
          <w:kern w:val="28"/>
          <w:sz w:val="32"/>
          <w:szCs w:val="32"/>
          <w:highlight w:val="none"/>
          <w:lang w:val="en-US" w:eastAsia="zh-CN" w:bidi="ar-SA"/>
        </w:rPr>
        <w:t>的全部资金投入与支出，涉及资金总额为10009.95万元。</w:t>
      </w:r>
    </w:p>
    <w:p w14:paraId="5C2753F2">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lang w:val="en-US" w:eastAsia="zh-CN"/>
        </w:rPr>
        <w:t>4.</w:t>
      </w:r>
      <w:r>
        <w:rPr>
          <w:rFonts w:hint="default" w:ascii="Times New Roman" w:hAnsi="Times New Roman" w:eastAsia="仿宋_GB2312" w:cs="Times New Roman"/>
          <w:b/>
          <w:bCs/>
          <w:highlight w:val="none"/>
        </w:rPr>
        <w:t>绩效评价的范围</w:t>
      </w:r>
    </w:p>
    <w:p w14:paraId="19FD6032">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7DBD7A78">
      <w:pPr>
        <w:pStyle w:val="10"/>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color w:val="auto"/>
          <w:highlight w:val="none"/>
        </w:rPr>
      </w:pPr>
      <w:r>
        <w:rPr>
          <w:rFonts w:hint="eastAsia" w:ascii="Times New Roman" w:hAnsi="Times New Roman" w:eastAsia="仿宋_GB2312" w:cs="Times New Roman"/>
          <w:b w:val="0"/>
          <w:bCs w:val="0"/>
          <w:color w:val="auto"/>
          <w:highlight w:val="none"/>
          <w:lang w:eastAsia="zh-CN"/>
        </w:rPr>
        <w:t>（</w:t>
      </w:r>
      <w:r>
        <w:rPr>
          <w:rFonts w:hint="eastAsia" w:ascii="Times New Roman" w:hAnsi="Times New Roman" w:eastAsia="仿宋_GB2312" w:cs="Times New Roman"/>
          <w:b w:val="0"/>
          <w:bCs w:val="0"/>
          <w:color w:val="auto"/>
          <w:highlight w:val="none"/>
          <w:lang w:val="en-US" w:eastAsia="zh-CN"/>
        </w:rPr>
        <w:t>1</w:t>
      </w:r>
      <w:r>
        <w:rPr>
          <w:rFonts w:hint="eastAsia"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项目预算编制与执行：全面审视项目预算的编制依据、合理性、科学性以及实际执行情况，包括预算调整的原因和效果。</w:t>
      </w:r>
    </w:p>
    <w:p w14:paraId="0F511C58">
      <w:pPr>
        <w:pStyle w:val="10"/>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color w:val="auto"/>
          <w:highlight w:val="none"/>
          <w:lang w:eastAsia="zh-CN"/>
        </w:rPr>
      </w:pPr>
      <w:r>
        <w:rPr>
          <w:rFonts w:hint="eastAsia" w:ascii="Times New Roman" w:hAnsi="Times New Roman" w:eastAsia="仿宋_GB2312" w:cs="Times New Roman"/>
          <w:b w:val="0"/>
          <w:bCs w:val="0"/>
          <w:color w:val="auto"/>
          <w:highlight w:val="none"/>
          <w:lang w:eastAsia="zh-CN"/>
        </w:rPr>
        <w:t>（</w:t>
      </w:r>
      <w:r>
        <w:rPr>
          <w:rFonts w:hint="eastAsia" w:ascii="Times New Roman" w:hAnsi="Times New Roman" w:eastAsia="仿宋_GB2312" w:cs="Times New Roman"/>
          <w:b w:val="0"/>
          <w:bCs w:val="0"/>
          <w:color w:val="auto"/>
          <w:highlight w:val="none"/>
          <w:lang w:val="en-US" w:eastAsia="zh-CN"/>
        </w:rPr>
        <w:t>2</w:t>
      </w:r>
      <w:r>
        <w:rPr>
          <w:rFonts w:hint="eastAsia"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资金管理：深入分析项目资金的分配、使用和监管情况，确保资金使用的合规性、高效性和透明度。</w:t>
      </w:r>
    </w:p>
    <w:p w14:paraId="305C64FC">
      <w:pPr>
        <w:pStyle w:val="10"/>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color w:val="auto"/>
          <w:highlight w:val="none"/>
          <w:lang w:eastAsia="zh-CN"/>
        </w:rPr>
      </w:pPr>
      <w:r>
        <w:rPr>
          <w:rFonts w:hint="eastAsia" w:ascii="Times New Roman" w:hAnsi="Times New Roman" w:eastAsia="仿宋_GB2312" w:cs="Times New Roman"/>
          <w:b w:val="0"/>
          <w:bCs w:val="0"/>
          <w:color w:val="auto"/>
          <w:highlight w:val="none"/>
          <w:lang w:eastAsia="zh-CN"/>
        </w:rPr>
        <w:t>（</w:t>
      </w:r>
      <w:r>
        <w:rPr>
          <w:rFonts w:hint="eastAsia" w:ascii="Times New Roman" w:hAnsi="Times New Roman" w:eastAsia="仿宋_GB2312" w:cs="Times New Roman"/>
          <w:b w:val="0"/>
          <w:bCs w:val="0"/>
          <w:color w:val="auto"/>
          <w:highlight w:val="none"/>
          <w:lang w:val="en-US" w:eastAsia="zh-CN"/>
        </w:rPr>
        <w:t>3</w:t>
      </w:r>
      <w:r>
        <w:rPr>
          <w:rFonts w:hint="eastAsia"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项目实施进度与产出：评估项目是否按照既定计划顺利推进，各项任务是否按时完成，以及项目产出的数量、质量和时效性是否符合预期。</w:t>
      </w:r>
    </w:p>
    <w:p w14:paraId="5854EB7B">
      <w:pPr>
        <w:pStyle w:val="10"/>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highlight w:val="none"/>
          <w:lang w:eastAsia="zh-CN"/>
        </w:rPr>
      </w:pPr>
      <w:r>
        <w:rPr>
          <w:rFonts w:hint="eastAsia" w:ascii="Times New Roman" w:hAnsi="Times New Roman" w:eastAsia="仿宋_GB2312" w:cs="Times New Roman"/>
          <w:b w:val="0"/>
          <w:bCs w:val="0"/>
          <w:color w:val="auto"/>
          <w:highlight w:val="none"/>
          <w:lang w:eastAsia="zh-CN"/>
        </w:rPr>
        <w:t>（</w:t>
      </w:r>
      <w:r>
        <w:rPr>
          <w:rFonts w:hint="eastAsia" w:ascii="Times New Roman" w:hAnsi="Times New Roman" w:eastAsia="仿宋_GB2312" w:cs="Times New Roman"/>
          <w:b w:val="0"/>
          <w:bCs w:val="0"/>
          <w:color w:val="auto"/>
          <w:highlight w:val="none"/>
          <w:lang w:val="en-US" w:eastAsia="zh-CN"/>
        </w:rPr>
        <w:t>4</w:t>
      </w:r>
      <w:r>
        <w:rPr>
          <w:rFonts w:hint="eastAsia"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社会影响：考察项目对社会经济等方面的综合影响。</w:t>
      </w:r>
    </w:p>
    <w:p w14:paraId="6A00E3D7">
      <w:pPr>
        <w:keepNext w:val="0"/>
        <w:keepLines w:val="0"/>
        <w:pageBreakBefore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2C8A17A0">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rPr>
      </w:pPr>
      <w:r>
        <w:rPr>
          <w:rFonts w:hint="default" w:ascii="Times New Roman" w:hAnsi="Times New Roman" w:eastAsia="仿宋_GB2312" w:cs="Times New Roman"/>
          <w:b/>
          <w:bCs/>
        </w:rPr>
        <w:t>1</w:t>
      </w:r>
      <w:r>
        <w:rPr>
          <w:rFonts w:hint="default" w:ascii="Times New Roman" w:hAnsi="Times New Roman" w:eastAsia="仿宋_GB2312" w:cs="Times New Roman"/>
          <w:b/>
          <w:bCs/>
          <w:lang w:val="en-US" w:eastAsia="zh-CN"/>
        </w:rPr>
        <w:t>.</w:t>
      </w:r>
      <w:r>
        <w:rPr>
          <w:rFonts w:hint="default" w:ascii="Times New Roman" w:hAnsi="Times New Roman" w:eastAsia="仿宋_GB2312" w:cs="Times New Roman"/>
          <w:b/>
          <w:bCs/>
        </w:rPr>
        <w:t>绩效评价原则</w:t>
      </w:r>
    </w:p>
    <w:p w14:paraId="7F47915C">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本次项目绩效评价遵循以下基本原则：</w:t>
      </w:r>
    </w:p>
    <w:p w14:paraId="1BE327AD">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4707549F">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（2）统筹兼顾。单位自评、部门评价和财政评价应职责明确，各有侧重，相互衔接。单位自评应由项目单位自主实施，即“谁支出、谁自评”。部门评价和财政评价应在单位自评的基础上开展。</w:t>
      </w:r>
    </w:p>
    <w:p w14:paraId="015F8501">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（3）激励约束。绩效评价结果应与预算安排、政策调整、改进管理实质性挂钩，体现奖优罚劣和激励相容导向，有效要安排、低效要压减、无效要问责。</w:t>
      </w:r>
    </w:p>
    <w:p w14:paraId="2A7AD57A">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（4）公开透明。绩效评价结果应依法依规公开，并自觉接受社会监督。</w:t>
      </w:r>
    </w:p>
    <w:p w14:paraId="485413A1">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rPr>
      </w:pPr>
      <w:r>
        <w:rPr>
          <w:rFonts w:hint="default" w:ascii="Times New Roman" w:hAnsi="Times New Roman" w:eastAsia="仿宋_GB2312" w:cs="Times New Roman"/>
          <w:b/>
          <w:bCs/>
        </w:rPr>
        <w:t>2</w:t>
      </w:r>
      <w:r>
        <w:rPr>
          <w:rFonts w:hint="default" w:ascii="Times New Roman" w:hAnsi="Times New Roman" w:eastAsia="仿宋_GB2312" w:cs="Times New Roman"/>
          <w:b/>
          <w:bCs/>
          <w:lang w:val="en-US" w:eastAsia="zh-CN"/>
        </w:rPr>
        <w:t>.</w:t>
      </w:r>
      <w:r>
        <w:rPr>
          <w:rFonts w:hint="default" w:ascii="Times New Roman" w:hAnsi="Times New Roman" w:eastAsia="仿宋_GB2312" w:cs="Times New Roman"/>
          <w:b/>
          <w:bCs/>
        </w:rPr>
        <w:t>评价指标体系</w:t>
      </w:r>
    </w:p>
    <w:p w14:paraId="0F5127BC">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绩效评价框架是开展绩效评价的核心。绩效评价框架包括评价准则、关键评价问题、评价指标、数据来源、数据收集方法等。指标体系建立过程如下：</w:t>
      </w:r>
    </w:p>
    <w:p w14:paraId="0E8BB771">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（1）确定评价指标</w:t>
      </w:r>
    </w:p>
    <w:p w14:paraId="4344C480">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采用层次分析法，建立评价指标体系。绩效评价将指标分为项目决策指标、项目过程指标、项目产出指标、项目效益指标四个维度，最终形成一个由多个相互联系的指标组成的多层次指标体系。</w:t>
      </w:r>
    </w:p>
    <w:p w14:paraId="3B51AB4A">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（2）确定权重</w:t>
      </w:r>
    </w:p>
    <w:p w14:paraId="12CC04E8">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确定各个指标相对于项目总体绩效的权重分值。在绩效评价指标体系中，项目决策权重为20分，项目过程权重为20分，项目产出权重为40分，项目效益权重为20分。</w:t>
      </w:r>
    </w:p>
    <w:p w14:paraId="20870E69">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（3）确定指标标准值</w:t>
      </w:r>
    </w:p>
    <w:p w14:paraId="15925E00">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指标标准值是绩效评价指标的尺度，既要反映同类项目的先进水平，又要符合项目的实际绩效水平。具体采用计划标准等确定此次绩效评价指标标准值。</w:t>
      </w:r>
    </w:p>
    <w:p w14:paraId="0BA6B075">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绩效评价总分值100分，根据综合评分结果，90（含）-100分为优、80（含）-90分为良、60（含）-80分为中、60分以下为差。</w:t>
      </w:r>
    </w:p>
    <w:p w14:paraId="18D668DA">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具体评价指标体系详情见附件1</w:t>
      </w:r>
    </w:p>
    <w:p w14:paraId="76942F8D">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rPr>
      </w:pPr>
      <w:r>
        <w:rPr>
          <w:rFonts w:hint="default" w:ascii="Times New Roman" w:hAnsi="Times New Roman" w:eastAsia="仿宋_GB2312" w:cs="Times New Roman"/>
          <w:b/>
          <w:bCs/>
        </w:rPr>
        <w:t>3</w:t>
      </w:r>
      <w:r>
        <w:rPr>
          <w:rFonts w:hint="default" w:ascii="Times New Roman" w:hAnsi="Times New Roman" w:eastAsia="仿宋_GB2312" w:cs="Times New Roman"/>
          <w:b/>
          <w:bCs/>
          <w:lang w:val="en-US" w:eastAsia="zh-CN"/>
        </w:rPr>
        <w:t>.</w:t>
      </w:r>
      <w:r>
        <w:rPr>
          <w:rFonts w:hint="default" w:ascii="Times New Roman" w:hAnsi="Times New Roman" w:eastAsia="仿宋_GB2312" w:cs="Times New Roman"/>
          <w:b/>
          <w:bCs/>
        </w:rPr>
        <w:t>绩效评价方法</w:t>
      </w:r>
    </w:p>
    <w:p w14:paraId="477116DD">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绩效评价从项目决策、项目过程、项目产出、项目效益四个维度进行评价。评价对象为项目目标实施情况，评价核心为资金的支出完成情况和项目的产出效益。</w:t>
      </w:r>
    </w:p>
    <w:p w14:paraId="7981A8D2">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本次评价指标中，既有定性指标又有定量指标，各类指标因考核内容不同和客观标准不同存在较大差异，因此核定具体指标时采用了不同方法，具体评价方法如下：</w:t>
      </w:r>
    </w:p>
    <w:p w14:paraId="59B6DC43">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（一）成本效益分析法。是指将投入与产出、效益进行关联性分析的方法</w:t>
      </w:r>
      <w:r>
        <w:rPr>
          <w:rFonts w:hint="eastAsia" w:ascii="Times New Roman" w:hAnsi="Times New Roman" w:eastAsia="仿宋_GB2312" w:cs="Times New Roman"/>
          <w:b w:val="0"/>
          <w:bCs w:val="0"/>
          <w:lang w:eastAsia="zh-CN"/>
        </w:rPr>
        <w:t>。采用该方法可以对项目的整体情况进行把握，并对项目的投入进行综合分析，确保项目能够及时推进；对产出成果进行分析评价，及时掌握项目计划指标与实际完成指标的差异，及时对项目指标进行调整，保障项目能够按照计划进行</w:t>
      </w:r>
      <w:r>
        <w:rPr>
          <w:rFonts w:hint="default" w:ascii="Times New Roman" w:hAnsi="Times New Roman" w:eastAsia="仿宋_GB2312" w:cs="Times New Roman"/>
          <w:b w:val="0"/>
          <w:bCs w:val="0"/>
        </w:rPr>
        <w:t>。</w:t>
      </w:r>
    </w:p>
    <w:p w14:paraId="6B3C928D">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bCs/>
        </w:rPr>
      </w:pPr>
      <w:r>
        <w:rPr>
          <w:rFonts w:hint="default" w:ascii="Times New Roman" w:hAnsi="Times New Roman" w:eastAsia="仿宋_GB2312" w:cs="Times New Roman"/>
          <w:b/>
          <w:bCs/>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rPr>
        <w:t>评价标准</w:t>
      </w:r>
    </w:p>
    <w:p w14:paraId="091F090B">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lang w:eastAsia="zh-CN"/>
        </w:rPr>
        <w:t>计划、行业、历史等</w:t>
      </w:r>
      <w:r>
        <w:rPr>
          <w:rFonts w:hint="default" w:ascii="Times New Roman" w:hAnsi="Times New Roman" w:eastAsia="仿宋_GB2312" w:cs="Times New Roman"/>
          <w:b w:val="0"/>
          <w:bCs w:val="0"/>
        </w:rPr>
        <w:t>标准。</w:t>
      </w:r>
    </w:p>
    <w:p w14:paraId="7E4EE191">
      <w:pPr>
        <w:pStyle w:val="10"/>
        <w:keepNext w:val="0"/>
        <w:keepLines w:val="0"/>
        <w:pageBreakBefore w:val="0"/>
        <w:numPr>
          <w:ilvl w:val="0"/>
          <w:numId w:val="0"/>
        </w:numPr>
        <w:kinsoku/>
        <w:wordWrap w:val="0"/>
        <w:overflowPunct/>
        <w:topLinePunct/>
        <w:autoSpaceDE/>
        <w:autoSpaceDN/>
        <w:bidi w:val="0"/>
        <w:adjustRightInd/>
        <w:snapToGrid/>
        <w:spacing w:before="0" w:after="0" w:line="560" w:lineRule="exact"/>
        <w:ind w:firstLine="711" w:firstLineChars="200"/>
        <w:jc w:val="both"/>
        <w:textAlignment w:val="auto"/>
        <w:rPr>
          <w:rFonts w:hint="default" w:ascii="Times New Roman" w:hAnsi="Times New Roman" w:eastAsia="楷体" w:cs="Times New Roman"/>
          <w:color w:val="000000"/>
          <w:spacing w:val="17"/>
        </w:rPr>
      </w:pPr>
      <w:r>
        <w:rPr>
          <w:rFonts w:hint="eastAsia" w:ascii="Times New Roman" w:hAnsi="Times New Roman" w:eastAsia="楷体" w:cs="Times New Roman"/>
          <w:color w:val="000000"/>
          <w:spacing w:val="17"/>
          <w:lang w:eastAsia="zh-CN"/>
        </w:rPr>
        <w:t>（</w:t>
      </w:r>
      <w:r>
        <w:rPr>
          <w:rFonts w:hint="eastAsia" w:ascii="Times New Roman" w:hAnsi="Times New Roman" w:eastAsia="楷体" w:cs="Times New Roman"/>
          <w:color w:val="000000"/>
          <w:spacing w:val="17"/>
          <w:lang w:val="en-US" w:eastAsia="zh-CN"/>
        </w:rPr>
        <w:t>三</w:t>
      </w:r>
      <w:r>
        <w:rPr>
          <w:rFonts w:hint="eastAsia" w:ascii="Times New Roman" w:hAnsi="Times New Roman" w:eastAsia="楷体" w:cs="Times New Roman"/>
          <w:color w:val="000000"/>
          <w:spacing w:val="17"/>
          <w:lang w:eastAsia="zh-CN"/>
        </w:rPr>
        <w:t>）</w:t>
      </w:r>
      <w:r>
        <w:rPr>
          <w:rFonts w:hint="default" w:ascii="Times New Roman" w:hAnsi="Times New Roman" w:eastAsia="楷体" w:cs="Times New Roman"/>
          <w:color w:val="000000"/>
          <w:spacing w:val="17"/>
        </w:rPr>
        <w:t>绩效评价工作过程</w:t>
      </w:r>
    </w:p>
    <w:p w14:paraId="6FDFDFE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前期准备与规划</w:t>
      </w:r>
    </w:p>
    <w:p w14:paraId="347A96C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w:t>
      </w:r>
      <w:r>
        <w:rPr>
          <w:rFonts w:hint="eastAsia" w:eastAsia="仿宋_GB2312" w:cs="Times New Roman"/>
          <w:sz w:val="32"/>
          <w:szCs w:val="32"/>
          <w:highlight w:val="none"/>
          <w:lang w:eastAsia="zh-CN"/>
        </w:rPr>
        <w:t>业务科室人员、财务人员</w:t>
      </w:r>
      <w:r>
        <w:rPr>
          <w:rFonts w:hint="default" w:ascii="Times New Roman" w:hAnsi="Times New Roman" w:eastAsia="仿宋_GB2312" w:cs="Times New Roman"/>
          <w:sz w:val="32"/>
          <w:szCs w:val="32"/>
          <w:highlight w:val="none"/>
        </w:rPr>
        <w:t>组成，确保从多角度、全方位对项目绩效进行评价。同时，明确了评价工作的目标、范围、重点及时间安排，制定了详细的工作计划，为评价工作的顺利开展奠定了坚实基础。</w:t>
      </w:r>
    </w:p>
    <w:p w14:paraId="28FFCEF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7362CCB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4945C25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6DDFB7F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7BB38F5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20BA986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80FCDF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108A0BB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10F1F179">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0E6F81D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green"/>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15284B98">
      <w:pPr>
        <w:keepNext w:val="0"/>
        <w:keepLines w:val="0"/>
        <w:pageBreakBefore w:val="0"/>
        <w:numPr>
          <w:ilvl w:val="0"/>
          <w:numId w:val="0"/>
        </w:numPr>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三、</w:t>
      </w:r>
      <w:r>
        <w:rPr>
          <w:rFonts w:hint="default" w:ascii="Times New Roman" w:hAnsi="Times New Roman" w:eastAsia="黑体" w:cs="Times New Roman"/>
          <w:sz w:val="32"/>
          <w:szCs w:val="32"/>
        </w:rPr>
        <w:t>综合评价情况及评价结论（附相关评分表）</w:t>
      </w:r>
    </w:p>
    <w:p w14:paraId="34819DF2">
      <w:pPr>
        <w:pStyle w:val="10"/>
        <w:keepNext w:val="0"/>
        <w:keepLines w:val="0"/>
        <w:pageBreakBefore w:val="0"/>
        <w:widowControl/>
        <w:kinsoku/>
        <w:wordWrap w:val="0"/>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58D29624">
      <w:pPr>
        <w:pStyle w:val="9"/>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bookmarkStart w:id="3" w:name="OLE_LINK3"/>
      <w:r>
        <w:rPr>
          <w:rFonts w:hint="default" w:ascii="Times New Roman" w:hAnsi="Times New Roman" w:eastAsia="仿宋_GB2312" w:cs="Times New Roman"/>
          <w:sz w:val="32"/>
          <w:szCs w:val="32"/>
          <w:highlight w:val="none"/>
        </w:rPr>
        <w:t>，乌财建【202】78号关于下达2021年保障性安居工程第二批中央基建投资预算（2022年以前结转再安排）</w:t>
      </w:r>
      <w:bookmarkEnd w:id="3"/>
      <w:r>
        <w:rPr>
          <w:rFonts w:hint="default" w:ascii="Times New Roman" w:hAnsi="Times New Roman" w:eastAsia="仿宋_GB2312" w:cs="Times New Roman"/>
          <w:sz w:val="32"/>
          <w:szCs w:val="32"/>
          <w:highlight w:val="none"/>
        </w:rPr>
        <w:t>在</w:t>
      </w:r>
      <w:r>
        <w:rPr>
          <w:rFonts w:hint="eastAsia" w:eastAsia="仿宋_GB2312" w:cs="Times New Roman"/>
          <w:sz w:val="32"/>
          <w:szCs w:val="32"/>
          <w:highlight w:val="none"/>
          <w:lang w:eastAsia="zh-CN"/>
        </w:rPr>
        <w:t>改造老旧小区片数</w:t>
      </w:r>
      <w:r>
        <w:rPr>
          <w:rFonts w:hint="default" w:eastAsia="仿宋_GB2312" w:cs="Times New Roman"/>
          <w:sz w:val="32"/>
          <w:szCs w:val="32"/>
          <w:highlight w:val="none"/>
          <w:lang w:eastAsia="zh-CN"/>
        </w:rPr>
        <w:t>、</w:t>
      </w:r>
      <w:r>
        <w:rPr>
          <w:rFonts w:hint="eastAsia" w:eastAsia="仿宋_GB2312" w:cs="Times New Roman"/>
          <w:sz w:val="32"/>
          <w:szCs w:val="32"/>
          <w:highlight w:val="none"/>
          <w:lang w:eastAsia="zh-CN"/>
        </w:rPr>
        <w:t>改造面积</w:t>
      </w:r>
      <w:r>
        <w:rPr>
          <w:rFonts w:hint="default" w:eastAsia="仿宋_GB2312" w:cs="Times New Roman"/>
          <w:sz w:val="32"/>
          <w:szCs w:val="32"/>
          <w:highlight w:val="none"/>
          <w:lang w:eastAsia="zh-CN"/>
        </w:rPr>
        <w:t>等方面表现出色，达到了预期的标准与要求。同时，项目也在</w:t>
      </w:r>
      <w:r>
        <w:rPr>
          <w:rFonts w:hint="eastAsia" w:ascii="Times New Roman" w:hAnsi="Times New Roman" w:eastAsia="仿宋_GB2312" w:cs="Times New Roman"/>
          <w:sz w:val="32"/>
          <w:szCs w:val="32"/>
          <w:highlight w:val="none"/>
          <w:lang w:eastAsia="zh-CN"/>
        </w:rPr>
        <w:t>老旧小区改造</w:t>
      </w:r>
      <w:r>
        <w:rPr>
          <w:rFonts w:hint="default" w:ascii="Times New Roman" w:hAnsi="Times New Roman" w:eastAsia="仿宋_GB2312" w:cs="Times New Roman"/>
          <w:sz w:val="32"/>
          <w:szCs w:val="32"/>
          <w:highlight w:val="none"/>
        </w:rPr>
        <w:t>取得了显著的成效，如</w:t>
      </w:r>
      <w:r>
        <w:rPr>
          <w:rFonts w:hint="eastAsia" w:ascii="Times New Roman" w:hAnsi="Times New Roman" w:eastAsia="仿宋_GB2312" w:cs="Times New Roman"/>
          <w:sz w:val="32"/>
          <w:szCs w:val="32"/>
          <w:highlight w:val="none"/>
          <w:lang w:eastAsia="zh-CN"/>
        </w:rPr>
        <w:t>改造片区数</w:t>
      </w:r>
      <w:r>
        <w:rPr>
          <w:rFonts w:hint="eastAsia" w:ascii="Times New Roman" w:hAnsi="Times New Roman" w:eastAsia="仿宋_GB2312" w:cs="Times New Roman"/>
          <w:sz w:val="32"/>
          <w:szCs w:val="32"/>
          <w:highlight w:val="none"/>
          <w:lang w:val="en-US" w:eastAsia="zh-CN"/>
        </w:rPr>
        <w:t>2个</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改造面积</w:t>
      </w:r>
      <w:r>
        <w:rPr>
          <w:rFonts w:hint="eastAsia" w:ascii="Times New Roman" w:hAnsi="Times New Roman" w:eastAsia="仿宋_GB2312" w:cs="Times New Roman"/>
          <w:sz w:val="32"/>
          <w:szCs w:val="32"/>
          <w:highlight w:val="none"/>
          <w:lang w:val="en-US" w:eastAsia="zh-CN"/>
        </w:rPr>
        <w:t>30.29万平方米</w:t>
      </w:r>
      <w:r>
        <w:rPr>
          <w:rFonts w:hint="default" w:ascii="Times New Roman" w:hAnsi="Times New Roman" w:eastAsia="仿宋_GB2312" w:cs="Times New Roman"/>
          <w:sz w:val="32"/>
          <w:szCs w:val="32"/>
          <w:highlight w:val="none"/>
        </w:rPr>
        <w:t>等。</w:t>
      </w:r>
    </w:p>
    <w:p w14:paraId="11ED2D33">
      <w:pPr>
        <w:pStyle w:val="9"/>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eastAsia="zh-CN"/>
        </w:rPr>
        <w:t>，</w:t>
      </w:r>
      <w:bookmarkStart w:id="4" w:name="OLE_LINK5"/>
      <w:r>
        <w:rPr>
          <w:rFonts w:hint="default" w:ascii="Times New Roman" w:hAnsi="Times New Roman" w:eastAsia="仿宋_GB2312" w:cs="Times New Roman"/>
          <w:sz w:val="32"/>
          <w:szCs w:val="32"/>
          <w:highlight w:val="none"/>
        </w:rPr>
        <w:t>乌财建【202】78号关于下达2021年保障性安居工程第二批中央基建投资预算</w:t>
      </w:r>
      <w:bookmarkEnd w:id="4"/>
      <w:r>
        <w:rPr>
          <w:rFonts w:hint="default" w:ascii="Times New Roman" w:hAnsi="Times New Roman" w:eastAsia="仿宋_GB2312" w:cs="Times New Roman"/>
          <w:sz w:val="32"/>
          <w:szCs w:val="32"/>
          <w:highlight w:val="none"/>
        </w:rPr>
        <w:t>（2022年以前结转再安排）通过有效的规划、组织与协调，项目得以顺利实施，并在预算与时间上保持了良好的控制。</w:t>
      </w:r>
    </w:p>
    <w:p w14:paraId="76A224D8">
      <w:pPr>
        <w:pStyle w:val="9"/>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从项目效益的角度来看，本项目不仅实现了预期的社会效益、</w:t>
      </w:r>
      <w:r>
        <w:rPr>
          <w:rFonts w:hint="eastAsia" w:ascii="Times New Roman" w:hAnsi="Times New Roman" w:eastAsia="仿宋_GB2312" w:cs="Times New Roman"/>
          <w:sz w:val="32"/>
          <w:szCs w:val="32"/>
          <w:highlight w:val="none"/>
          <w:lang w:val="en-US" w:eastAsia="zh-CN"/>
        </w:rPr>
        <w:t>生态</w:t>
      </w:r>
      <w:r>
        <w:rPr>
          <w:rFonts w:hint="default" w:ascii="Times New Roman" w:hAnsi="Times New Roman" w:eastAsia="仿宋_GB2312" w:cs="Times New Roman"/>
          <w:sz w:val="32"/>
          <w:szCs w:val="32"/>
          <w:highlight w:val="none"/>
        </w:rPr>
        <w:t>效益</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经济效益</w:t>
      </w:r>
      <w:r>
        <w:rPr>
          <w:rFonts w:hint="default" w:ascii="Times New Roman" w:hAnsi="Times New Roman" w:eastAsia="仿宋_GB2312" w:cs="Times New Roman"/>
          <w:sz w:val="32"/>
          <w:szCs w:val="32"/>
          <w:highlight w:val="none"/>
        </w:rPr>
        <w:t>等方面产生了积极的影响。具体而言，</w:t>
      </w:r>
      <w:r>
        <w:rPr>
          <w:rFonts w:hint="eastAsia" w:eastAsia="仿宋_GB2312" w:cs="Times New Roman"/>
          <w:sz w:val="32"/>
          <w:szCs w:val="32"/>
          <w:highlight w:val="none"/>
          <w:lang w:eastAsia="zh-CN"/>
        </w:rPr>
        <w:t>提升老旧小区安全性、改善居民居住环境</w:t>
      </w:r>
      <w:r>
        <w:rPr>
          <w:rFonts w:hint="default" w:ascii="Times New Roman" w:hAnsi="Times New Roman" w:eastAsia="仿宋_GB2312" w:cs="Times New Roman"/>
          <w:sz w:val="32"/>
          <w:szCs w:val="32"/>
          <w:highlight w:val="none"/>
        </w:rPr>
        <w:t>等方面的提升，为项目的利益相关者带来了实实在在的利益。</w:t>
      </w:r>
    </w:p>
    <w:p w14:paraId="37ABF2E5">
      <w:pPr>
        <w:pStyle w:val="9"/>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综上所述</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乌财建【202】78号关于下达2021年保障性安居工程第二批中央基建投资预算（2022年以前结转再安排）在绩效评价中表现出色，达到了项目的预期目标，并在多个方面取得了显著的成效。</w:t>
      </w:r>
    </w:p>
    <w:p w14:paraId="261B5140">
      <w:pPr>
        <w:pStyle w:val="10"/>
        <w:keepNext w:val="0"/>
        <w:keepLines w:val="0"/>
        <w:pageBreakBefore w:val="0"/>
        <w:widowControl/>
        <w:kinsoku/>
        <w:wordWrap w:val="0"/>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7DE23B99">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cs="Times New Roman"/>
          <w:b w:val="0"/>
          <w:bCs w:val="0"/>
          <w:lang w:val="en-US" w:eastAsia="zh-CN"/>
        </w:rPr>
        <w:t>99.93</w:t>
      </w:r>
      <w:r>
        <w:rPr>
          <w:rFonts w:hint="default" w:ascii="Times New Roman" w:hAnsi="Times New Roman" w:eastAsia="仿宋_GB2312" w:cs="Times New Roman"/>
          <w:b w:val="0"/>
          <w:bCs w:val="0"/>
        </w:rPr>
        <w:t>分，属于“优</w:t>
      </w:r>
      <w:r>
        <w:rPr>
          <w:rFonts w:hint="eastAsia" w:ascii="Times New Roman" w:hAnsi="Times New Roman" w:eastAsia="仿宋_GB2312" w:cs="Times New Roman"/>
          <w:b w:val="0"/>
          <w:bCs w:val="0"/>
          <w:lang w:eastAsia="zh-CN"/>
        </w:rPr>
        <w:t>”</w:t>
      </w:r>
      <w:r>
        <w:rPr>
          <w:rFonts w:hint="default" w:ascii="Times New Roman" w:hAnsi="Times New Roman" w:eastAsia="仿宋_GB2312" w:cs="Times New Roman"/>
          <w:b w:val="0"/>
          <w:bCs w:val="0"/>
        </w:rPr>
        <w:t>。其中，项目决策类指标权重为20分，得分为</w:t>
      </w:r>
      <w:r>
        <w:rPr>
          <w:rFonts w:hint="eastAsia" w:ascii="Times New Roman" w:hAnsi="Times New Roman" w:eastAsia="仿宋_GB2312" w:cs="Times New Roman"/>
          <w:b w:val="0"/>
          <w:bCs w:val="0"/>
          <w:lang w:val="en-US" w:eastAsia="zh-CN"/>
        </w:rPr>
        <w:t>20</w:t>
      </w:r>
      <w:r>
        <w:rPr>
          <w:rFonts w:hint="default"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%。项目过程类指标权重为20分，得分为</w:t>
      </w:r>
      <w:r>
        <w:rPr>
          <w:rFonts w:hint="eastAsia" w:ascii="Times New Roman" w:hAnsi="Times New Roman" w:eastAsia="仿宋_GB2312" w:cs="Times New Roman"/>
          <w:b w:val="0"/>
          <w:bCs w:val="0"/>
          <w:lang w:val="en-US" w:eastAsia="zh-CN"/>
        </w:rPr>
        <w:t>20</w:t>
      </w:r>
      <w:r>
        <w:rPr>
          <w:rFonts w:hint="default"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%。项目产出类指标权重为40分，得分为</w:t>
      </w:r>
      <w:r>
        <w:rPr>
          <w:rFonts w:hint="eastAsia" w:ascii="Times New Roman" w:hAnsi="Times New Roman" w:eastAsia="仿宋_GB2312" w:cs="Times New Roman"/>
          <w:b w:val="0"/>
          <w:bCs w:val="0"/>
          <w:lang w:val="en-US" w:eastAsia="zh-CN"/>
        </w:rPr>
        <w:t>39.93</w:t>
      </w:r>
      <w:r>
        <w:rPr>
          <w:rFonts w:hint="default"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99.83</w:t>
      </w:r>
      <w:r>
        <w:rPr>
          <w:rFonts w:hint="default" w:ascii="Times New Roman" w:hAnsi="Times New Roman" w:eastAsia="仿宋_GB2312" w:cs="Times New Roman"/>
          <w:b w:val="0"/>
          <w:bCs w:val="0"/>
        </w:rPr>
        <w:t>%。项目效益类指标权重为20分，得分为</w:t>
      </w:r>
      <w:r>
        <w:rPr>
          <w:rFonts w:hint="eastAsia" w:ascii="Times New Roman" w:hAnsi="Times New Roman" w:eastAsia="仿宋_GB2312" w:cs="Times New Roman"/>
          <w:b w:val="0"/>
          <w:bCs w:val="0"/>
          <w:lang w:val="en-US" w:eastAsia="zh-CN"/>
        </w:rPr>
        <w:t>20</w:t>
      </w:r>
      <w:r>
        <w:rPr>
          <w:rFonts w:hint="default"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71307FA0">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9056" w:type="dxa"/>
        <w:jc w:val="center"/>
        <w:tblLayout w:type="fixed"/>
        <w:tblCellMar>
          <w:top w:w="0" w:type="dxa"/>
          <w:left w:w="108" w:type="dxa"/>
          <w:bottom w:w="0" w:type="dxa"/>
          <w:right w:w="108" w:type="dxa"/>
        </w:tblCellMar>
      </w:tblPr>
      <w:tblGrid>
        <w:gridCol w:w="2881"/>
        <w:gridCol w:w="1992"/>
        <w:gridCol w:w="2091"/>
        <w:gridCol w:w="2092"/>
      </w:tblGrid>
      <w:tr w14:paraId="1495BBFB">
        <w:tblPrEx>
          <w:tblCellMar>
            <w:top w:w="0" w:type="dxa"/>
            <w:left w:w="108" w:type="dxa"/>
            <w:bottom w:w="0" w:type="dxa"/>
            <w:right w:w="108" w:type="dxa"/>
          </w:tblCellMar>
        </w:tblPrEx>
        <w:trPr>
          <w:trHeight w:val="90" w:hRule="atLeast"/>
          <w:tblHeader/>
          <w:jc w:val="center"/>
        </w:trPr>
        <w:tc>
          <w:tcPr>
            <w:tcW w:w="2881"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040820B4">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992"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82C3433">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2091"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FD24708">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2092"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F8586FF">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63EC507A">
        <w:tblPrEx>
          <w:tblCellMar>
            <w:top w:w="0" w:type="dxa"/>
            <w:left w:w="108" w:type="dxa"/>
            <w:bottom w:w="0" w:type="dxa"/>
            <w:right w:w="108" w:type="dxa"/>
          </w:tblCellMar>
        </w:tblPrEx>
        <w:trPr>
          <w:trHeight w:val="340" w:hRule="atLeast"/>
          <w:jc w:val="center"/>
        </w:trPr>
        <w:tc>
          <w:tcPr>
            <w:tcW w:w="2881" w:type="dxa"/>
            <w:tcBorders>
              <w:top w:val="nil"/>
              <w:left w:val="single" w:color="auto" w:sz="4" w:space="0"/>
              <w:bottom w:val="single" w:color="auto" w:sz="4" w:space="0"/>
              <w:right w:val="single" w:color="auto" w:sz="4" w:space="0"/>
            </w:tcBorders>
            <w:shd w:val="clear" w:color="auto" w:fill="auto"/>
            <w:vAlign w:val="center"/>
          </w:tcPr>
          <w:p w14:paraId="5D6042C8">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992" w:type="dxa"/>
            <w:tcBorders>
              <w:top w:val="nil"/>
              <w:left w:val="nil"/>
              <w:bottom w:val="single" w:color="auto" w:sz="4" w:space="0"/>
              <w:right w:val="single" w:color="auto" w:sz="4" w:space="0"/>
            </w:tcBorders>
            <w:shd w:val="clear" w:color="auto" w:fill="auto"/>
            <w:vAlign w:val="center"/>
          </w:tcPr>
          <w:p w14:paraId="7A413DD1">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91" w:type="dxa"/>
            <w:tcBorders>
              <w:top w:val="nil"/>
              <w:left w:val="nil"/>
              <w:bottom w:val="single" w:color="auto" w:sz="4" w:space="0"/>
              <w:right w:val="single" w:color="auto" w:sz="4" w:space="0"/>
            </w:tcBorders>
            <w:shd w:val="clear" w:color="auto" w:fill="auto"/>
            <w:vAlign w:val="center"/>
          </w:tcPr>
          <w:p w14:paraId="45930608">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092" w:type="dxa"/>
            <w:tcBorders>
              <w:top w:val="nil"/>
              <w:left w:val="nil"/>
              <w:bottom w:val="single" w:color="auto" w:sz="4" w:space="0"/>
              <w:right w:val="single" w:color="auto" w:sz="4" w:space="0"/>
            </w:tcBorders>
            <w:shd w:val="clear" w:color="auto" w:fill="auto"/>
            <w:vAlign w:val="center"/>
          </w:tcPr>
          <w:p w14:paraId="13AAD396">
            <w:pPr>
              <w:jc w:val="center"/>
              <w:rPr>
                <w:rFonts w:hint="default" w:ascii="Times New Roman" w:hAnsi="Times New Roman" w:eastAsia="仿宋_GB2312" w:cs="Times New Roman"/>
                <w:color w:val="000000"/>
                <w:sz w:val="21"/>
                <w:szCs w:val="21"/>
                <w:lang w:val="en-US" w:eastAsia="zh-CN"/>
              </w:rPr>
            </w:pPr>
            <w:bookmarkStart w:id="5" w:name="OLE_LINK4"/>
            <w:r>
              <w:rPr>
                <w:rFonts w:hint="eastAsia" w:eastAsia="仿宋_GB2312" w:cs="Times New Roman"/>
                <w:color w:val="000000"/>
                <w:sz w:val="21"/>
                <w:szCs w:val="21"/>
                <w:lang w:val="en-US" w:eastAsia="zh-CN"/>
              </w:rPr>
              <w:t>100%</w:t>
            </w:r>
            <w:bookmarkEnd w:id="5"/>
          </w:p>
        </w:tc>
      </w:tr>
      <w:tr w14:paraId="23B21C1A">
        <w:tblPrEx>
          <w:tblCellMar>
            <w:top w:w="0" w:type="dxa"/>
            <w:left w:w="108" w:type="dxa"/>
            <w:bottom w:w="0" w:type="dxa"/>
            <w:right w:w="108" w:type="dxa"/>
          </w:tblCellMar>
        </w:tblPrEx>
        <w:trPr>
          <w:trHeight w:val="384" w:hRule="atLeast"/>
          <w:jc w:val="center"/>
        </w:trPr>
        <w:tc>
          <w:tcPr>
            <w:tcW w:w="2881" w:type="dxa"/>
            <w:tcBorders>
              <w:top w:val="nil"/>
              <w:left w:val="single" w:color="auto" w:sz="4" w:space="0"/>
              <w:bottom w:val="single" w:color="auto" w:sz="4" w:space="0"/>
              <w:right w:val="single" w:color="auto" w:sz="4" w:space="0"/>
            </w:tcBorders>
            <w:shd w:val="clear" w:color="auto" w:fill="auto"/>
            <w:vAlign w:val="center"/>
          </w:tcPr>
          <w:p w14:paraId="31969908">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992" w:type="dxa"/>
            <w:tcBorders>
              <w:top w:val="nil"/>
              <w:left w:val="nil"/>
              <w:bottom w:val="single" w:color="auto" w:sz="4" w:space="0"/>
              <w:right w:val="single" w:color="auto" w:sz="4" w:space="0"/>
            </w:tcBorders>
            <w:shd w:val="clear" w:color="auto" w:fill="auto"/>
            <w:vAlign w:val="center"/>
          </w:tcPr>
          <w:p w14:paraId="4987CBE7">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91" w:type="dxa"/>
            <w:tcBorders>
              <w:top w:val="nil"/>
              <w:left w:val="nil"/>
              <w:bottom w:val="single" w:color="auto" w:sz="4" w:space="0"/>
              <w:right w:val="single" w:color="auto" w:sz="4" w:space="0"/>
            </w:tcBorders>
            <w:shd w:val="clear" w:color="auto" w:fill="auto"/>
            <w:vAlign w:val="center"/>
          </w:tcPr>
          <w:p w14:paraId="3B2BC9C2">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092" w:type="dxa"/>
            <w:tcBorders>
              <w:top w:val="nil"/>
              <w:left w:val="nil"/>
              <w:bottom w:val="single" w:color="auto" w:sz="4" w:space="0"/>
              <w:right w:val="single" w:color="auto" w:sz="4" w:space="0"/>
            </w:tcBorders>
            <w:shd w:val="clear" w:color="auto" w:fill="auto"/>
            <w:vAlign w:val="center"/>
          </w:tcPr>
          <w:p w14:paraId="4A8DF6CF">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14:paraId="349CB01C">
        <w:tblPrEx>
          <w:tblCellMar>
            <w:top w:w="0" w:type="dxa"/>
            <w:left w:w="108" w:type="dxa"/>
            <w:bottom w:w="0" w:type="dxa"/>
            <w:right w:w="108" w:type="dxa"/>
          </w:tblCellMar>
        </w:tblPrEx>
        <w:trPr>
          <w:trHeight w:val="340" w:hRule="atLeast"/>
          <w:jc w:val="center"/>
        </w:trPr>
        <w:tc>
          <w:tcPr>
            <w:tcW w:w="2881" w:type="dxa"/>
            <w:tcBorders>
              <w:top w:val="nil"/>
              <w:left w:val="single" w:color="auto" w:sz="4" w:space="0"/>
              <w:bottom w:val="single" w:color="auto" w:sz="4" w:space="0"/>
              <w:right w:val="single" w:color="auto" w:sz="4" w:space="0"/>
            </w:tcBorders>
            <w:shd w:val="clear" w:color="auto" w:fill="auto"/>
            <w:vAlign w:val="center"/>
          </w:tcPr>
          <w:p w14:paraId="54BA8630">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992" w:type="dxa"/>
            <w:tcBorders>
              <w:top w:val="nil"/>
              <w:left w:val="nil"/>
              <w:bottom w:val="single" w:color="auto" w:sz="4" w:space="0"/>
              <w:right w:val="single" w:color="auto" w:sz="4" w:space="0"/>
            </w:tcBorders>
            <w:shd w:val="clear" w:color="auto" w:fill="auto"/>
            <w:vAlign w:val="center"/>
          </w:tcPr>
          <w:p w14:paraId="5B23C0DF">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40</w:t>
            </w:r>
          </w:p>
        </w:tc>
        <w:tc>
          <w:tcPr>
            <w:tcW w:w="2091" w:type="dxa"/>
            <w:tcBorders>
              <w:top w:val="nil"/>
              <w:left w:val="nil"/>
              <w:bottom w:val="single" w:color="auto" w:sz="4" w:space="0"/>
              <w:right w:val="single" w:color="auto" w:sz="4" w:space="0"/>
            </w:tcBorders>
            <w:shd w:val="clear" w:color="auto" w:fill="auto"/>
            <w:vAlign w:val="center"/>
          </w:tcPr>
          <w:p w14:paraId="5CFFFDB8">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39.93</w:t>
            </w:r>
          </w:p>
        </w:tc>
        <w:tc>
          <w:tcPr>
            <w:tcW w:w="2092" w:type="dxa"/>
            <w:tcBorders>
              <w:top w:val="nil"/>
              <w:left w:val="nil"/>
              <w:bottom w:val="single" w:color="auto" w:sz="4" w:space="0"/>
              <w:right w:val="single" w:color="auto" w:sz="4" w:space="0"/>
            </w:tcBorders>
            <w:shd w:val="clear" w:color="auto" w:fill="auto"/>
            <w:vAlign w:val="center"/>
          </w:tcPr>
          <w:p w14:paraId="764C1DA3">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99.83%</w:t>
            </w:r>
          </w:p>
        </w:tc>
      </w:tr>
      <w:tr w14:paraId="09BF51B8">
        <w:tblPrEx>
          <w:tblCellMar>
            <w:top w:w="0" w:type="dxa"/>
            <w:left w:w="108" w:type="dxa"/>
            <w:bottom w:w="0" w:type="dxa"/>
            <w:right w:w="108" w:type="dxa"/>
          </w:tblCellMar>
        </w:tblPrEx>
        <w:trPr>
          <w:trHeight w:val="340" w:hRule="atLeast"/>
          <w:jc w:val="center"/>
        </w:trPr>
        <w:tc>
          <w:tcPr>
            <w:tcW w:w="2881" w:type="dxa"/>
            <w:tcBorders>
              <w:top w:val="nil"/>
              <w:left w:val="single" w:color="auto" w:sz="4" w:space="0"/>
              <w:bottom w:val="single" w:color="auto" w:sz="4" w:space="0"/>
              <w:right w:val="single" w:color="auto" w:sz="4" w:space="0"/>
            </w:tcBorders>
            <w:shd w:val="clear" w:color="auto" w:fill="auto"/>
            <w:vAlign w:val="center"/>
          </w:tcPr>
          <w:p w14:paraId="7B4DAE8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992" w:type="dxa"/>
            <w:tcBorders>
              <w:top w:val="nil"/>
              <w:left w:val="nil"/>
              <w:bottom w:val="single" w:color="auto" w:sz="4" w:space="0"/>
              <w:right w:val="single" w:color="auto" w:sz="4" w:space="0"/>
            </w:tcBorders>
            <w:shd w:val="clear" w:color="auto" w:fill="auto"/>
            <w:vAlign w:val="center"/>
          </w:tcPr>
          <w:p w14:paraId="4C351899">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91" w:type="dxa"/>
            <w:tcBorders>
              <w:top w:val="nil"/>
              <w:left w:val="nil"/>
              <w:bottom w:val="single" w:color="auto" w:sz="4" w:space="0"/>
              <w:right w:val="single" w:color="auto" w:sz="4" w:space="0"/>
            </w:tcBorders>
            <w:shd w:val="clear" w:color="auto" w:fill="auto"/>
            <w:vAlign w:val="center"/>
          </w:tcPr>
          <w:p w14:paraId="1469CDB1">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092" w:type="dxa"/>
            <w:tcBorders>
              <w:top w:val="nil"/>
              <w:left w:val="nil"/>
              <w:bottom w:val="single" w:color="auto" w:sz="4" w:space="0"/>
              <w:right w:val="single" w:color="auto" w:sz="4" w:space="0"/>
            </w:tcBorders>
            <w:shd w:val="clear" w:color="auto" w:fill="auto"/>
            <w:vAlign w:val="center"/>
          </w:tcPr>
          <w:p w14:paraId="367FD841">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14:paraId="67FBF9C4">
        <w:tblPrEx>
          <w:tblCellMar>
            <w:top w:w="0" w:type="dxa"/>
            <w:left w:w="108" w:type="dxa"/>
            <w:bottom w:w="0" w:type="dxa"/>
            <w:right w:w="108" w:type="dxa"/>
          </w:tblCellMar>
        </w:tblPrEx>
        <w:trPr>
          <w:trHeight w:val="340" w:hRule="atLeast"/>
          <w:jc w:val="center"/>
        </w:trPr>
        <w:tc>
          <w:tcPr>
            <w:tcW w:w="2881" w:type="dxa"/>
            <w:tcBorders>
              <w:top w:val="nil"/>
              <w:left w:val="single" w:color="auto" w:sz="4" w:space="0"/>
              <w:bottom w:val="single" w:color="auto" w:sz="4" w:space="0"/>
              <w:right w:val="single" w:color="auto" w:sz="4" w:space="0"/>
            </w:tcBorders>
            <w:shd w:val="clear" w:color="auto" w:fill="auto"/>
            <w:vAlign w:val="center"/>
          </w:tcPr>
          <w:p w14:paraId="77BB9CD0">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992" w:type="dxa"/>
            <w:tcBorders>
              <w:top w:val="nil"/>
              <w:left w:val="nil"/>
              <w:bottom w:val="single" w:color="auto" w:sz="4" w:space="0"/>
              <w:right w:val="single" w:color="auto" w:sz="4" w:space="0"/>
            </w:tcBorders>
            <w:shd w:val="clear" w:color="auto" w:fill="auto"/>
            <w:vAlign w:val="center"/>
          </w:tcPr>
          <w:p w14:paraId="751F378D">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2091" w:type="dxa"/>
            <w:tcBorders>
              <w:top w:val="nil"/>
              <w:left w:val="nil"/>
              <w:bottom w:val="single" w:color="auto" w:sz="4" w:space="0"/>
              <w:right w:val="single" w:color="auto" w:sz="4" w:space="0"/>
            </w:tcBorders>
            <w:shd w:val="clear" w:color="auto" w:fill="auto"/>
            <w:vAlign w:val="center"/>
          </w:tcPr>
          <w:p w14:paraId="777FB65E">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99.93</w:t>
            </w:r>
          </w:p>
        </w:tc>
        <w:tc>
          <w:tcPr>
            <w:tcW w:w="2092" w:type="dxa"/>
            <w:tcBorders>
              <w:top w:val="nil"/>
              <w:left w:val="nil"/>
              <w:bottom w:val="single" w:color="auto" w:sz="4" w:space="0"/>
              <w:right w:val="single" w:color="auto" w:sz="4" w:space="0"/>
            </w:tcBorders>
            <w:shd w:val="clear" w:color="auto" w:fill="auto"/>
            <w:vAlign w:val="center"/>
          </w:tcPr>
          <w:p w14:paraId="53262C92">
            <w:pPr>
              <w:jc w:val="center"/>
              <w:rPr>
                <w:rFonts w:hint="default" w:ascii="Times New Roman" w:hAnsi="Times New Roman" w:eastAsia="仿宋_GB2312" w:cs="Times New Roman"/>
                <w:b/>
                <w:bCs/>
                <w:color w:val="000000"/>
                <w:sz w:val="21"/>
                <w:szCs w:val="21"/>
              </w:rPr>
            </w:pPr>
            <w:r>
              <w:rPr>
                <w:rFonts w:hint="eastAsia" w:eastAsia="仿宋_GB2312" w:cs="Times New Roman"/>
                <w:color w:val="000000"/>
                <w:sz w:val="21"/>
                <w:szCs w:val="21"/>
                <w:lang w:val="en-US" w:eastAsia="zh-CN"/>
              </w:rPr>
              <w:t>99.93%</w:t>
            </w:r>
          </w:p>
        </w:tc>
      </w:tr>
    </w:tbl>
    <w:p w14:paraId="5A2F963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2B1F3828">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788537E4">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53E71CB5">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1.项目立项</w:t>
      </w:r>
    </w:p>
    <w:p w14:paraId="74FB5221">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29B90466">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w:t>
      </w:r>
      <w:r>
        <w:rPr>
          <w:rFonts w:hint="default" w:ascii="Times New Roman" w:hAnsi="Times New Roman" w:eastAsia="仿宋_GB2312" w:cs="Times New Roman"/>
          <w:sz w:val="32"/>
          <w:szCs w:val="32"/>
          <w:highlight w:val="none"/>
        </w:rPr>
        <w:t>乌财建【202】78号关于下达2021年保障性安居工程第二批中央基建投资预算</w:t>
      </w:r>
      <w:r>
        <w:rPr>
          <w:rFonts w:hint="default" w:ascii="Times New Roman" w:hAnsi="Times New Roman" w:eastAsia="仿宋_GB2312" w:cs="Times New Roman"/>
          <w:sz w:val="32"/>
          <w:szCs w:val="32"/>
          <w:lang w:val="en-US" w:eastAsia="zh-CN"/>
        </w:rPr>
        <w:t>及发展政策，符合行业规划要求，围绕本年度工作重点和工作计划制定经费预算，属于公共财政支持范围。本项目与部门内部其他相关项目不重复。部门发展规划及职能文件等归档完整。</w:t>
      </w:r>
    </w:p>
    <w:p w14:paraId="558E6B0C">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69BED79D">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highlight w:val="none"/>
          <w:lang w:val="en-US" w:eastAsia="zh-CN"/>
        </w:rPr>
        <w:t>根据决算依据编制</w:t>
      </w:r>
      <w:r>
        <w:rPr>
          <w:rFonts w:hint="default" w:ascii="Times New Roman" w:hAnsi="Times New Roman" w:eastAsia="仿宋_GB2312" w:cs="Times New Roman"/>
          <w:sz w:val="32"/>
          <w:szCs w:val="32"/>
          <w:lang w:val="en-US" w:eastAsia="zh-CN"/>
        </w:rPr>
        <w:t>工作计划和经费预算，经过与部门项目分管领导沟通、筛选确定经费预算计划，确定最终预算方案。项目的审批文件、材料符合相关要求，项目事前经过必要的</w:t>
      </w:r>
      <w:r>
        <w:rPr>
          <w:rFonts w:hint="default" w:ascii="Times New Roman" w:hAnsi="Times New Roman" w:eastAsia="仿宋_GB2312" w:cs="Times New Roman"/>
          <w:sz w:val="32"/>
          <w:szCs w:val="32"/>
          <w:highlight w:val="none"/>
          <w:lang w:val="en-US" w:eastAsia="zh-CN"/>
        </w:rPr>
        <w:t>可行性研究、绩效评估、集体决策，</w:t>
      </w:r>
      <w:r>
        <w:rPr>
          <w:rFonts w:hint="default" w:ascii="Times New Roman" w:hAnsi="Times New Roman" w:eastAsia="仿宋_GB2312" w:cs="Times New Roman"/>
          <w:sz w:val="32"/>
          <w:szCs w:val="32"/>
          <w:lang w:val="en-US" w:eastAsia="zh-CN"/>
        </w:rPr>
        <w:t>保障了程序的规范性。</w:t>
      </w:r>
    </w:p>
    <w:p w14:paraId="49D3459A">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5996ABF6">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5F5DA16F">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009D109B">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1031D211">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项目设置了明确的预期产出效益和效果，将绩效目标细化分解为具体的绩效指标，数量指标</w:t>
      </w:r>
      <w:r>
        <w:rPr>
          <w:rFonts w:hint="eastAsia" w:eastAsia="仿宋_GB2312" w:cs="Times New Roman"/>
          <w:sz w:val="32"/>
          <w:szCs w:val="32"/>
          <w:lang w:val="en-US" w:eastAsia="zh-CN"/>
        </w:rPr>
        <w:t>：安居性保障工程改造片区数2个；改造面积30.29万平方米。质量指标：工程质量合格率100%。时效指标：资金支付时效2024年12月31日前。经济成本指标：成本控制率小于等于100%。社会效益指标：促进社会和谐稳定发展，指标值为显著促进。满意度指标：群众满意度90%。</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63F7F4C8">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4548718C">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799A05B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D0132D7">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3F64AFBF">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7057B83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green"/>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4544CF9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465F5D7C">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3AD5F6DB">
      <w:pPr>
        <w:pStyle w:val="10"/>
        <w:keepNext w:val="0"/>
        <w:keepLines w:val="0"/>
        <w:pageBreakBefore w:val="0"/>
        <w:widowControl w:val="0"/>
        <w:numPr>
          <w:ilvl w:val="0"/>
          <w:numId w:val="0"/>
        </w:numPr>
        <w:kinsoku/>
        <w:wordWrap w:val="0"/>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楷体" w:cs="Times New Roman"/>
        </w:rPr>
      </w:pPr>
      <w:r>
        <w:rPr>
          <w:rFonts w:hint="eastAsia" w:ascii="Times New Roman" w:hAnsi="Times New Roman" w:eastAsia="楷体" w:cs="Times New Roman"/>
          <w:lang w:eastAsia="zh-CN"/>
        </w:rPr>
        <w:t>（</w:t>
      </w:r>
      <w:r>
        <w:rPr>
          <w:rFonts w:hint="eastAsia" w:ascii="Times New Roman" w:hAnsi="Times New Roman" w:eastAsia="楷体" w:cs="Times New Roman"/>
          <w:lang w:val="en-US" w:eastAsia="zh-CN"/>
        </w:rPr>
        <w:t>二</w:t>
      </w:r>
      <w:r>
        <w:rPr>
          <w:rFonts w:hint="eastAsia" w:ascii="Times New Roman" w:hAnsi="Times New Roman" w:eastAsia="楷体" w:cs="Times New Roman"/>
          <w:lang w:eastAsia="zh-CN"/>
        </w:rPr>
        <w:t>）</w:t>
      </w:r>
      <w:r>
        <w:rPr>
          <w:rFonts w:hint="default" w:ascii="Times New Roman" w:hAnsi="Times New Roman" w:eastAsia="楷体" w:cs="Times New Roman"/>
        </w:rPr>
        <w:t>项目过程情况</w:t>
      </w:r>
    </w:p>
    <w:p w14:paraId="2FE3E6B1">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三级指标构成，权重分值为20分，实际得分</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分，得分率为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p>
    <w:p w14:paraId="20BEC7D5">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1.资金管理</w:t>
      </w:r>
    </w:p>
    <w:p w14:paraId="16D6BEC4">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576CEBF6">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w:t>
      </w:r>
      <w:r>
        <w:rPr>
          <w:rFonts w:hint="default" w:ascii="Times New Roman" w:hAnsi="Times New Roman" w:eastAsia="仿宋_GB2312" w:cs="Times New Roman"/>
          <w:sz w:val="32"/>
          <w:szCs w:val="32"/>
          <w:highlight w:val="none"/>
          <w:lang w:val="en-US" w:eastAsia="zh-CN"/>
        </w:rPr>
        <w:t>总投资10009.95万元，财政资金及时足额到位，到位率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预算资金按计划进度执行</w:t>
      </w:r>
      <w:r>
        <w:rPr>
          <w:rFonts w:hint="eastAsia" w:eastAsia="仿宋_GB2312" w:cs="Times New Roman"/>
          <w:sz w:val="32"/>
          <w:szCs w:val="32"/>
          <w:lang w:val="en-US" w:eastAsia="zh-CN"/>
        </w:rPr>
        <w:t>，</w:t>
      </w:r>
      <w:r>
        <w:rPr>
          <w:rFonts w:hint="eastAsia" w:eastAsia="仿宋_GB2312" w:cs="Times New Roman"/>
          <w:sz w:val="32"/>
          <w:szCs w:val="32"/>
          <w:highlight w:val="none"/>
          <w:lang w:val="en-US" w:eastAsia="zh-CN"/>
        </w:rPr>
        <w:t>项目资金于2024年2月到位</w:t>
      </w:r>
      <w:r>
        <w:rPr>
          <w:rFonts w:hint="default" w:ascii="Times New Roman" w:hAnsi="Times New Roman" w:eastAsia="仿宋_GB2312" w:cs="Times New Roman"/>
          <w:sz w:val="32"/>
          <w:szCs w:val="32"/>
          <w:highlight w:val="none"/>
          <w:lang w:val="en-US" w:eastAsia="zh-CN"/>
        </w:rPr>
        <w:t>。</w:t>
      </w:r>
    </w:p>
    <w:p w14:paraId="467AF96A">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（2）预算执行率</w:t>
      </w:r>
    </w:p>
    <w:p w14:paraId="63557F1E">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预算编制较为详细，项目资金支出总体能够按照预算执行，预算资金支出10009.95万元，预算执行率为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对项目施工单位支付资金9794.76万元，对设计、监理单位支付215.19万元</w:t>
      </w:r>
      <w:r>
        <w:rPr>
          <w:rFonts w:hint="default" w:ascii="Times New Roman" w:hAnsi="Times New Roman" w:eastAsia="仿宋_GB2312" w:cs="Times New Roman"/>
          <w:sz w:val="32"/>
          <w:szCs w:val="32"/>
          <w:highlight w:val="none"/>
          <w:lang w:val="en-US" w:eastAsia="zh-CN"/>
        </w:rPr>
        <w:t>。</w:t>
      </w:r>
    </w:p>
    <w:p w14:paraId="186A38FE">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49C34B0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w:t>
      </w:r>
      <w:r>
        <w:rPr>
          <w:rFonts w:hint="eastAsia" w:eastAsia="仿宋_GB2312" w:cs="Times New Roman"/>
          <w:sz w:val="32"/>
          <w:szCs w:val="32"/>
          <w:highlight w:val="none"/>
          <w:lang w:eastAsia="zh-CN"/>
        </w:rPr>
        <w:t>《沙区建设局财务管理制度》</w:t>
      </w:r>
      <w:r>
        <w:rPr>
          <w:rFonts w:hint="default" w:ascii="Times New Roman" w:hAnsi="Times New Roman" w:eastAsia="仿宋_GB2312" w:cs="Times New Roman"/>
          <w:sz w:val="32"/>
          <w:szCs w:val="32"/>
          <w:highlight w:val="none"/>
          <w:lang w:eastAsia="zh-CN"/>
        </w:rPr>
        <w:t>，确保了资金的合规性与安全性。在资金使用过程中，我们建立了完善的财务管理体系，对资金的流动进行了全程监控与记录。</w:t>
      </w:r>
    </w:p>
    <w:p w14:paraId="2DB934E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05EC07C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240A7A82">
      <w:pPr>
        <w:pStyle w:val="19"/>
        <w:keepNext w:val="0"/>
        <w:keepLines w:val="0"/>
        <w:pageBreakBefore w:val="0"/>
        <w:widowControl w:val="0"/>
        <w:shd w:val="clear"/>
        <w:kinsoku/>
        <w:wordWrap w:val="0"/>
        <w:overflowPunct/>
        <w:topLinePunct/>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2.组织实施</w:t>
      </w:r>
    </w:p>
    <w:p w14:paraId="53B6A0F7">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（1）管理制度健全性</w:t>
      </w:r>
    </w:p>
    <w:p w14:paraId="656E0F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w:t>
      </w:r>
      <w:r>
        <w:rPr>
          <w:rFonts w:hint="eastAsia"/>
          <w:lang w:eastAsia="zh-CN"/>
        </w:rPr>
        <w:t>，</w:t>
      </w:r>
      <w:r>
        <w:rPr>
          <w:rFonts w:hint="eastAsia" w:ascii="Times New Roman" w:hAnsi="Times New Roman" w:eastAsia="仿宋_GB2312" w:cs="Times New Roman"/>
          <w:sz w:val="32"/>
          <w:szCs w:val="32"/>
          <w:highlight w:val="none"/>
          <w:lang w:eastAsia="zh-CN"/>
        </w:rPr>
        <w:t>对项目进行科学决策，按照项目实际情况进行及时推进，对项目的前期及项目整体同步推进，确保项目的实施</w:t>
      </w:r>
      <w:r>
        <w:rPr>
          <w:rFonts w:hint="default" w:ascii="Times New Roman" w:hAnsi="Times New Roman" w:eastAsia="仿宋_GB2312" w:cs="Times New Roman"/>
          <w:sz w:val="32"/>
          <w:szCs w:val="32"/>
          <w:highlight w:val="none"/>
          <w:lang w:eastAsia="zh-CN"/>
        </w:rPr>
        <w:t>，为项目的成功实施提供了坚实的制度保障。项目管理制度的制定紧密结合了项目的特点与实际情况，涵盖了项目的策划、组织、实施、监控与收尾等各个环节。</w:t>
      </w:r>
    </w:p>
    <w:p w14:paraId="2CD32F4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2D4219D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2FD2660">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1AC4BB64">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79DE57A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25FE9DB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75B3034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30A9E80F">
      <w:pPr>
        <w:pStyle w:val="12"/>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eastAsia" w:eastAsia="楷体_GB2312" w:cs="Times New Roman"/>
          <w:b/>
          <w:bCs/>
          <w:sz w:val="32"/>
          <w:szCs w:val="32"/>
          <w:lang w:eastAsia="zh-CN"/>
        </w:rPr>
        <w:t>（</w:t>
      </w:r>
      <w:r>
        <w:rPr>
          <w:rFonts w:hint="eastAsia" w:eastAsia="楷体_GB2312" w:cs="Times New Roman"/>
          <w:b/>
          <w:bCs/>
          <w:sz w:val="32"/>
          <w:szCs w:val="32"/>
          <w:lang w:val="en-US" w:eastAsia="zh-CN"/>
        </w:rPr>
        <w:t>三</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rPr>
        <w:t>项目产出</w:t>
      </w:r>
      <w:r>
        <w:rPr>
          <w:rFonts w:hint="default" w:ascii="Times New Roman" w:hAnsi="Times New Roman" w:eastAsia="楷体_GB2312" w:cs="Times New Roman"/>
          <w:b/>
          <w:bCs/>
          <w:sz w:val="32"/>
          <w:szCs w:val="32"/>
          <w:lang w:val="en-US" w:eastAsia="zh-CN"/>
        </w:rPr>
        <w:t>情况</w:t>
      </w:r>
    </w:p>
    <w:p w14:paraId="552E5E4D">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项目产出类指标包括产出数量、产出质量、产出时效、产出成本四方面的内容，由</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个三级指标构成，权重分为</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highlight w:val="none"/>
          <w:lang w:val="en-US" w:eastAsia="zh-CN"/>
        </w:rPr>
        <w:t>实际得分</w:t>
      </w:r>
      <w:r>
        <w:rPr>
          <w:rFonts w:hint="eastAsia" w:eastAsia="仿宋_GB2312" w:cs="Times New Roman"/>
          <w:sz w:val="32"/>
          <w:szCs w:val="32"/>
          <w:highlight w:val="none"/>
          <w:lang w:val="en-US" w:eastAsia="zh-CN"/>
        </w:rPr>
        <w:t>39.93</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99.83</w:t>
      </w:r>
      <w:r>
        <w:rPr>
          <w:rFonts w:hint="default" w:ascii="Times New Roman" w:hAnsi="Times New Roman" w:eastAsia="仿宋_GB2312" w:cs="Times New Roman"/>
          <w:sz w:val="32"/>
          <w:szCs w:val="32"/>
          <w:highlight w:val="none"/>
          <w:lang w:val="en-US" w:eastAsia="zh-CN"/>
        </w:rPr>
        <w:t>%。具</w:t>
      </w:r>
      <w:r>
        <w:rPr>
          <w:rFonts w:hint="default" w:ascii="Times New Roman" w:hAnsi="Times New Roman" w:eastAsia="仿宋_GB2312" w:cs="Times New Roman"/>
          <w:sz w:val="32"/>
          <w:szCs w:val="32"/>
          <w:lang w:val="en-US" w:eastAsia="zh-CN"/>
        </w:rPr>
        <w:t>体产出指标完成情况如下：</w:t>
      </w:r>
    </w:p>
    <w:p w14:paraId="2586C1C1">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21994234">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eastAsia="zh-CN"/>
        </w:rPr>
      </w:pPr>
      <w:bookmarkStart w:id="6" w:name="OLE_LINK7"/>
      <w:r>
        <w:rPr>
          <w:rFonts w:hint="default" w:ascii="Times New Roman" w:hAnsi="Times New Roman" w:eastAsia="仿宋_GB2312" w:cs="Times New Roman"/>
          <w:sz w:val="32"/>
          <w:szCs w:val="32"/>
          <w:highlight w:val="none"/>
        </w:rPr>
        <w:t>指标1：安居性保障工程改造片区数，指标值：</w:t>
      </w:r>
      <w:bookmarkStart w:id="7" w:name="OLE_LINK6"/>
      <w:r>
        <w:rPr>
          <w:rFonts w:hint="default" w:ascii="Times New Roman" w:hAnsi="Times New Roman" w:eastAsia="仿宋_GB2312" w:cs="Times New Roman"/>
          <w:sz w:val="32"/>
          <w:szCs w:val="32"/>
          <w:highlight w:val="none"/>
        </w:rPr>
        <w:t>&gt;=2个</w:t>
      </w:r>
      <w:bookmarkEnd w:id="7"/>
      <w:r>
        <w:rPr>
          <w:rFonts w:hint="default" w:ascii="Times New Roman" w:hAnsi="Times New Roman" w:eastAsia="仿宋_GB2312" w:cs="Times New Roman"/>
          <w:sz w:val="32"/>
          <w:szCs w:val="32"/>
          <w:highlight w:val="none"/>
        </w:rPr>
        <w:t>，实际完成值=2个，指标完成率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，偏差原因：无</w:t>
      </w:r>
      <w:r>
        <w:rPr>
          <w:rFonts w:hint="default" w:ascii="Times New Roman" w:hAnsi="Times New Roman" w:eastAsia="仿宋_GB2312" w:cs="Times New Roman"/>
          <w:sz w:val="32"/>
          <w:szCs w:val="32"/>
          <w:highlight w:val="none"/>
          <w:lang w:eastAsia="zh-CN"/>
        </w:rPr>
        <w:t>。</w:t>
      </w:r>
      <w:bookmarkEnd w:id="6"/>
      <w:r>
        <w:rPr>
          <w:rFonts w:hint="eastAsia" w:eastAsia="仿宋_GB2312" w:cs="Times New Roman"/>
          <w:sz w:val="32"/>
          <w:szCs w:val="32"/>
          <w:highlight w:val="none"/>
          <w:lang w:val="en-US" w:eastAsia="zh-CN"/>
        </w:rPr>
        <w:t>已完成</w:t>
      </w:r>
      <w:r>
        <w:rPr>
          <w:rFonts w:hint="eastAsia" w:eastAsia="仿宋_GB2312" w:cs="Times New Roman"/>
          <w:sz w:val="32"/>
          <w:szCs w:val="32"/>
          <w:highlight w:val="none"/>
          <w:lang w:eastAsia="zh-CN"/>
        </w:rPr>
        <w:t>对八一红庙子片区和扬子江片区进行老旧小区改造。</w:t>
      </w:r>
    </w:p>
    <w:p w14:paraId="64288460">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：改造面积，指标值：</w:t>
      </w:r>
      <w:r>
        <w:rPr>
          <w:rFonts w:hint="eastAsia" w:eastAsia="仿宋_GB2312" w:cs="Times New Roman"/>
          <w:color w:val="auto"/>
          <w:sz w:val="32"/>
          <w:szCs w:val="32"/>
          <w:highlight w:val="none"/>
          <w:lang w:val="en-US" w:eastAsia="zh-CN"/>
        </w:rPr>
        <w:t>30.29万</w:t>
      </w:r>
      <w:r>
        <w:rPr>
          <w:rFonts w:hint="default" w:ascii="Times New Roman" w:hAnsi="Times New Roman" w:eastAsia="仿宋_GB2312" w:cs="Times New Roman"/>
          <w:color w:val="auto"/>
          <w:sz w:val="32"/>
          <w:szCs w:val="32"/>
          <w:highlight w:val="none"/>
        </w:rPr>
        <w:t>平方米，实际完成值：</w:t>
      </w:r>
      <w:r>
        <w:rPr>
          <w:rFonts w:hint="eastAsia" w:eastAsia="仿宋_GB2312" w:cs="Times New Roman"/>
          <w:color w:val="auto"/>
          <w:sz w:val="32"/>
          <w:szCs w:val="32"/>
          <w:highlight w:val="none"/>
          <w:lang w:val="en-US" w:eastAsia="zh-CN"/>
        </w:rPr>
        <w:t>29.82799万</w:t>
      </w:r>
      <w:r>
        <w:rPr>
          <w:rFonts w:hint="default" w:ascii="Times New Roman" w:hAnsi="Times New Roman" w:eastAsia="仿宋_GB2312" w:cs="Times New Roman"/>
          <w:color w:val="auto"/>
          <w:sz w:val="32"/>
          <w:szCs w:val="32"/>
          <w:highlight w:val="none"/>
        </w:rPr>
        <w:t>平方米，指标完成率</w:t>
      </w:r>
      <w:r>
        <w:rPr>
          <w:rFonts w:hint="eastAsia" w:eastAsia="仿宋_GB2312" w:cs="Times New Roman"/>
          <w:color w:val="auto"/>
          <w:sz w:val="32"/>
          <w:szCs w:val="32"/>
          <w:highlight w:val="none"/>
          <w:lang w:val="en-US" w:eastAsia="zh-CN"/>
        </w:rPr>
        <w:t>98.48</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，偏差原因：指标值是按立项批复进行设置，与实际完成值存在差异</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在今后将参照近三年实际完成情况更加精准的去设置指标值。</w:t>
      </w:r>
      <w:r>
        <w:rPr>
          <w:rFonts w:hint="eastAsia" w:eastAsia="仿宋_GB2312" w:cs="Times New Roman"/>
          <w:color w:val="auto"/>
          <w:sz w:val="32"/>
          <w:szCs w:val="32"/>
          <w:highlight w:val="none"/>
          <w:lang w:eastAsia="zh-CN"/>
        </w:rPr>
        <w:t>该项目主要完成扬子江片区老旧小区沥青路面硬化改造</w:t>
      </w:r>
      <w:r>
        <w:rPr>
          <w:rFonts w:hint="eastAsia" w:eastAsia="仿宋_GB2312" w:cs="Times New Roman"/>
          <w:color w:val="auto"/>
          <w:sz w:val="32"/>
          <w:szCs w:val="32"/>
          <w:highlight w:val="none"/>
          <w:lang w:val="en-US" w:eastAsia="zh-CN"/>
        </w:rPr>
        <w:t>90469平方米、八一红庙子片区老旧小区沥青路面硬化改造207810.9平方米。</w:t>
      </w:r>
    </w:p>
    <w:p w14:paraId="3E0756BF">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5AD730F0">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8" w:name="OLE_LINK8"/>
      <w:r>
        <w:rPr>
          <w:rFonts w:hint="eastAsia" w:eastAsia="仿宋_GB2312" w:cs="Times New Roman"/>
          <w:sz w:val="32"/>
          <w:szCs w:val="32"/>
          <w:highlight w:val="none"/>
          <w:lang w:eastAsia="zh-CN"/>
        </w:rPr>
        <w:t>指标：工程质量合格率，指标值：=100%，实际完成值：=100%，指标完成率：</w:t>
      </w:r>
      <w:r>
        <w:rPr>
          <w:rFonts w:hint="eastAsia" w:eastAsia="仿宋_GB2312" w:cs="Times New Roman"/>
          <w:sz w:val="32"/>
          <w:szCs w:val="32"/>
          <w:highlight w:val="none"/>
          <w:lang w:val="en-US" w:eastAsia="zh-CN"/>
        </w:rPr>
        <w:t>100%，偏差原因：无。</w:t>
      </w:r>
      <w:bookmarkEnd w:id="8"/>
      <w:r>
        <w:rPr>
          <w:rFonts w:hint="eastAsia" w:eastAsia="仿宋_GB2312" w:cs="Times New Roman"/>
          <w:sz w:val="32"/>
          <w:szCs w:val="32"/>
          <w:highlight w:val="none"/>
          <w:lang w:val="en-US" w:eastAsia="zh-CN"/>
        </w:rPr>
        <w:t>该项目已完成项目竣工，工程质量按要求完工，</w:t>
      </w:r>
      <w:r>
        <w:rPr>
          <w:rFonts w:hint="eastAsia" w:eastAsia="仿宋_GB2312" w:cs="Times New Roman"/>
          <w:sz w:val="32"/>
          <w:szCs w:val="32"/>
          <w:highlight w:val="none"/>
          <w:lang w:eastAsia="zh-CN"/>
        </w:rPr>
        <w:t>我单位项目完成后，根据合同约定，及时向主管单位和财政局申请相关款项，并于</w:t>
      </w:r>
      <w:r>
        <w:rPr>
          <w:rFonts w:hint="eastAsia" w:eastAsia="仿宋_GB2312" w:cs="Times New Roman"/>
          <w:sz w:val="32"/>
          <w:szCs w:val="32"/>
          <w:highlight w:val="none"/>
          <w:lang w:val="en-US" w:eastAsia="zh-CN"/>
        </w:rPr>
        <w:t>2024年2月、2024年4月和7月对该项目进行资金支付。</w:t>
      </w:r>
    </w:p>
    <w:p w14:paraId="3AB4E06F">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0926B50E">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9" w:name="OLE_LINK10"/>
      <w:r>
        <w:rPr>
          <w:rFonts w:hint="eastAsia" w:eastAsia="仿宋_GB2312" w:cs="Times New Roman"/>
          <w:sz w:val="32"/>
          <w:szCs w:val="32"/>
          <w:highlight w:val="none"/>
          <w:lang w:eastAsia="zh-CN"/>
        </w:rPr>
        <w:t>指标：资金支付时效，指标值：</w:t>
      </w:r>
      <w:bookmarkStart w:id="10" w:name="OLE_LINK9"/>
      <w:r>
        <w:rPr>
          <w:rFonts w:hint="eastAsia" w:eastAsia="仿宋_GB2312" w:cs="Times New Roman"/>
          <w:sz w:val="32"/>
          <w:szCs w:val="32"/>
          <w:highlight w:val="none"/>
          <w:lang w:eastAsia="zh-CN"/>
        </w:rPr>
        <w:t>2024年12月31日前</w:t>
      </w:r>
      <w:bookmarkEnd w:id="10"/>
      <w:r>
        <w:rPr>
          <w:rFonts w:hint="eastAsia" w:eastAsia="仿宋_GB2312" w:cs="Times New Roman"/>
          <w:sz w:val="32"/>
          <w:szCs w:val="32"/>
          <w:highlight w:val="none"/>
          <w:lang w:eastAsia="zh-CN"/>
        </w:rPr>
        <w:t>，实际完成值：2024年12月31日前，指标完成率：</w:t>
      </w:r>
      <w:r>
        <w:rPr>
          <w:rFonts w:hint="eastAsia" w:eastAsia="仿宋_GB2312" w:cs="Times New Roman"/>
          <w:sz w:val="32"/>
          <w:szCs w:val="32"/>
          <w:highlight w:val="none"/>
          <w:lang w:val="en-US" w:eastAsia="zh-CN"/>
        </w:rPr>
        <w:t>100%，偏差原因：无。</w:t>
      </w:r>
      <w:bookmarkEnd w:id="9"/>
      <w:r>
        <w:rPr>
          <w:rFonts w:hint="eastAsia" w:eastAsia="仿宋_GB2312" w:cs="Times New Roman"/>
          <w:sz w:val="32"/>
          <w:szCs w:val="32"/>
          <w:highlight w:val="none"/>
          <w:lang w:val="en-US" w:eastAsia="zh-CN"/>
        </w:rPr>
        <w:t>该项目资金于2024年4月和2024年7月进行支付，切实完成对项目款的支付工作。</w:t>
      </w:r>
    </w:p>
    <w:p w14:paraId="6AF84D19">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6B2A290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bookmarkStart w:id="11" w:name="OLE_LINK12"/>
      <w:r>
        <w:rPr>
          <w:rFonts w:hint="eastAsia" w:eastAsia="仿宋_GB2312" w:cs="Times New Roman"/>
          <w:sz w:val="32"/>
          <w:szCs w:val="32"/>
          <w:highlight w:val="none"/>
          <w:lang w:eastAsia="zh-CN"/>
        </w:rPr>
        <w:t>指标：成本控制率，指标值：</w:t>
      </w:r>
      <w:r>
        <w:rPr>
          <w:rFonts w:hint="eastAsia" w:eastAsia="仿宋_GB2312" w:cs="Times New Roman"/>
          <w:sz w:val="32"/>
          <w:szCs w:val="32"/>
          <w:highlight w:val="none"/>
          <w:lang w:val="en-US" w:eastAsia="zh-CN"/>
        </w:rPr>
        <w:t>100%</w:t>
      </w:r>
      <w:r>
        <w:rPr>
          <w:rFonts w:hint="eastAsia" w:eastAsia="仿宋_GB2312" w:cs="Times New Roman"/>
          <w:sz w:val="32"/>
          <w:szCs w:val="32"/>
          <w:highlight w:val="none"/>
          <w:lang w:eastAsia="zh-CN"/>
        </w:rPr>
        <w:t>，实际完成值：</w:t>
      </w:r>
      <w:r>
        <w:rPr>
          <w:rFonts w:hint="eastAsia" w:eastAsia="仿宋_GB2312" w:cs="Times New Roman"/>
          <w:sz w:val="32"/>
          <w:szCs w:val="32"/>
          <w:highlight w:val="none"/>
          <w:lang w:val="en-US" w:eastAsia="zh-CN"/>
        </w:rPr>
        <w:t>100%</w:t>
      </w:r>
      <w:r>
        <w:rPr>
          <w:rFonts w:hint="eastAsia" w:eastAsia="仿宋_GB2312" w:cs="Times New Roman"/>
          <w:sz w:val="32"/>
          <w:szCs w:val="32"/>
          <w:highlight w:val="none"/>
          <w:lang w:eastAsia="zh-CN"/>
        </w:rPr>
        <w:t>，指标完成率：</w:t>
      </w:r>
      <w:r>
        <w:rPr>
          <w:rFonts w:hint="eastAsia" w:eastAsia="仿宋_GB2312" w:cs="Times New Roman"/>
          <w:sz w:val="32"/>
          <w:szCs w:val="32"/>
          <w:highlight w:val="none"/>
          <w:lang w:val="en-US" w:eastAsia="zh-CN"/>
        </w:rPr>
        <w:t>100%，偏差原因：无。本项目实际支出10009.95万元，无超支情况，项目资金全部完成。</w:t>
      </w:r>
    </w:p>
    <w:bookmarkEnd w:id="11"/>
    <w:p w14:paraId="1D1C87B1">
      <w:pPr>
        <w:pStyle w:val="12"/>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项目效益情况</w:t>
      </w:r>
    </w:p>
    <w:p w14:paraId="2DD1B373">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项目效益类指标包括项目实施效益和满意度两方面的内容，由</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个三级指标构成，权重分为20分，实际得分</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分，得分率为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%。具体效益指标及满意度指标完成情况如下：</w:t>
      </w:r>
    </w:p>
    <w:p w14:paraId="06665793">
      <w:pPr>
        <w:keepNext w:val="0"/>
        <w:keepLines w:val="0"/>
        <w:pageBreakBefore w:val="0"/>
        <w:widowControl w:val="0"/>
        <w:numPr>
          <w:ilvl w:val="0"/>
          <w:numId w:val="0"/>
        </w:numPr>
        <w:shd w:val="clear"/>
        <w:kinsoku/>
        <w:wordWrap w:val="0"/>
        <w:overflowPunct/>
        <w:topLinePunct/>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b/>
          <w:bCs/>
          <w:sz w:val="32"/>
          <w:szCs w:val="32"/>
          <w:highlight w:val="none"/>
          <w:lang w:val="en-US" w:eastAsia="zh-CN"/>
        </w:rPr>
      </w:pPr>
      <w:r>
        <w:rPr>
          <w:rFonts w:hint="eastAsia"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实施效益</w:t>
      </w:r>
    </w:p>
    <w:p w14:paraId="02B7D1CF">
      <w:pPr>
        <w:keepNext w:val="0"/>
        <w:keepLines w:val="0"/>
        <w:pageBreakBefore w:val="0"/>
        <w:widowControl w:val="0"/>
        <w:numPr>
          <w:ilvl w:val="0"/>
          <w:numId w:val="0"/>
        </w:numPr>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经济效益指标：</w:t>
      </w:r>
    </w:p>
    <w:p w14:paraId="404B62B9">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12" w:name="OLE_LINK11"/>
      <w:r>
        <w:rPr>
          <w:rFonts w:hint="eastAsia" w:eastAsia="仿宋_GB2312" w:cs="Times New Roman"/>
          <w:sz w:val="32"/>
          <w:szCs w:val="32"/>
          <w:highlight w:val="none"/>
          <w:lang w:val="en-US" w:eastAsia="zh-CN"/>
        </w:rPr>
        <w:t>2024年本项目未设置经济效益指标</w:t>
      </w:r>
      <w:bookmarkEnd w:id="12"/>
      <w:r>
        <w:rPr>
          <w:rFonts w:hint="eastAsia" w:eastAsia="仿宋_GB2312" w:cs="Times New Roman"/>
          <w:sz w:val="32"/>
          <w:szCs w:val="32"/>
          <w:highlight w:val="none"/>
          <w:lang w:val="en-US" w:eastAsia="zh-CN"/>
        </w:rPr>
        <w:t>。</w:t>
      </w:r>
    </w:p>
    <w:p w14:paraId="41612078">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②</w:t>
      </w:r>
      <w:r>
        <w:rPr>
          <w:rFonts w:hint="default" w:ascii="Times New Roman" w:hAnsi="Times New Roman" w:eastAsia="仿宋_GB2312" w:cs="Times New Roman"/>
          <w:sz w:val="32"/>
          <w:szCs w:val="32"/>
          <w:highlight w:val="none"/>
        </w:rPr>
        <w:t>社会效益指标：</w:t>
      </w:r>
    </w:p>
    <w:p w14:paraId="6B4CE473">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bookmarkStart w:id="13" w:name="OLE_LINK13"/>
      <w:r>
        <w:rPr>
          <w:rFonts w:hint="eastAsia" w:eastAsia="仿宋_GB2312" w:cs="Times New Roman"/>
          <w:sz w:val="32"/>
          <w:szCs w:val="32"/>
          <w:highlight w:val="none"/>
          <w:lang w:eastAsia="zh-CN"/>
        </w:rPr>
        <w:t>指标：促进社会和谐稳定发展，指标值：</w:t>
      </w:r>
      <w:r>
        <w:rPr>
          <w:rFonts w:hint="eastAsia" w:eastAsia="仿宋_GB2312" w:cs="Times New Roman"/>
          <w:sz w:val="32"/>
          <w:szCs w:val="32"/>
          <w:highlight w:val="none"/>
          <w:lang w:val="en-US" w:eastAsia="zh-CN"/>
        </w:rPr>
        <w:t>显著促进</w:t>
      </w:r>
      <w:r>
        <w:rPr>
          <w:rFonts w:hint="eastAsia" w:eastAsia="仿宋_GB2312" w:cs="Times New Roman"/>
          <w:sz w:val="32"/>
          <w:szCs w:val="32"/>
          <w:highlight w:val="none"/>
          <w:lang w:eastAsia="zh-CN"/>
        </w:rPr>
        <w:t>，实际完成值：完全达到预期，指标完成率：</w:t>
      </w:r>
      <w:r>
        <w:rPr>
          <w:rFonts w:hint="eastAsia" w:eastAsia="仿宋_GB2312" w:cs="Times New Roman"/>
          <w:sz w:val="32"/>
          <w:szCs w:val="32"/>
          <w:highlight w:val="none"/>
          <w:lang w:val="en-US" w:eastAsia="zh-CN"/>
        </w:rPr>
        <w:t>100%，偏差原因：无。</w:t>
      </w:r>
      <w:r>
        <w:rPr>
          <w:rFonts w:hint="eastAsia" w:ascii="Times New Roman" w:hAnsi="Times New Roman" w:eastAsia="仿宋_GB2312" w:cs="Times New Roman"/>
          <w:sz w:val="32"/>
          <w:szCs w:val="32"/>
          <w:highlight w:val="none"/>
          <w:lang w:val="en-US" w:eastAsia="zh-CN"/>
        </w:rPr>
        <w:t>保障性安居工程的顺利实施，切实确保老旧小区改造项目能够顺利完成，并努力改善居民的居住环境，提升老旧小区的基础设施建设。</w:t>
      </w:r>
    </w:p>
    <w:bookmarkEnd w:id="13"/>
    <w:p w14:paraId="067B2792">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③生态效益指标：</w:t>
      </w:r>
    </w:p>
    <w:p w14:paraId="6B8E84F5">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2024年本项目未设置生态效益指标</w:t>
      </w:r>
    </w:p>
    <w:p w14:paraId="0BB7F02D">
      <w:pPr>
        <w:keepNext w:val="0"/>
        <w:keepLines w:val="0"/>
        <w:pageBreakBefore w:val="0"/>
        <w:widowControl w:val="0"/>
        <w:shd w:val="clear"/>
        <w:kinsoku/>
        <w:wordWrap w:val="0"/>
        <w:overflowPunct/>
        <w:topLinePunct/>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2.满意度</w:t>
      </w:r>
    </w:p>
    <w:p w14:paraId="53C0F8D6">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楷体_GB2312" w:cs="Times New Roman"/>
          <w:b/>
          <w:bCs/>
          <w:sz w:val="32"/>
          <w:szCs w:val="32"/>
          <w:lang w:val="en-US" w:eastAsia="zh-CN"/>
        </w:rPr>
      </w:pPr>
      <w:r>
        <w:rPr>
          <w:rFonts w:hint="eastAsia" w:eastAsia="仿宋_GB2312" w:cs="Times New Roman"/>
          <w:sz w:val="32"/>
          <w:szCs w:val="32"/>
          <w:highlight w:val="none"/>
          <w:lang w:eastAsia="zh-CN"/>
        </w:rPr>
        <w:t>指标：群众满意度，指标值：</w:t>
      </w:r>
      <w:r>
        <w:rPr>
          <w:rFonts w:hint="eastAsia" w:eastAsia="仿宋_GB2312" w:cs="Times New Roman"/>
          <w:sz w:val="32"/>
          <w:szCs w:val="32"/>
          <w:highlight w:val="none"/>
          <w:lang w:val="en-US" w:eastAsia="zh-CN"/>
        </w:rPr>
        <w:t>&gt;=90%</w:t>
      </w:r>
      <w:r>
        <w:rPr>
          <w:rFonts w:hint="eastAsia" w:eastAsia="仿宋_GB2312" w:cs="Times New Roman"/>
          <w:sz w:val="32"/>
          <w:szCs w:val="32"/>
          <w:highlight w:val="none"/>
          <w:lang w:eastAsia="zh-CN"/>
        </w:rPr>
        <w:t>，实际完成值：</w:t>
      </w:r>
      <w:r>
        <w:rPr>
          <w:rFonts w:hint="eastAsia" w:eastAsia="仿宋_GB2312" w:cs="Times New Roman"/>
          <w:sz w:val="32"/>
          <w:szCs w:val="32"/>
          <w:highlight w:val="none"/>
          <w:lang w:val="en-US" w:eastAsia="zh-CN"/>
        </w:rPr>
        <w:t>90%</w:t>
      </w:r>
      <w:r>
        <w:rPr>
          <w:rFonts w:hint="eastAsia" w:eastAsia="仿宋_GB2312" w:cs="Times New Roman"/>
          <w:sz w:val="32"/>
          <w:szCs w:val="32"/>
          <w:highlight w:val="none"/>
          <w:lang w:eastAsia="zh-CN"/>
        </w:rPr>
        <w:t>，指标完成率：</w:t>
      </w:r>
      <w:r>
        <w:rPr>
          <w:rFonts w:hint="eastAsia" w:eastAsia="仿宋_GB2312" w:cs="Times New Roman"/>
          <w:sz w:val="32"/>
          <w:szCs w:val="32"/>
          <w:highlight w:val="none"/>
          <w:lang w:val="en-US" w:eastAsia="zh-CN"/>
        </w:rPr>
        <w:t>100%，偏差原因：无。</w:t>
      </w:r>
      <w:r>
        <w:rPr>
          <w:rFonts w:hint="eastAsia" w:eastAsia="仿宋_GB2312" w:cs="Times New Roman"/>
          <w:sz w:val="32"/>
          <w:szCs w:val="32"/>
          <w:highlight w:val="none"/>
          <w:lang w:eastAsia="zh-CN"/>
        </w:rPr>
        <w:t>通过设置问卷调查的方式进行考评评价，共计调查样本总量为</w:t>
      </w:r>
      <w:r>
        <w:rPr>
          <w:rFonts w:hint="eastAsia" w:eastAsia="仿宋_GB2312" w:cs="Times New Roman"/>
          <w:sz w:val="32"/>
          <w:szCs w:val="32"/>
          <w:highlight w:val="none"/>
          <w:lang w:val="en-US" w:eastAsia="zh-CN"/>
        </w:rPr>
        <w:t>30个样本，有效调查问卷30份，其中统计“</w:t>
      </w:r>
      <w:r>
        <w:rPr>
          <w:rFonts w:hint="eastAsia" w:eastAsia="仿宋_GB2312" w:cs="Times New Roman"/>
          <w:sz w:val="32"/>
          <w:szCs w:val="32"/>
          <w:highlight w:val="none"/>
          <w:lang w:eastAsia="zh-CN"/>
        </w:rPr>
        <w:t>群众满意度</w:t>
      </w:r>
      <w:r>
        <w:rPr>
          <w:rFonts w:hint="eastAsia" w:eastAsia="仿宋_GB2312" w:cs="Times New Roman"/>
          <w:sz w:val="32"/>
          <w:szCs w:val="32"/>
          <w:highlight w:val="none"/>
          <w:lang w:val="en-US" w:eastAsia="zh-CN"/>
        </w:rPr>
        <w:t>”的平均值为100%。</w:t>
      </w:r>
    </w:p>
    <w:p w14:paraId="7A31BF71">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29BFE9AC">
      <w:pPr>
        <w:pStyle w:val="19"/>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hint="default" w:ascii="Times New Roman" w:hAnsi="Times New Roman" w:eastAsia="仿宋_GB2312" w:cs="Times New Roman"/>
          <w:kern w:val="2"/>
          <w:sz w:val="32"/>
          <w:szCs w:val="32"/>
          <w:highlight w:val="yellow"/>
          <w:lang w:val="en-US" w:eastAsia="zh-CN" w:bidi="ar-SA"/>
        </w:rPr>
      </w:pPr>
      <w:r>
        <w:rPr>
          <w:rFonts w:hint="default" w:ascii="Times New Roman" w:hAnsi="Times New Roman" w:eastAsia="仿宋_GB2312" w:cs="Times New Roman"/>
          <w:kern w:val="2"/>
          <w:sz w:val="32"/>
          <w:szCs w:val="32"/>
          <w:lang w:val="en-US" w:eastAsia="zh-CN" w:bidi="ar-SA"/>
        </w:rPr>
        <w:t>乌财建【202】78号关于下达2021年保障性安居工程第二批中央基建投资预算（2022年以前结转再安排）项目年初预算1</w:t>
      </w:r>
      <w:r>
        <w:rPr>
          <w:rFonts w:hint="eastAsia" w:eastAsia="仿宋_GB2312" w:cs="Times New Roman"/>
          <w:kern w:val="2"/>
          <w:sz w:val="32"/>
          <w:szCs w:val="32"/>
          <w:lang w:val="en-US" w:eastAsia="zh-CN" w:bidi="ar-SA"/>
        </w:rPr>
        <w:t>11800</w:t>
      </w:r>
      <w:r>
        <w:rPr>
          <w:rFonts w:hint="default" w:ascii="Times New Roman" w:hAnsi="Times New Roman" w:eastAsia="仿宋_GB2312" w:cs="Times New Roman"/>
          <w:kern w:val="2"/>
          <w:sz w:val="32"/>
          <w:szCs w:val="32"/>
          <w:lang w:val="en-US" w:eastAsia="zh-CN" w:bidi="ar-SA"/>
        </w:rPr>
        <w:t>万元，全年预算10009.95万元，实际支出10009.95万元，预算执行率为</w:t>
      </w:r>
      <w:r>
        <w:rPr>
          <w:rFonts w:hint="eastAsia" w:ascii="Times New Roman" w:hAnsi="Times New Roman" w:eastAsia="仿宋_GB2312" w:cs="Times New Roman"/>
          <w:kern w:val="2"/>
          <w:sz w:val="32"/>
          <w:szCs w:val="32"/>
          <w:highlight w:val="none"/>
          <w:lang w:val="en-US" w:eastAsia="zh-CN" w:bidi="ar-SA"/>
        </w:rPr>
        <w:t>100</w:t>
      </w:r>
      <w:r>
        <w:rPr>
          <w:rFonts w:hint="default" w:ascii="Times New Roman" w:hAnsi="Times New Roman" w:eastAsia="仿宋_GB2312" w:cs="Times New Roman"/>
          <w:kern w:val="2"/>
          <w:sz w:val="32"/>
          <w:szCs w:val="32"/>
          <w:highlight w:val="none"/>
          <w:lang w:val="en-US" w:eastAsia="zh-CN" w:bidi="ar-SA"/>
        </w:rPr>
        <w:t>%，项目绩效指标总体完成率为</w:t>
      </w:r>
      <w:r>
        <w:rPr>
          <w:rFonts w:hint="eastAsia" w:eastAsia="仿宋_GB2312" w:cs="Times New Roman"/>
          <w:kern w:val="2"/>
          <w:sz w:val="32"/>
          <w:szCs w:val="32"/>
          <w:highlight w:val="none"/>
          <w:lang w:val="en-US" w:eastAsia="zh-CN" w:bidi="ar-SA"/>
        </w:rPr>
        <w:t>99.8</w:t>
      </w:r>
      <w:r>
        <w:rPr>
          <w:rFonts w:hint="default"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偏差率为0.2%。偏差原因是：部分数量指标</w:t>
      </w:r>
      <w:r>
        <w:rPr>
          <w:rFonts w:hint="eastAsia" w:eastAsia="仿宋_GB2312" w:cs="Times New Roman"/>
          <w:color w:val="auto"/>
          <w:sz w:val="32"/>
          <w:szCs w:val="32"/>
          <w:highlight w:val="none"/>
          <w:lang w:eastAsia="zh-CN"/>
        </w:rPr>
        <w:t>指标值是按立项批复进行设置，与实际完成值存在差异</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在今后将参照近三年实际完成情况更加精准的去设置指标值。</w:t>
      </w:r>
    </w:p>
    <w:p w14:paraId="4B4F080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黑体" w:cs="Times New Roman"/>
          <w:sz w:val="32"/>
          <w:szCs w:val="32"/>
        </w:rPr>
        <w:t>主要经验及做法、存在的问题及原因分析</w:t>
      </w:r>
    </w:p>
    <w:p w14:paraId="1925F0A2">
      <w:pPr>
        <w:keepNext w:val="0"/>
        <w:keepLines w:val="0"/>
        <w:pageBreakBefore w:val="0"/>
        <w:widowControl w:val="0"/>
        <w:kinsoku/>
        <w:wordWrap w:val="0"/>
        <w:overflowPunct/>
        <w:topLinePunct/>
        <w:autoSpaceDE/>
        <w:autoSpaceDN/>
        <w:bidi w:val="0"/>
        <w:adjustRightInd/>
        <w:snapToGrid/>
        <w:spacing w:line="560" w:lineRule="exact"/>
        <w:ind w:firstLine="627" w:firstLineChars="200"/>
        <w:textAlignment w:val="auto"/>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28DE396C">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5C191853">
      <w:pPr>
        <w:pStyle w:val="10"/>
        <w:keepNext w:val="0"/>
        <w:keepLines w:val="0"/>
        <w:pageBreakBefore w:val="0"/>
        <w:widowControl w:val="0"/>
        <w:kinsoku/>
        <w:wordWrap w:val="0"/>
        <w:overflowPunct/>
        <w:topLinePunct/>
        <w:autoSpaceDE/>
        <w:autoSpaceDN/>
        <w:bidi w:val="0"/>
        <w:adjustRightInd/>
        <w:snapToGrid/>
        <w:spacing w:before="0" w:after="0" w:line="560" w:lineRule="exact"/>
        <w:ind w:firstLine="640" w:firstLineChars="200"/>
        <w:jc w:val="left"/>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严格坚持先做事、后验收、再拨付的原则，</w:t>
      </w:r>
      <w:r>
        <w:rPr>
          <w:rFonts w:hint="eastAsia" w:ascii="Times New Roman" w:hAnsi="Times New Roman" w:eastAsia="仿宋_GB2312" w:cs="Times New Roman"/>
          <w:b w:val="0"/>
          <w:bCs w:val="0"/>
          <w:kern w:val="2"/>
          <w:lang w:eastAsia="zh-CN"/>
        </w:rPr>
        <w:t>杜绝</w:t>
      </w:r>
      <w:r>
        <w:rPr>
          <w:rFonts w:hint="default" w:ascii="Times New Roman" w:hAnsi="Times New Roman" w:eastAsia="仿宋_GB2312" w:cs="Times New Roman"/>
          <w:b w:val="0"/>
          <w:bCs w:val="0"/>
          <w:kern w:val="2"/>
        </w:rPr>
        <w:t>了资金被挤占和挪用现象的发生，跟踪检查到位。</w:t>
      </w:r>
      <w:r>
        <w:rPr>
          <w:rFonts w:hint="eastAsia" w:ascii="Times New Roman" w:hAnsi="Times New Roman" w:eastAsia="仿宋_GB2312" w:cs="Times New Roman"/>
          <w:b w:val="0"/>
          <w:bCs w:val="0"/>
          <w:kern w:val="2"/>
          <w:lang w:eastAsia="zh-CN"/>
        </w:rPr>
        <w:t>对</w:t>
      </w:r>
      <w:r>
        <w:rPr>
          <w:rFonts w:hint="default" w:ascii="Times New Roman" w:hAnsi="Times New Roman" w:eastAsia="仿宋_GB2312" w:cs="Times New Roman"/>
          <w:b w:val="0"/>
          <w:bCs w:val="0"/>
          <w:kern w:val="2"/>
        </w:rPr>
        <w:t>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1A1E70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eastAsia" w:eastAsia="楷体_GB2312" w:cs="Times New Roman"/>
          <w:b/>
          <w:bCs/>
          <w:sz w:val="32"/>
          <w:szCs w:val="32"/>
          <w:lang w:eastAsia="zh-CN"/>
        </w:rPr>
        <w:t>（</w:t>
      </w:r>
      <w:r>
        <w:rPr>
          <w:rFonts w:hint="eastAsia" w:eastAsia="楷体_GB2312" w:cs="Times New Roman"/>
          <w:b/>
          <w:bCs/>
          <w:sz w:val="32"/>
          <w:szCs w:val="32"/>
          <w:lang w:val="en-US" w:eastAsia="zh-CN"/>
        </w:rPr>
        <w:t>二</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rPr>
        <w:t>存在的问题及原因分析</w:t>
      </w:r>
    </w:p>
    <w:p w14:paraId="19398E2B">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40CFE63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rPr>
        <w:t>有关建议</w:t>
      </w:r>
    </w:p>
    <w:p w14:paraId="74BCDD8E">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3980600B">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4CB096D9">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0043A246">
      <w:pPr>
        <w:keepNext w:val="0"/>
        <w:keepLines w:val="0"/>
        <w:pageBreakBefore w:val="0"/>
        <w:widowControl w:val="0"/>
        <w:shd w:val="clear"/>
        <w:kinsoku/>
        <w:wordWrap w:val="0"/>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cs="Times New Roman"/>
          <w:sz w:val="22"/>
          <w:szCs w:val="28"/>
        </w:rPr>
      </w:pPr>
      <w:r>
        <w:rPr>
          <w:rFonts w:hint="default" w:ascii="Times New Roman" w:hAnsi="Times New Roman" w:eastAsia="仿宋_GB2312" w:cs="Times New Roman"/>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default" w:ascii="Times New Roman" w:hAnsi="Times New Roman" w:eastAsia="仿宋_GB2312" w:cs="Times New Roman"/>
          <w:sz w:val="36"/>
          <w:szCs w:val="32"/>
        </w:rPr>
        <w:t>。</w:t>
      </w:r>
    </w:p>
    <w:p w14:paraId="765F9FA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黑体" w:cs="Times New Roman"/>
          <w:sz w:val="32"/>
          <w:szCs w:val="32"/>
          <w:lang w:val="en-US" w:eastAsia="zh-CN"/>
        </w:rPr>
      </w:pPr>
    </w:p>
    <w:p w14:paraId="7A6C41C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黑体" w:cs="Times New Roman"/>
          <w:sz w:val="32"/>
          <w:szCs w:val="32"/>
          <w:lang w:val="en-US" w:eastAsia="zh-CN"/>
        </w:rPr>
      </w:pPr>
    </w:p>
    <w:p w14:paraId="24CDC74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黑体" w:cs="Times New Roman"/>
          <w:sz w:val="32"/>
          <w:szCs w:val="32"/>
          <w:lang w:val="en-US" w:eastAsia="zh-CN"/>
        </w:rPr>
      </w:pPr>
    </w:p>
    <w:p w14:paraId="1466C0F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黑体" w:cs="Times New Roman"/>
          <w:sz w:val="32"/>
          <w:szCs w:val="32"/>
          <w:lang w:val="en-US" w:eastAsia="zh-CN"/>
        </w:rPr>
      </w:pPr>
    </w:p>
    <w:p w14:paraId="3E09D359">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黑体" w:cs="Times New Roman"/>
          <w:sz w:val="32"/>
          <w:szCs w:val="32"/>
        </w:rPr>
        <w:t>其他需要说</w:t>
      </w:r>
      <w:bookmarkStart w:id="14" w:name="page8"/>
      <w:bookmarkEnd w:id="14"/>
      <w:r>
        <w:rPr>
          <w:rFonts w:hint="default" w:ascii="Times New Roman" w:hAnsi="Times New Roman" w:eastAsia="黑体" w:cs="Times New Roman"/>
          <w:sz w:val="32"/>
          <w:szCs w:val="32"/>
        </w:rPr>
        <w:t>明的问题</w:t>
      </w:r>
    </w:p>
    <w:p w14:paraId="15AE956C">
      <w:pPr>
        <w:pStyle w:val="13"/>
        <w:spacing w:after="0" w:line="560" w:lineRule="exact"/>
        <w:ind w:left="0" w:leftChars="0"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1.项目支出政策和路径设计科学，符合实际需要；</w:t>
      </w:r>
    </w:p>
    <w:p w14:paraId="419F68DD">
      <w:pPr>
        <w:pStyle w:val="13"/>
        <w:spacing w:after="0" w:line="560" w:lineRule="exact"/>
        <w:ind w:left="0" w:leftChars="0"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2.项目安排准确，未发现背离项目立项初衷的情况；</w:t>
      </w:r>
    </w:p>
    <w:p w14:paraId="37F1ABE4">
      <w:pPr>
        <w:pStyle w:val="13"/>
        <w:spacing w:after="0" w:line="560" w:lineRule="exact"/>
        <w:ind w:left="0" w:leftChars="0"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3.项目的申报、审核机制完善；</w:t>
      </w:r>
    </w:p>
    <w:p w14:paraId="30CE09D2">
      <w:pPr>
        <w:pStyle w:val="13"/>
        <w:spacing w:after="0" w:line="560" w:lineRule="exact"/>
        <w:ind w:left="0" w:leftChars="0"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4.未发现虚假行为和骗取财政资金的问题。</w:t>
      </w:r>
    </w:p>
    <w:p w14:paraId="20C8EA94">
      <w:pPr>
        <w:pStyle w:val="13"/>
        <w:spacing w:after="0" w:line="560" w:lineRule="exact"/>
        <w:ind w:left="0" w:leftChars="0" w:firstLine="0" w:firstLineChars="0"/>
        <w:rPr>
          <w:rFonts w:hint="default" w:ascii="Times New Roman" w:hAnsi="Times New Roman" w:eastAsia="仿宋_GB2312" w:cs="Times New Roman"/>
          <w:sz w:val="32"/>
          <w:szCs w:val="32"/>
        </w:rPr>
      </w:pPr>
    </w:p>
    <w:p w14:paraId="2311A916">
      <w:pPr>
        <w:pStyle w:val="13"/>
        <w:spacing w:after="0" w:line="560" w:lineRule="exact"/>
        <w:ind w:left="0" w:leftChars="0" w:firstLine="0" w:firstLineChars="0"/>
        <w:rPr>
          <w:rFonts w:hint="default" w:ascii="Times New Roman" w:hAnsi="Times New Roman" w:eastAsia="仿宋_GB2312" w:cs="Times New Roman"/>
          <w:sz w:val="32"/>
          <w:szCs w:val="32"/>
        </w:rPr>
      </w:pPr>
    </w:p>
    <w:p w14:paraId="516A06FB">
      <w:pPr>
        <w:spacing w:line="600" w:lineRule="exact"/>
        <w:rPr>
          <w:rFonts w:hint="eastAsia" w:ascii="Times New Roman" w:hAnsi="Times New Roman" w:eastAsia="黑体" w:cs="Times New Roman"/>
          <w:sz w:val="32"/>
          <w:szCs w:val="32"/>
          <w:lang w:val="en-US" w:eastAsia="zh-CN"/>
        </w:rPr>
        <w:sectPr>
          <w:pgSz w:w="11906" w:h="16838"/>
          <w:pgMar w:top="2098" w:right="1531" w:bottom="1984" w:left="1531" w:header="851" w:footer="992" w:gutter="0"/>
          <w:pgNumType w:start="1"/>
          <w:cols w:space="425" w:num="1"/>
          <w:docGrid w:type="lines" w:linePitch="312" w:charSpace="0"/>
        </w:sectPr>
      </w:pPr>
    </w:p>
    <w:p w14:paraId="73460131">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070BAC3D">
      <w:pPr>
        <w:pStyle w:val="19"/>
        <w:ind w:firstLine="562"/>
        <w:jc w:val="center"/>
        <w:rPr>
          <w:rFonts w:hint="eastAsia" w:ascii="仿宋_GB2312" w:hAnsi="仿宋_GB2312" w:eastAsia="仿宋_GB2312" w:cs="仿宋_GB2312"/>
          <w:sz w:val="28"/>
          <w:szCs w:val="40"/>
        </w:rPr>
      </w:pPr>
      <w:bookmarkStart w:id="15" w:name="_Toc26499_WPSOffice_Level2"/>
      <w:bookmarkStart w:id="16" w:name="_Toc30064_WPSOffice_Level1"/>
      <w:r>
        <w:rPr>
          <w:rFonts w:hint="eastAsia" w:ascii="仿宋_GB2312" w:hAnsi="仿宋_GB2312" w:eastAsia="仿宋_GB2312" w:cs="仿宋_GB2312"/>
          <w:b/>
          <w:bCs/>
          <w:sz w:val="28"/>
          <w:szCs w:val="40"/>
          <w:lang w:val="en-US" w:eastAsia="zh-CN"/>
        </w:rPr>
        <w:t>乌财建【202】78号关于下达2021年保障性安居工程第二批中央基建投资预算（2022年以前结转再安排）</w:t>
      </w:r>
      <w:r>
        <w:rPr>
          <w:rFonts w:hint="eastAsia" w:ascii="仿宋_GB2312" w:hAnsi="仿宋_GB2312" w:eastAsia="仿宋_GB2312" w:cs="仿宋_GB2312"/>
          <w:b/>
          <w:bCs/>
          <w:sz w:val="28"/>
          <w:szCs w:val="40"/>
        </w:rPr>
        <w:t>项目绩效评价指标体系及综合评分表</w:t>
      </w:r>
      <w:bookmarkEnd w:id="15"/>
      <w:bookmarkEnd w:id="16"/>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73061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296BEB9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0577DC5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18D3FD8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5" w:type="dxa"/>
            <w:shd w:val="clear" w:color="auto" w:fill="FFFFFF"/>
            <w:vAlign w:val="center"/>
          </w:tcPr>
          <w:p w14:paraId="3461367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6802FF4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4" w:type="dxa"/>
            <w:gridSpan w:val="2"/>
            <w:shd w:val="clear" w:color="auto" w:fill="FFFFFF"/>
            <w:vAlign w:val="center"/>
          </w:tcPr>
          <w:p w14:paraId="17C0B40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5" w:type="dxa"/>
            <w:shd w:val="clear" w:color="auto" w:fill="FFFFFF"/>
            <w:vAlign w:val="center"/>
          </w:tcPr>
          <w:p w14:paraId="7540CF6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0EE68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4E7BA68E">
            <w:pPr>
              <w:widowControl/>
              <w:spacing w:line="0" w:lineRule="atLeast"/>
              <w:jc w:val="center"/>
              <w:rPr>
                <w:rFonts w:hint="default" w:ascii="Times New Roman" w:hAnsi="Times New Roman" w:eastAsia="仿宋_GB2312" w:cs="Times New Roman"/>
                <w:color w:val="000000"/>
                <w:kern w:val="0"/>
                <w:sz w:val="18"/>
                <w:szCs w:val="18"/>
              </w:rPr>
            </w:pPr>
          </w:p>
          <w:p w14:paraId="3F6438A3">
            <w:pPr>
              <w:widowControl/>
              <w:spacing w:line="0" w:lineRule="atLeast"/>
              <w:jc w:val="center"/>
              <w:rPr>
                <w:rFonts w:hint="default" w:ascii="Times New Roman" w:hAnsi="Times New Roman" w:eastAsia="仿宋_GB2312" w:cs="Times New Roman"/>
                <w:color w:val="000000"/>
                <w:kern w:val="0"/>
                <w:sz w:val="18"/>
                <w:szCs w:val="18"/>
              </w:rPr>
            </w:pPr>
          </w:p>
          <w:p w14:paraId="687F7DD3">
            <w:pPr>
              <w:widowControl/>
              <w:spacing w:line="0" w:lineRule="atLeast"/>
              <w:jc w:val="center"/>
              <w:rPr>
                <w:rFonts w:hint="default" w:ascii="Times New Roman" w:hAnsi="Times New Roman" w:eastAsia="仿宋_GB2312" w:cs="Times New Roman"/>
                <w:color w:val="000000"/>
                <w:kern w:val="0"/>
                <w:sz w:val="18"/>
                <w:szCs w:val="18"/>
              </w:rPr>
            </w:pPr>
          </w:p>
          <w:p w14:paraId="5C7B1FAD">
            <w:pPr>
              <w:widowControl/>
              <w:spacing w:line="0" w:lineRule="atLeast"/>
              <w:jc w:val="center"/>
              <w:rPr>
                <w:rFonts w:hint="default" w:ascii="Times New Roman" w:hAnsi="Times New Roman" w:eastAsia="仿宋_GB2312" w:cs="Times New Roman"/>
                <w:color w:val="000000"/>
                <w:kern w:val="0"/>
                <w:sz w:val="18"/>
                <w:szCs w:val="18"/>
              </w:rPr>
            </w:pPr>
          </w:p>
          <w:p w14:paraId="6528CA6A">
            <w:pPr>
              <w:widowControl/>
              <w:spacing w:line="0" w:lineRule="atLeast"/>
              <w:jc w:val="center"/>
              <w:rPr>
                <w:rFonts w:hint="default" w:ascii="Times New Roman" w:hAnsi="Times New Roman" w:eastAsia="仿宋_GB2312" w:cs="Times New Roman"/>
                <w:color w:val="000000"/>
                <w:kern w:val="0"/>
                <w:sz w:val="18"/>
                <w:szCs w:val="18"/>
              </w:rPr>
            </w:pPr>
          </w:p>
          <w:p w14:paraId="26613A99">
            <w:pPr>
              <w:widowControl/>
              <w:spacing w:line="0" w:lineRule="atLeast"/>
              <w:jc w:val="center"/>
              <w:rPr>
                <w:rFonts w:hint="default" w:ascii="Times New Roman" w:hAnsi="Times New Roman" w:eastAsia="仿宋_GB2312" w:cs="Times New Roman"/>
                <w:color w:val="000000"/>
                <w:kern w:val="0"/>
                <w:sz w:val="18"/>
                <w:szCs w:val="18"/>
              </w:rPr>
            </w:pPr>
          </w:p>
          <w:p w14:paraId="1A0C553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3CAD2E7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6CEC716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73DEF43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5" w:type="dxa"/>
            <w:shd w:val="clear" w:color="auto" w:fill="FFFFFF"/>
            <w:vAlign w:val="center"/>
          </w:tcPr>
          <w:p w14:paraId="4062AAB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CFF06B4">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①项目立项是否符合国家法律法规、国民经济发展规划和相关政策；</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②项目立项是否符合行业发展规划和政策要求；</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③项目立项是否与部门职责范围相符，属于部门履职所需；</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4" w:type="dxa"/>
            <w:gridSpan w:val="2"/>
            <w:shd w:val="clear" w:color="auto" w:fill="FFFFFF"/>
            <w:vAlign w:val="center"/>
          </w:tcPr>
          <w:p w14:paraId="579243C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auto" w:fill="FFFFFF"/>
            <w:vAlign w:val="center"/>
          </w:tcPr>
          <w:p w14:paraId="2DEAAB3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143B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7346864B">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586E779A">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67561B7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3697E4F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5" w:type="dxa"/>
            <w:shd w:val="clear" w:color="auto" w:fill="FFFFFF"/>
            <w:vAlign w:val="center"/>
          </w:tcPr>
          <w:p w14:paraId="050E568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30AA5729">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①项目是否按照规定的程序申请设立；</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②审批文件、材料是否符合相关要求；</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4" w:type="dxa"/>
            <w:gridSpan w:val="2"/>
            <w:shd w:val="clear" w:color="auto" w:fill="FFFFFF"/>
            <w:vAlign w:val="center"/>
          </w:tcPr>
          <w:p w14:paraId="48524AB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auto" w:fill="FFFFFF"/>
            <w:vAlign w:val="center"/>
          </w:tcPr>
          <w:p w14:paraId="7B143A6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7EDE1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11B6AF50">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7069B5B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5D6F4AF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6B31944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5" w:type="dxa"/>
            <w:shd w:val="clear" w:color="000000" w:fill="FFFFFF"/>
            <w:vAlign w:val="center"/>
          </w:tcPr>
          <w:p w14:paraId="4AAB9B2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5FD75C87">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（如未设定预算绩效目标，也可考核其他工作任务目标）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①项目是否有绩效目标；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②项目绩效目标与实际工作内容是否具有相关性；</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③项目预期产出效益和效果是否符合正常的业绩水平；</w:t>
            </w:r>
          </w:p>
          <w:p w14:paraId="7EB98DA0">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4" w:type="dxa"/>
            <w:gridSpan w:val="2"/>
            <w:shd w:val="clear" w:color="000000" w:fill="FFFFFF"/>
            <w:vAlign w:val="center"/>
          </w:tcPr>
          <w:p w14:paraId="1AB853A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000000" w:fill="FFFFFF"/>
            <w:vAlign w:val="center"/>
          </w:tcPr>
          <w:p w14:paraId="1B2C871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6052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7A80B5EA">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54FF7D8F">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22AC255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0C64631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5" w:type="dxa"/>
            <w:shd w:val="clear" w:color="000000" w:fill="FFFFFF"/>
            <w:vAlign w:val="center"/>
          </w:tcPr>
          <w:p w14:paraId="4CC1E26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4F3A3BD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①是否将项目绩效目标细化分解为具体的绩效指标；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②是否通过清晰、可衡量的指标值予以体现；</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③是否与项目目标任务数或计划数相对应。</w:t>
            </w:r>
            <w:r>
              <w:rPr>
                <w:rFonts w:hint="default" w:ascii="Times New Roman" w:hAnsi="Times New Roman" w:eastAsia="仿宋_GB2312" w:cs="Times New Roman"/>
                <w:color w:val="000000"/>
                <w:kern w:val="0"/>
                <w:sz w:val="18"/>
                <w:szCs w:val="18"/>
              </w:rPr>
              <w:br w:type="textWrapping"/>
            </w:r>
          </w:p>
        </w:tc>
        <w:tc>
          <w:tcPr>
            <w:tcW w:w="1304" w:type="dxa"/>
            <w:gridSpan w:val="2"/>
            <w:shd w:val="clear" w:color="000000" w:fill="FFFFFF"/>
            <w:vAlign w:val="center"/>
          </w:tcPr>
          <w:p w14:paraId="62B2C60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000000" w:fill="FFFFFF"/>
            <w:vAlign w:val="center"/>
          </w:tcPr>
          <w:p w14:paraId="0721405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66ED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18DA335E">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4AB46F0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11D7204C">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4B45AB6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1A7D2FE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5" w:type="dxa"/>
            <w:shd w:val="clear" w:color="auto" w:fill="FFFFFF"/>
            <w:vAlign w:val="center"/>
          </w:tcPr>
          <w:p w14:paraId="26E1884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14EC04C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①预算编制是否经过科学论证；</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②预算内容与项目内容是否匹配；</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③预算额度测算依据是否充分，是否按照标准编制；</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4" w:type="dxa"/>
            <w:gridSpan w:val="2"/>
            <w:shd w:val="clear" w:color="auto" w:fill="FFFFFF"/>
            <w:vAlign w:val="center"/>
          </w:tcPr>
          <w:p w14:paraId="4230662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14:paraId="5DD9C0C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5B95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1E2A67E9">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47A0BB0F">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7E7CF75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5D285F7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5" w:type="dxa"/>
            <w:shd w:val="clear" w:color="auto" w:fill="FFFFFF"/>
            <w:vAlign w:val="center"/>
          </w:tcPr>
          <w:p w14:paraId="1406AE9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1BF9273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①预算资金分配依据是否充分；</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4" w:type="dxa"/>
            <w:gridSpan w:val="2"/>
            <w:shd w:val="clear" w:color="auto" w:fill="FFFFFF"/>
            <w:vAlign w:val="center"/>
          </w:tcPr>
          <w:p w14:paraId="015E62D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14:paraId="3017AAB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EFDC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46307F17">
            <w:pPr>
              <w:spacing w:line="0" w:lineRule="atLeast"/>
              <w:jc w:val="center"/>
              <w:rPr>
                <w:rFonts w:hint="default" w:ascii="Times New Roman" w:hAnsi="Times New Roman" w:eastAsia="仿宋_GB2312" w:cs="Times New Roman"/>
                <w:color w:val="000000"/>
                <w:kern w:val="0"/>
                <w:sz w:val="18"/>
                <w:szCs w:val="18"/>
              </w:rPr>
            </w:pPr>
          </w:p>
          <w:p w14:paraId="5570ACA2">
            <w:pPr>
              <w:spacing w:line="0" w:lineRule="atLeast"/>
              <w:jc w:val="center"/>
              <w:rPr>
                <w:rFonts w:hint="default" w:ascii="Times New Roman" w:hAnsi="Times New Roman" w:eastAsia="仿宋_GB2312" w:cs="Times New Roman"/>
                <w:color w:val="000000"/>
                <w:kern w:val="0"/>
                <w:sz w:val="18"/>
                <w:szCs w:val="18"/>
              </w:rPr>
            </w:pPr>
          </w:p>
          <w:p w14:paraId="1F32DC1D">
            <w:pPr>
              <w:spacing w:line="0" w:lineRule="atLeast"/>
              <w:jc w:val="center"/>
              <w:rPr>
                <w:rFonts w:hint="default" w:ascii="Times New Roman" w:hAnsi="Times New Roman" w:eastAsia="仿宋_GB2312" w:cs="Times New Roman"/>
                <w:color w:val="000000"/>
                <w:kern w:val="0"/>
                <w:sz w:val="18"/>
                <w:szCs w:val="18"/>
              </w:rPr>
            </w:pPr>
          </w:p>
          <w:p w14:paraId="4459AA4F">
            <w:pPr>
              <w:spacing w:line="0" w:lineRule="atLeast"/>
              <w:jc w:val="center"/>
              <w:rPr>
                <w:rFonts w:hint="default" w:ascii="Times New Roman" w:hAnsi="Times New Roman" w:eastAsia="仿宋_GB2312" w:cs="Times New Roman"/>
                <w:color w:val="000000"/>
                <w:kern w:val="0"/>
                <w:sz w:val="18"/>
                <w:szCs w:val="18"/>
              </w:rPr>
            </w:pPr>
          </w:p>
          <w:p w14:paraId="01A5116A">
            <w:pPr>
              <w:spacing w:line="0" w:lineRule="atLeast"/>
              <w:jc w:val="center"/>
              <w:rPr>
                <w:rFonts w:hint="default" w:ascii="Times New Roman" w:hAnsi="Times New Roman" w:eastAsia="仿宋_GB2312" w:cs="Times New Roman"/>
                <w:color w:val="000000"/>
                <w:kern w:val="0"/>
                <w:sz w:val="18"/>
                <w:szCs w:val="18"/>
              </w:rPr>
            </w:pPr>
          </w:p>
          <w:p w14:paraId="6FF6E7EC">
            <w:pPr>
              <w:spacing w:line="0" w:lineRule="atLeast"/>
              <w:jc w:val="center"/>
              <w:rPr>
                <w:rFonts w:hint="default" w:ascii="Times New Roman" w:hAnsi="Times New Roman" w:eastAsia="仿宋_GB2312" w:cs="Times New Roman"/>
                <w:color w:val="000000"/>
                <w:kern w:val="0"/>
                <w:sz w:val="18"/>
                <w:szCs w:val="18"/>
              </w:rPr>
            </w:pPr>
          </w:p>
          <w:p w14:paraId="540C30A4">
            <w:pPr>
              <w:spacing w:line="0" w:lineRule="atLeast"/>
              <w:jc w:val="center"/>
              <w:rPr>
                <w:rFonts w:hint="default" w:ascii="Times New Roman" w:hAnsi="Times New Roman" w:eastAsia="仿宋_GB2312" w:cs="Times New Roman"/>
                <w:color w:val="000000"/>
                <w:kern w:val="0"/>
                <w:sz w:val="18"/>
                <w:szCs w:val="18"/>
              </w:rPr>
            </w:pPr>
          </w:p>
          <w:p w14:paraId="14CE6CFD">
            <w:pPr>
              <w:spacing w:line="0" w:lineRule="atLeast"/>
              <w:jc w:val="center"/>
              <w:rPr>
                <w:rFonts w:hint="default" w:ascii="Times New Roman" w:hAnsi="Times New Roman" w:eastAsia="仿宋_GB2312" w:cs="Times New Roman"/>
                <w:color w:val="000000"/>
                <w:kern w:val="0"/>
                <w:sz w:val="18"/>
                <w:szCs w:val="18"/>
              </w:rPr>
            </w:pPr>
          </w:p>
          <w:p w14:paraId="357877BD">
            <w:pPr>
              <w:spacing w:line="0" w:lineRule="atLeast"/>
              <w:jc w:val="center"/>
              <w:rPr>
                <w:rFonts w:hint="default" w:ascii="Times New Roman" w:hAnsi="Times New Roman" w:eastAsia="仿宋_GB2312" w:cs="Times New Roman"/>
                <w:color w:val="000000"/>
                <w:kern w:val="0"/>
                <w:sz w:val="18"/>
                <w:szCs w:val="18"/>
              </w:rPr>
            </w:pPr>
          </w:p>
          <w:p w14:paraId="6D54AC90">
            <w:pPr>
              <w:spacing w:line="0" w:lineRule="atLeast"/>
              <w:jc w:val="center"/>
              <w:rPr>
                <w:rFonts w:hint="default" w:ascii="Times New Roman" w:hAnsi="Times New Roman" w:eastAsia="仿宋_GB2312" w:cs="Times New Roman"/>
                <w:color w:val="000000"/>
                <w:kern w:val="0"/>
                <w:sz w:val="18"/>
                <w:szCs w:val="18"/>
              </w:rPr>
            </w:pPr>
          </w:p>
          <w:p w14:paraId="56DFCFAA">
            <w:pPr>
              <w:spacing w:line="0" w:lineRule="atLeast"/>
              <w:jc w:val="center"/>
              <w:rPr>
                <w:rFonts w:hint="default" w:ascii="Times New Roman" w:hAnsi="Times New Roman" w:eastAsia="仿宋_GB2312" w:cs="Times New Roman"/>
                <w:color w:val="000000"/>
                <w:kern w:val="0"/>
                <w:sz w:val="18"/>
                <w:szCs w:val="18"/>
              </w:rPr>
            </w:pPr>
          </w:p>
          <w:p w14:paraId="02A33B91">
            <w:pPr>
              <w:spacing w:line="0" w:lineRule="atLeast"/>
              <w:jc w:val="center"/>
              <w:rPr>
                <w:rFonts w:hint="default" w:ascii="Times New Roman" w:hAnsi="Times New Roman" w:eastAsia="仿宋_GB2312" w:cs="Times New Roman"/>
                <w:color w:val="000000"/>
                <w:kern w:val="0"/>
                <w:sz w:val="18"/>
                <w:szCs w:val="18"/>
              </w:rPr>
            </w:pPr>
          </w:p>
          <w:p w14:paraId="73D2ED61">
            <w:pPr>
              <w:spacing w:line="0" w:lineRule="atLeast"/>
              <w:jc w:val="center"/>
              <w:rPr>
                <w:rFonts w:hint="default" w:ascii="Times New Roman" w:hAnsi="Times New Roman" w:eastAsia="仿宋_GB2312" w:cs="Times New Roman"/>
                <w:color w:val="000000"/>
                <w:kern w:val="0"/>
                <w:sz w:val="18"/>
                <w:szCs w:val="18"/>
              </w:rPr>
            </w:pPr>
          </w:p>
          <w:p w14:paraId="4EDEDF8D">
            <w:pPr>
              <w:spacing w:line="0" w:lineRule="atLeast"/>
              <w:jc w:val="center"/>
              <w:rPr>
                <w:rFonts w:hint="default" w:ascii="Times New Roman" w:hAnsi="Times New Roman" w:eastAsia="仿宋_GB2312" w:cs="Times New Roman"/>
                <w:color w:val="000000"/>
                <w:kern w:val="0"/>
                <w:sz w:val="18"/>
                <w:szCs w:val="18"/>
              </w:rPr>
            </w:pPr>
          </w:p>
          <w:p w14:paraId="7300F545">
            <w:pPr>
              <w:spacing w:line="0" w:lineRule="atLeast"/>
              <w:jc w:val="center"/>
              <w:rPr>
                <w:rFonts w:hint="default" w:ascii="Times New Roman" w:hAnsi="Times New Roman" w:eastAsia="仿宋_GB2312" w:cs="Times New Roman"/>
                <w:color w:val="000000"/>
                <w:kern w:val="0"/>
                <w:sz w:val="18"/>
                <w:szCs w:val="18"/>
              </w:rPr>
            </w:pPr>
          </w:p>
          <w:p w14:paraId="619291C7">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096103C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15D777C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218889D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5" w:type="dxa"/>
            <w:shd w:val="clear" w:color="000000" w:fill="FFFFFF"/>
            <w:vAlign w:val="center"/>
          </w:tcPr>
          <w:p w14:paraId="2A1CD5B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92290D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5634A83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4172189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4" w:type="dxa"/>
            <w:gridSpan w:val="2"/>
            <w:shd w:val="clear" w:color="000000" w:fill="FFFFFF"/>
            <w:vAlign w:val="center"/>
          </w:tcPr>
          <w:p w14:paraId="2E87729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14:paraId="791533C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A8A9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74A34547">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0157D44">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42F95FA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5" w:type="dxa"/>
            <w:shd w:val="clear" w:color="auto" w:fill="FFFFFF"/>
            <w:vAlign w:val="center"/>
          </w:tcPr>
          <w:p w14:paraId="4042483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10027A2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预算执行率=（实际支出资金/实际到位资金）×100%。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4" w:type="dxa"/>
            <w:gridSpan w:val="2"/>
            <w:shd w:val="clear" w:color="auto" w:fill="FFFFFF"/>
            <w:vAlign w:val="center"/>
          </w:tcPr>
          <w:p w14:paraId="1956A55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14:paraId="4F309C1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13EF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638E7987">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0FC2BC1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05A4F81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7C63B18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5" w:type="dxa"/>
            <w:shd w:val="clear" w:color="000000" w:fill="FFFFFF"/>
            <w:vAlign w:val="center"/>
          </w:tcPr>
          <w:p w14:paraId="3726794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445530E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②资金的拨付是否有完整的审批程序和手续；</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③是否符合项目预算批复或合同规定的用途；</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④是否存在截留、挤占、挪用、虚列支出等情况。</w:t>
            </w:r>
          </w:p>
        </w:tc>
        <w:tc>
          <w:tcPr>
            <w:tcW w:w="1304" w:type="dxa"/>
            <w:gridSpan w:val="2"/>
            <w:shd w:val="clear" w:color="000000" w:fill="FFFFFF"/>
            <w:vAlign w:val="center"/>
          </w:tcPr>
          <w:p w14:paraId="20DD83F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14:paraId="5E3C0C4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340E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09EDA8D4">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3C74097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4D93C050">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57F2EB7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249D96D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5" w:type="dxa"/>
            <w:shd w:val="clear" w:color="000000" w:fill="FFFFFF"/>
            <w:vAlign w:val="center"/>
          </w:tcPr>
          <w:p w14:paraId="49738E9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01794C1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①是否已制定或具有相应的财务和业务管理制度；</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②财务和业务管理制度是否合法、合规、完整。</w:t>
            </w:r>
          </w:p>
        </w:tc>
        <w:tc>
          <w:tcPr>
            <w:tcW w:w="1304" w:type="dxa"/>
            <w:gridSpan w:val="2"/>
            <w:shd w:val="clear" w:color="000000" w:fill="FFFFFF"/>
            <w:vAlign w:val="center"/>
          </w:tcPr>
          <w:p w14:paraId="523919F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14:paraId="3D17174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E075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45CEFDD7">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680E21EE">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6DC76BF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1F1347E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5" w:type="dxa"/>
            <w:shd w:val="clear" w:color="000000" w:fill="FFFFFF"/>
            <w:vAlign w:val="center"/>
          </w:tcPr>
          <w:p w14:paraId="7DD7BCA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570F943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①是否遵守相关法律法规和相关管理规定；</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②项目调整及支出调整手续是否完备；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③项目合同书、验收报告、技术鉴定等资料是否齐全并及时归档；</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4" w:type="dxa"/>
            <w:gridSpan w:val="2"/>
            <w:shd w:val="clear" w:color="000000" w:fill="FFFFFF"/>
            <w:vAlign w:val="center"/>
          </w:tcPr>
          <w:p w14:paraId="03894BC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14:paraId="700D3939">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D3A5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7F41DC4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2786ED0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70E48AF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5" w:type="dxa"/>
            <w:shd w:val="clear" w:color="000000" w:fill="FFFFFF"/>
            <w:vAlign w:val="center"/>
          </w:tcPr>
          <w:p w14:paraId="661BF28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563E9DF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实际完成率=（实际产出数/计划产出数）×100%。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4" w:type="dxa"/>
            <w:gridSpan w:val="2"/>
            <w:shd w:val="clear" w:color="000000" w:fill="FFFFFF"/>
            <w:vAlign w:val="center"/>
          </w:tcPr>
          <w:p w14:paraId="1AFD68D2">
            <w:pPr>
              <w:widowControl/>
              <w:spacing w:line="0" w:lineRule="atLeast"/>
              <w:jc w:val="center"/>
              <w:rPr>
                <w:rFonts w:hint="default" w:ascii="Times New Roman" w:hAnsi="Times New Roman" w:eastAsia="仿宋_GB2312" w:cs="Times New Roman"/>
                <w:b/>
                <w:bCs/>
                <w:color w:val="000000"/>
                <w:kern w:val="0"/>
                <w:sz w:val="18"/>
                <w:szCs w:val="18"/>
                <w:lang w:val="en-US" w:eastAsia="zh-CN"/>
              </w:rPr>
            </w:pPr>
            <w:r>
              <w:rPr>
                <w:rFonts w:hint="eastAsia" w:eastAsia="仿宋_GB2312" w:cs="Times New Roman"/>
                <w:b/>
                <w:bCs/>
                <w:color w:val="000000"/>
                <w:kern w:val="0"/>
                <w:sz w:val="18"/>
                <w:szCs w:val="18"/>
                <w:lang w:val="en-US" w:eastAsia="zh-CN"/>
              </w:rPr>
              <w:t>10</w:t>
            </w:r>
          </w:p>
        </w:tc>
        <w:tc>
          <w:tcPr>
            <w:tcW w:w="1365" w:type="dxa"/>
            <w:shd w:val="clear" w:color="000000" w:fill="FFFFFF"/>
            <w:vAlign w:val="center"/>
          </w:tcPr>
          <w:p w14:paraId="6A151E47">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9.93</w:t>
            </w:r>
          </w:p>
        </w:tc>
      </w:tr>
      <w:tr w14:paraId="284E2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39211107">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50DB138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5E416D7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5" w:type="dxa"/>
            <w:shd w:val="clear" w:color="000000" w:fill="FFFFFF"/>
            <w:vAlign w:val="center"/>
          </w:tcPr>
          <w:p w14:paraId="67E1B36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48E5FFE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3987064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081D6CC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14:paraId="265C317B">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3B53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5C5A75F6">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49C9FD63">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16ADE2B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5" w:type="dxa"/>
            <w:shd w:val="clear" w:color="000000" w:fill="FFFFFF"/>
            <w:vAlign w:val="center"/>
          </w:tcPr>
          <w:p w14:paraId="2DE868D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519739F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实际完成时间：项目实施单位完成该项目实际所耗用的时间。</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4" w:type="dxa"/>
            <w:gridSpan w:val="2"/>
            <w:shd w:val="clear" w:color="000000" w:fill="FFFFFF"/>
            <w:vAlign w:val="center"/>
          </w:tcPr>
          <w:p w14:paraId="50EF99E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14:paraId="45D092B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3739A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50FAB38D">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787CF98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产出成本</w:t>
            </w:r>
          </w:p>
        </w:tc>
        <w:tc>
          <w:tcPr>
            <w:tcW w:w="1071" w:type="dxa"/>
            <w:shd w:val="clear" w:color="auto" w:fill="FFFFFF"/>
            <w:vAlign w:val="center"/>
          </w:tcPr>
          <w:p w14:paraId="6E66B5D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5" w:type="dxa"/>
            <w:shd w:val="clear" w:color="000000" w:fill="FFFFFF"/>
            <w:vAlign w:val="center"/>
          </w:tcPr>
          <w:p w14:paraId="070325B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47892B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成本节约率=[（计划成本-实际成本）/计划成本]×100%。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4" w:type="dxa"/>
            <w:gridSpan w:val="2"/>
            <w:shd w:val="clear" w:color="000000" w:fill="FFFFFF"/>
            <w:vAlign w:val="center"/>
          </w:tcPr>
          <w:p w14:paraId="1C4AA64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14:paraId="05F71296">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DACA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32A9FAD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64C69FC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2426938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5" w:type="dxa"/>
            <w:shd w:val="clear" w:color="auto" w:fill="FFFFFF"/>
            <w:vAlign w:val="center"/>
          </w:tcPr>
          <w:p w14:paraId="4A9F3BF8">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191FCDA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4" w:type="dxa"/>
            <w:gridSpan w:val="2"/>
            <w:shd w:val="clear" w:color="auto" w:fill="FFFFFF"/>
            <w:vAlign w:val="center"/>
          </w:tcPr>
          <w:p w14:paraId="747C24A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auto" w:fill="FFFFFF"/>
            <w:vAlign w:val="center"/>
          </w:tcPr>
          <w:p w14:paraId="5B5405ED">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8D94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0E0F2A36">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0A4273C9">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4D5AE86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满意度</w:t>
            </w:r>
          </w:p>
        </w:tc>
        <w:tc>
          <w:tcPr>
            <w:tcW w:w="1725" w:type="dxa"/>
            <w:shd w:val="clear" w:color="000000" w:fill="FFFFFF"/>
            <w:vAlign w:val="center"/>
          </w:tcPr>
          <w:p w14:paraId="2C4C778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5530E4B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4" w:type="dxa"/>
            <w:gridSpan w:val="2"/>
            <w:shd w:val="clear" w:color="000000" w:fill="FFFFFF"/>
            <w:vAlign w:val="center"/>
          </w:tcPr>
          <w:p w14:paraId="73A4113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14:paraId="5F099B3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E29E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6CD18B41">
            <w:pPr>
              <w:widowControl/>
              <w:spacing w:line="0" w:lineRule="atLeast"/>
              <w:jc w:val="center"/>
              <w:rPr>
                <w:rFonts w:hint="eastAsia" w:ascii="Times New Roman" w:hAnsi="Times New Roman" w:eastAsia="仿宋_GB2312" w:cs="Times New Roman"/>
                <w:b/>
                <w:bCs/>
                <w:color w:val="000000"/>
                <w:kern w:val="0"/>
                <w:sz w:val="18"/>
                <w:szCs w:val="18"/>
                <w:lang w:val="en-US" w:eastAsia="zh-CN"/>
              </w:rPr>
            </w:pPr>
            <w:r>
              <w:rPr>
                <w:rFonts w:hint="eastAsia" w:eastAsia="仿宋_GB2312" w:cs="Times New Roman"/>
                <w:b/>
                <w:bCs/>
                <w:color w:val="000000"/>
                <w:kern w:val="0"/>
                <w:sz w:val="18"/>
                <w:szCs w:val="18"/>
                <w:lang w:val="en-US" w:eastAsia="zh-CN"/>
              </w:rPr>
              <w:t>合计</w:t>
            </w:r>
          </w:p>
        </w:tc>
        <w:tc>
          <w:tcPr>
            <w:tcW w:w="1299" w:type="dxa"/>
            <w:shd w:val="clear" w:color="000000" w:fill="FFFFFF"/>
            <w:vAlign w:val="center"/>
          </w:tcPr>
          <w:p w14:paraId="6BCBF91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fldChar w:fldCharType="begin"/>
            </w:r>
            <w:r>
              <w:rPr>
                <w:rFonts w:hint="default" w:ascii="Times New Roman" w:hAnsi="Times New Roman" w:eastAsia="仿宋_GB2312" w:cs="Times New Roman"/>
                <w:b/>
                <w:bCs/>
                <w:color w:val="000000"/>
                <w:kern w:val="0"/>
                <w:sz w:val="18"/>
                <w:szCs w:val="18"/>
              </w:rPr>
              <w:instrText xml:space="preserve"> = sum(F2:F18) \* MERGEFORMAT </w:instrText>
            </w:r>
            <w:r>
              <w:rPr>
                <w:rFonts w:hint="default" w:ascii="Times New Roman" w:hAnsi="Times New Roman" w:eastAsia="仿宋_GB2312" w:cs="Times New Roman"/>
                <w:b/>
                <w:bCs/>
                <w:color w:val="000000"/>
                <w:kern w:val="0"/>
                <w:sz w:val="18"/>
                <w:szCs w:val="18"/>
              </w:rPr>
              <w:fldChar w:fldCharType="separate"/>
            </w:r>
            <w:r>
              <w:rPr>
                <w:rFonts w:hint="default" w:ascii="Times New Roman" w:hAnsi="Times New Roman" w:eastAsia="仿宋_GB2312" w:cs="Times New Roman"/>
                <w:b/>
                <w:bCs/>
                <w:color w:val="000000"/>
                <w:kern w:val="0"/>
                <w:sz w:val="18"/>
                <w:szCs w:val="18"/>
              </w:rPr>
              <w:t>100</w:t>
            </w:r>
            <w:r>
              <w:rPr>
                <w:rFonts w:hint="default" w:ascii="Times New Roman" w:hAnsi="Times New Roman" w:eastAsia="仿宋_GB2312" w:cs="Times New Roman"/>
                <w:b/>
                <w:bCs/>
                <w:color w:val="000000"/>
                <w:kern w:val="0"/>
                <w:sz w:val="18"/>
                <w:szCs w:val="18"/>
              </w:rPr>
              <w:fldChar w:fldCharType="end"/>
            </w:r>
          </w:p>
        </w:tc>
        <w:tc>
          <w:tcPr>
            <w:tcW w:w="1365" w:type="dxa"/>
            <w:shd w:val="clear" w:color="000000" w:fill="FFFFFF"/>
            <w:vAlign w:val="center"/>
          </w:tcPr>
          <w:p w14:paraId="1B0BB7E7">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99.93</w:t>
            </w:r>
          </w:p>
        </w:tc>
      </w:tr>
    </w:tbl>
    <w:p w14:paraId="3E2B1688">
      <w:pPr>
        <w:rPr>
          <w:rFonts w:hint="default" w:ascii="Times New Roman" w:hAnsi="Times New Roman" w:cs="Times New Roman"/>
        </w:rPr>
        <w:sectPr>
          <w:pgSz w:w="16838" w:h="11906" w:orient="landscape"/>
          <w:pgMar w:top="1800" w:right="1440" w:bottom="1558" w:left="1440" w:header="851" w:footer="992" w:gutter="0"/>
          <w:cols w:space="425" w:num="1"/>
          <w:docGrid w:type="lines" w:linePitch="312" w:charSpace="0"/>
        </w:sectPr>
      </w:pPr>
    </w:p>
    <w:p w14:paraId="61A46074">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78"/>
        <w:gridCol w:w="1079"/>
        <w:gridCol w:w="1519"/>
        <w:gridCol w:w="1080"/>
        <w:gridCol w:w="1573"/>
        <w:gridCol w:w="2079"/>
        <w:gridCol w:w="2079"/>
        <w:gridCol w:w="400"/>
        <w:gridCol w:w="400"/>
        <w:gridCol w:w="386"/>
        <w:gridCol w:w="386"/>
        <w:gridCol w:w="706"/>
        <w:gridCol w:w="1080"/>
      </w:tblGrid>
      <w:tr w14:paraId="4BF9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5CC4839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7BF5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2B28B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53BA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782E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4C1E4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乌财建【202】78号关于下达2021年保障性安居工程第二批中央基建投资预算（2022年以前结转再安排）</w:t>
            </w:r>
          </w:p>
        </w:tc>
      </w:tr>
      <w:tr w14:paraId="08BA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4083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33D16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乌鲁木齐市沙依巴克区建设局（交通局、水务局）</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F6CE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C396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乌鲁木齐市沙依巴克区建设局（交通局、水务局、人民防空办公室）</w:t>
            </w:r>
          </w:p>
        </w:tc>
      </w:tr>
      <w:tr w14:paraId="0EFB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EFC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CF8A15E">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2068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3135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1375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FD81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D227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2D9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112C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BA579AF">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D091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D353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11,800.00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F373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10,009.95</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12EB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10,009.95</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7AC7A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CB50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E34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4EC7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2C2D2F">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409E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EB86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11,800.00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06A7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10,009.95</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C123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10,009.95</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F70B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F843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66C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5BD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CFC8277">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DB35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7F31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073A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B009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3CAAA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B8C5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AD4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B75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3C9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66D33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2A21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4AF7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5C0D33">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3390D6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对2021年保障性安居工程进行补贴，改造片区数2个，改造面积30.29万平方米。促进安居保障性工程的顺利实施，切实保障安居性工程的有序推进，2021年老旧小区及棚户区改造涉及企业及改造面积都比较大，在施工过程中积极进行项目施工。切实确保小旧校区改造项目能够顺利完成，并努力改善居民的居住环境。</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33BFCB8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完成改造片区数2个，改造面积29.82799万平方米，切实确保小旧校区改造项目能够顺利完成，并努力改善居民的居住环境。</w:t>
            </w:r>
          </w:p>
        </w:tc>
      </w:tr>
      <w:tr w14:paraId="0FD6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D7AFD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BCC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B10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C535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86A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333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7714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1084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35DC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6D14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58AF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1B22E1">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D34297">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13570ED">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F76D32">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7AAF1">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DA9BE6F">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DEBCC08">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669E927">
            <w:pPr>
              <w:jc w:val="center"/>
              <w:rPr>
                <w:rFonts w:hint="eastAsia" w:ascii="宋体" w:hAnsi="宋体" w:eastAsia="宋体" w:cs="宋体"/>
                <w:i w:val="0"/>
                <w:iCs w:val="0"/>
                <w:color w:val="000000"/>
                <w:sz w:val="20"/>
                <w:szCs w:val="20"/>
                <w:u w:val="none"/>
              </w:rPr>
            </w:pPr>
          </w:p>
        </w:tc>
      </w:tr>
      <w:tr w14:paraId="57B5A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DCA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F19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4E9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930A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安居性保障工程改造片区数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325A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&gt;=2个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90C6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6925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8E82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18C939B">
            <w:pPr>
              <w:jc w:val="center"/>
              <w:rPr>
                <w:rFonts w:hint="eastAsia" w:ascii="宋体" w:hAnsi="宋体" w:eastAsia="宋体" w:cs="宋体"/>
                <w:i w:val="0"/>
                <w:iCs w:val="0"/>
                <w:color w:val="000000"/>
                <w:sz w:val="20"/>
                <w:szCs w:val="20"/>
                <w:u w:val="none"/>
              </w:rPr>
            </w:pPr>
          </w:p>
        </w:tc>
      </w:tr>
      <w:tr w14:paraId="7110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3D6DF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DDC99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A55B3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6D9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改造面积</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A5D2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&gt;=30.29万平方米</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4E6C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29.82799万平方</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87F8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16E5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449C34C">
            <w:pPr>
              <w:jc w:val="center"/>
              <w:rPr>
                <w:rFonts w:hint="eastAsia" w:ascii="宋体" w:hAnsi="宋体" w:eastAsia="宋体" w:cs="宋体"/>
                <w:i w:val="0"/>
                <w:iCs w:val="0"/>
                <w:color w:val="000000"/>
                <w:sz w:val="20"/>
                <w:szCs w:val="20"/>
                <w:u w:val="none"/>
              </w:rPr>
            </w:pPr>
          </w:p>
        </w:tc>
      </w:tr>
      <w:tr w14:paraId="3EBA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FE9A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C78FA0">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8AC1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5600B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工程质量合格率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4FC7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8113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6230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4F87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BE7BCC2">
            <w:pPr>
              <w:jc w:val="center"/>
              <w:rPr>
                <w:rFonts w:hint="eastAsia" w:ascii="宋体" w:hAnsi="宋体" w:eastAsia="宋体" w:cs="宋体"/>
                <w:i w:val="0"/>
                <w:iCs w:val="0"/>
                <w:color w:val="000000"/>
                <w:sz w:val="20"/>
                <w:szCs w:val="20"/>
                <w:u w:val="none"/>
              </w:rPr>
            </w:pPr>
          </w:p>
        </w:tc>
      </w:tr>
      <w:tr w14:paraId="1D59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67DE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59DAB8">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D483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AD75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资金支付时效</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DABB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2024年12月31日前</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34A2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=2024年12月31日前</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91A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8CE1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FF94B3F">
            <w:pPr>
              <w:jc w:val="center"/>
              <w:rPr>
                <w:rFonts w:hint="eastAsia" w:ascii="宋体" w:hAnsi="宋体" w:eastAsia="宋体" w:cs="宋体"/>
                <w:i w:val="0"/>
                <w:iCs w:val="0"/>
                <w:color w:val="000000"/>
                <w:sz w:val="20"/>
                <w:szCs w:val="20"/>
                <w:u w:val="none"/>
              </w:rPr>
            </w:pPr>
          </w:p>
        </w:tc>
      </w:tr>
      <w:tr w14:paraId="52B7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3F09B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2F4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4985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9667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成本控制率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26DF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FABB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906F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E0D7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301582A">
            <w:pPr>
              <w:jc w:val="center"/>
              <w:rPr>
                <w:rFonts w:hint="eastAsia" w:ascii="宋体" w:hAnsi="宋体" w:eastAsia="宋体" w:cs="宋体"/>
                <w:i w:val="0"/>
                <w:iCs w:val="0"/>
                <w:color w:val="000000"/>
                <w:sz w:val="20"/>
                <w:szCs w:val="20"/>
                <w:u w:val="none"/>
              </w:rPr>
            </w:pPr>
          </w:p>
        </w:tc>
      </w:tr>
      <w:tr w14:paraId="71E2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0404F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FB0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534B4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BB2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促进社会和谐稳定发展</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91AC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显著促进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A9E7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6401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B03D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97D90A2">
            <w:pPr>
              <w:jc w:val="center"/>
              <w:rPr>
                <w:rFonts w:hint="eastAsia" w:ascii="宋体" w:hAnsi="宋体" w:eastAsia="宋体" w:cs="宋体"/>
                <w:i w:val="0"/>
                <w:iCs w:val="0"/>
                <w:color w:val="000000"/>
                <w:sz w:val="20"/>
                <w:szCs w:val="20"/>
                <w:u w:val="none"/>
              </w:rPr>
            </w:pPr>
          </w:p>
        </w:tc>
      </w:tr>
      <w:tr w14:paraId="07EA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2285B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AE1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FBF9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627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群众满意度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8972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E638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CCC4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6FC9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6483D60">
            <w:pPr>
              <w:jc w:val="center"/>
              <w:rPr>
                <w:rFonts w:hint="eastAsia" w:ascii="宋体" w:hAnsi="宋体" w:eastAsia="宋体" w:cs="宋体"/>
                <w:i w:val="0"/>
                <w:iCs w:val="0"/>
                <w:color w:val="000000"/>
                <w:sz w:val="20"/>
                <w:szCs w:val="20"/>
                <w:u w:val="none"/>
              </w:rPr>
            </w:pPr>
          </w:p>
        </w:tc>
      </w:tr>
      <w:tr w14:paraId="4384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01264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561D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D096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99.85分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3293950">
            <w:pPr>
              <w:jc w:val="center"/>
              <w:rPr>
                <w:rFonts w:hint="eastAsia" w:ascii="宋体" w:hAnsi="宋体" w:eastAsia="宋体" w:cs="宋体"/>
                <w:i w:val="0"/>
                <w:iCs w:val="0"/>
                <w:color w:val="000000"/>
                <w:sz w:val="20"/>
                <w:szCs w:val="20"/>
                <w:u w:val="none"/>
              </w:rPr>
            </w:pPr>
          </w:p>
        </w:tc>
      </w:tr>
    </w:tbl>
    <w:p w14:paraId="4EDDF182">
      <w:pPr>
        <w:rPr>
          <w:rFonts w:hint="default" w:ascii="Times New Roman" w:hAnsi="Times New Roman" w:cs="Times New Roman"/>
        </w:rPr>
      </w:pPr>
      <w:bookmarkStart w:id="17" w:name="_GoBack"/>
      <w:bookmarkEnd w:id="17"/>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057C2589">
        <w:pPr>
          <w:pStyle w:val="7"/>
          <w:jc w:val="center"/>
        </w:pPr>
        <w:r>
          <w:fldChar w:fldCharType="begin"/>
        </w:r>
        <w:r>
          <w:instrText xml:space="preserve">PAGE   \* MERGEFORMAT</w:instrText>
        </w:r>
        <w:r>
          <w:fldChar w:fldCharType="separate"/>
        </w:r>
        <w:r>
          <w:rPr>
            <w:lang w:val="zh-CN"/>
          </w:rPr>
          <w:t>13</w:t>
        </w:r>
        <w:r>
          <w:fldChar w:fldCharType="end"/>
        </w:r>
      </w:p>
    </w:sdtContent>
  </w:sdt>
  <w:p w14:paraId="2D82A0DB">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510197"/>
    <w:rsid w:val="030176FB"/>
    <w:rsid w:val="039C0CBE"/>
    <w:rsid w:val="03CF48D0"/>
    <w:rsid w:val="03EC461B"/>
    <w:rsid w:val="04F21319"/>
    <w:rsid w:val="07064092"/>
    <w:rsid w:val="07397B77"/>
    <w:rsid w:val="08B40023"/>
    <w:rsid w:val="08FE48DF"/>
    <w:rsid w:val="0AD007F3"/>
    <w:rsid w:val="0B13726D"/>
    <w:rsid w:val="0DB913CC"/>
    <w:rsid w:val="0E1D6EA1"/>
    <w:rsid w:val="0E3C619F"/>
    <w:rsid w:val="0E7D16D6"/>
    <w:rsid w:val="0F6273CA"/>
    <w:rsid w:val="0F6428CD"/>
    <w:rsid w:val="100F38EC"/>
    <w:rsid w:val="10930DC1"/>
    <w:rsid w:val="11170296"/>
    <w:rsid w:val="11B4024C"/>
    <w:rsid w:val="12C66037"/>
    <w:rsid w:val="12CD1ABC"/>
    <w:rsid w:val="13406CD6"/>
    <w:rsid w:val="13471461"/>
    <w:rsid w:val="13B90F01"/>
    <w:rsid w:val="155E4C4D"/>
    <w:rsid w:val="160939F0"/>
    <w:rsid w:val="17BF2702"/>
    <w:rsid w:val="181066D2"/>
    <w:rsid w:val="18F5277F"/>
    <w:rsid w:val="19412BFE"/>
    <w:rsid w:val="195A5D27"/>
    <w:rsid w:val="19C96A74"/>
    <w:rsid w:val="1B415BC7"/>
    <w:rsid w:val="1C671E73"/>
    <w:rsid w:val="1D322C47"/>
    <w:rsid w:val="1D76328B"/>
    <w:rsid w:val="1E8A0B27"/>
    <w:rsid w:val="20D53683"/>
    <w:rsid w:val="2139510D"/>
    <w:rsid w:val="215025B4"/>
    <w:rsid w:val="23616034"/>
    <w:rsid w:val="23696C97"/>
    <w:rsid w:val="24480FA2"/>
    <w:rsid w:val="25227A45"/>
    <w:rsid w:val="26193C6F"/>
    <w:rsid w:val="26AC3A6A"/>
    <w:rsid w:val="2B9D7E25"/>
    <w:rsid w:val="2BAF763B"/>
    <w:rsid w:val="2BFD6A4C"/>
    <w:rsid w:val="2C7C7A3B"/>
    <w:rsid w:val="2DC975E2"/>
    <w:rsid w:val="2E7C2C51"/>
    <w:rsid w:val="2F364819"/>
    <w:rsid w:val="2FD63906"/>
    <w:rsid w:val="3541716C"/>
    <w:rsid w:val="37215DAE"/>
    <w:rsid w:val="38C91EDE"/>
    <w:rsid w:val="38CA40DD"/>
    <w:rsid w:val="395F2B56"/>
    <w:rsid w:val="39A62C24"/>
    <w:rsid w:val="3B482032"/>
    <w:rsid w:val="3BBA0580"/>
    <w:rsid w:val="3BECE841"/>
    <w:rsid w:val="3CDE204C"/>
    <w:rsid w:val="3D363C36"/>
    <w:rsid w:val="3DBB07AE"/>
    <w:rsid w:val="3E2F3B14"/>
    <w:rsid w:val="3E9C3F6D"/>
    <w:rsid w:val="3FF7797D"/>
    <w:rsid w:val="42D11AAC"/>
    <w:rsid w:val="42D42A31"/>
    <w:rsid w:val="43DF6C81"/>
    <w:rsid w:val="44D25867"/>
    <w:rsid w:val="45F36B68"/>
    <w:rsid w:val="46690BD8"/>
    <w:rsid w:val="476F63CF"/>
    <w:rsid w:val="485F4F27"/>
    <w:rsid w:val="49792371"/>
    <w:rsid w:val="49996F4C"/>
    <w:rsid w:val="49F70BF1"/>
    <w:rsid w:val="4A077580"/>
    <w:rsid w:val="4AC9763E"/>
    <w:rsid w:val="4AE0426F"/>
    <w:rsid w:val="4AF4580E"/>
    <w:rsid w:val="4B4340EE"/>
    <w:rsid w:val="4E34765B"/>
    <w:rsid w:val="503D507A"/>
    <w:rsid w:val="50645371"/>
    <w:rsid w:val="50E26651"/>
    <w:rsid w:val="51FA74D0"/>
    <w:rsid w:val="521142C4"/>
    <w:rsid w:val="52AA4A52"/>
    <w:rsid w:val="53254837"/>
    <w:rsid w:val="533269B7"/>
    <w:rsid w:val="53355DE0"/>
    <w:rsid w:val="534535C9"/>
    <w:rsid w:val="539D3AD1"/>
    <w:rsid w:val="545B07F5"/>
    <w:rsid w:val="58FF38C1"/>
    <w:rsid w:val="59943D66"/>
    <w:rsid w:val="59B758EB"/>
    <w:rsid w:val="59DA247B"/>
    <w:rsid w:val="59E051FD"/>
    <w:rsid w:val="59E6355E"/>
    <w:rsid w:val="5B821531"/>
    <w:rsid w:val="5B9163B2"/>
    <w:rsid w:val="5BFF6039"/>
    <w:rsid w:val="5C41066B"/>
    <w:rsid w:val="5D76A616"/>
    <w:rsid w:val="5D7F20B9"/>
    <w:rsid w:val="5D8F454E"/>
    <w:rsid w:val="5DAC7D0E"/>
    <w:rsid w:val="5F276258"/>
    <w:rsid w:val="5F75340B"/>
    <w:rsid w:val="5F98B5AF"/>
    <w:rsid w:val="5FFE8511"/>
    <w:rsid w:val="5FFEACE2"/>
    <w:rsid w:val="609D5BF6"/>
    <w:rsid w:val="61073070"/>
    <w:rsid w:val="61B9080E"/>
    <w:rsid w:val="61DF3FED"/>
    <w:rsid w:val="62606CE8"/>
    <w:rsid w:val="634F5BD8"/>
    <w:rsid w:val="63D35C78"/>
    <w:rsid w:val="642B176B"/>
    <w:rsid w:val="643EE26D"/>
    <w:rsid w:val="65274800"/>
    <w:rsid w:val="656019A0"/>
    <w:rsid w:val="65F242EE"/>
    <w:rsid w:val="666D7E19"/>
    <w:rsid w:val="68376930"/>
    <w:rsid w:val="68F91E38"/>
    <w:rsid w:val="6B3158B9"/>
    <w:rsid w:val="6BA02A3F"/>
    <w:rsid w:val="6BCE4FEF"/>
    <w:rsid w:val="6C105349"/>
    <w:rsid w:val="6C1E5A53"/>
    <w:rsid w:val="6DA8215C"/>
    <w:rsid w:val="6F5C41AC"/>
    <w:rsid w:val="6FAF6C78"/>
    <w:rsid w:val="71571D46"/>
    <w:rsid w:val="716167CC"/>
    <w:rsid w:val="718A7AD1"/>
    <w:rsid w:val="72A44BC2"/>
    <w:rsid w:val="73114357"/>
    <w:rsid w:val="7317C656"/>
    <w:rsid w:val="734ED73F"/>
    <w:rsid w:val="737C2A4C"/>
    <w:rsid w:val="73C82B32"/>
    <w:rsid w:val="73F94DAE"/>
    <w:rsid w:val="74220495"/>
    <w:rsid w:val="744A7557"/>
    <w:rsid w:val="744D04DB"/>
    <w:rsid w:val="747D1B6F"/>
    <w:rsid w:val="749E5641"/>
    <w:rsid w:val="76271066"/>
    <w:rsid w:val="77FD8BE9"/>
    <w:rsid w:val="78000AED"/>
    <w:rsid w:val="78036054"/>
    <w:rsid w:val="79A9BD3F"/>
    <w:rsid w:val="7AC5270E"/>
    <w:rsid w:val="7B776F12"/>
    <w:rsid w:val="7BFFFDD0"/>
    <w:rsid w:val="7C336E5F"/>
    <w:rsid w:val="7C8D4919"/>
    <w:rsid w:val="7D142945"/>
    <w:rsid w:val="7D7A5F86"/>
    <w:rsid w:val="7DBF115D"/>
    <w:rsid w:val="7DEC007A"/>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12525</Words>
  <Characters>13084</Characters>
  <Lines>58</Lines>
  <Paragraphs>16</Paragraphs>
  <TotalTime>7</TotalTime>
  <ScaleCrop>false</ScaleCrop>
  <LinksUpToDate>false</LinksUpToDate>
  <CharactersWithSpaces>13093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62686F4FCF284D84A69C2F1DE75F7E1A_13</vt:lpwstr>
  </property>
  <property fmtid="{D5CDD505-2E9C-101B-9397-08002B2CF9AE}" pid="4" name="KSOTemplateDocerSaveRecord">
    <vt:lpwstr>eyJoZGlkIjoiOGFkNmZiY2VjMDdjZjNhYjcxMzg2NTlkY2FmMDAzYzIiLCJ1c2VySWQiOiIzMTEwOTcwNTkifQ==</vt:lpwstr>
  </property>
</Properties>
</file>