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7"/>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7"/>
          <w:rFonts w:hint="eastAsia" w:ascii="楷体" w:hAnsi="楷体" w:eastAsia="楷体"/>
          <w:spacing w:val="-4"/>
          <w:sz w:val="32"/>
          <w:szCs w:val="32"/>
        </w:rPr>
        <w:t>2022国有企业退休人员社会化管理补助资金（中央、自治区）</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7"/>
          <w:rFonts w:hint="eastAsia" w:ascii="楷体" w:hAnsi="楷体" w:eastAsia="楷体"/>
          <w:spacing w:val="-4"/>
          <w:sz w:val="28"/>
          <w:szCs w:val="28"/>
        </w:rPr>
        <w:t>沙依巴克区退休人员管理服务中心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7"/>
          <w:rFonts w:hint="eastAsia" w:ascii="楷体" w:hAnsi="楷体" w:eastAsia="楷体"/>
          <w:spacing w:val="-4"/>
          <w:sz w:val="28"/>
          <w:szCs w:val="28"/>
        </w:rPr>
        <w:t>沙依巴克区退休人员管理服务中心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7"/>
          <w:rFonts w:hint="eastAsia" w:ascii="楷体" w:hAnsi="楷体" w:eastAsia="楷体"/>
          <w:spacing w:val="-4"/>
          <w:sz w:val="32"/>
          <w:szCs w:val="32"/>
        </w:rPr>
        <w:t>侯照斌</w:t>
      </w:r>
    </w:p>
    <w:p>
      <w:pPr>
        <w:spacing w:line="540" w:lineRule="exact"/>
        <w:ind w:left="273" w:firstLine="567"/>
        <w:rPr>
          <w:rStyle w:val="17"/>
          <w:rFonts w:ascii="楷体" w:hAnsi="楷体" w:eastAsia="楷体"/>
          <w:spacing w:val="-4"/>
          <w:sz w:val="32"/>
          <w:szCs w:val="32"/>
        </w:rPr>
      </w:pPr>
      <w:r>
        <w:rPr>
          <w:rFonts w:hint="eastAsia" w:hAnsi="宋体" w:eastAsia="仿宋_GB2312" w:cs="宋体"/>
          <w:kern w:val="0"/>
          <w:sz w:val="36"/>
          <w:szCs w:val="36"/>
        </w:rPr>
        <w:t>填报时间：</w:t>
      </w:r>
      <w:r>
        <w:rPr>
          <w:rStyle w:val="17"/>
          <w:rFonts w:hint="eastAsia" w:ascii="楷体" w:hAnsi="楷体" w:eastAsia="楷体"/>
          <w:spacing w:val="-4"/>
          <w:sz w:val="32"/>
          <w:szCs w:val="32"/>
        </w:rPr>
        <w:t>2023年03月23日</w:t>
      </w:r>
    </w:p>
    <w:p>
      <w:pPr>
        <w:spacing w:line="700" w:lineRule="exact"/>
        <w:ind w:firstLine="708" w:firstLineChars="236"/>
        <w:jc w:val="left"/>
        <w:rPr>
          <w:rFonts w:hAnsi="宋体" w:eastAsia="仿宋_GB2312" w:cs="宋体"/>
          <w:kern w:val="0"/>
          <w:sz w:val="30"/>
          <w:szCs w:val="30"/>
        </w:rPr>
      </w:pPr>
    </w:p>
    <w:p>
      <w:pPr>
        <w:spacing w:line="540" w:lineRule="exact"/>
        <w:rPr>
          <w:rStyle w:val="17"/>
          <w:rFonts w:ascii="黑体" w:hAnsi="黑体" w:eastAsia="黑体"/>
          <w:b w:val="0"/>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一、基本情况</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（一）项目概况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一、基本情况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（一）项目概况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1、项目背景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根据《自治区党委办公厅、自治区人民政府办公厅&lt;关于加快推进国有企业退休人员社会化管理的工作方案&gt;的通知》t和《财政部国资委关于支持地方做好中央企业及原下放企业退休人员社会化管理工作的通知》规定，自治区财政统筹安排资金，对各地实际接收中央和区属、新疆生产建设兵团国有企业退休人员社会化管理经费给予补助，加快推进国有企业退休人员社会化管理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2、项目主要内容：</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加快推进国有企业退休人员社会化管理工作。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项目实施情况：项目目前已经完成实际设立的目标，项目在实施过程中严格按照目标设立的各阶段任务进行开展工作，在前期立项过程中严格把质量关，建立安全防护机制，保证项目实施各阶段安全顺利进行。</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本项目总投资642.85万元，其中：财政本级资金642.85万元。项目实际支出30万元，支出率为4.67%。</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3、资金投入和使用情况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（1）资金安排</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总投资642.85万元，按照单位财务制度等相关规定，资金支出符合国有企业退休人员社会化管理补助资金（中央、自治区）资金项目专项资金费用范围，做到了专款专用。在项目资金拨付和使用过程中，为确保项目资金的安全性，提高项目资金使用效率，严格遵循国有企业退休人员社会化管理补助资金（中央、自治区）资金项目资金的拨付程序，认真审核项目实施各阶段的相关材料和手续，根据项目实施进展情况拨付资金。</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（2）预算资金来源及使用情况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项目预算资金来源于中央财政，项目资金到位642.85万元，全年执行30万元，预算执行率为4.67%,主要用于支付项目实施进程中的各项费用。</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（二）项目绩效目标</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（二）项目绩效目标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1、总体目标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全年做好退休人员社会化管理服务。完善退休人员基本信息维护；确保退休人员待遇领取资格认证零差错；做好国有企业退休人员接收及档案信息按时上传；利用重大节日切实做好退休人员走访慰问，做到“五必访”；组织开展以“1+4+N”模式的退休人员文体活动，引导退休人员开展互帮互助互学的自我管理模式，展示我区退休人员风采，营造尊老、敬老、爱老的社会氛围，彰显正能量。</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2、阶段性目标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（1）前期准备：通过制定项目实施方案，经项目负责人审核通过后，有序开展后续工作。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（2）组织实施：资金一到位，立即根据项目要求实施项目。项目责任人按照项目实施方案要求逐一进行项目部署安排，提高项目质量及效率性。</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二、绩效评价工作开展情况</w:t>
      </w:r>
    </w:p>
    <w:p>
      <w:pPr>
        <w:spacing w:line="540" w:lineRule="exact"/>
        <w:ind w:firstLine="567" w:firstLineChars="181"/>
        <w:rPr>
          <w:rStyle w:val="17"/>
          <w:rFonts w:ascii="楷体" w:hAnsi="楷体" w:eastAsia="楷体"/>
          <w:spacing w:val="-4"/>
          <w:sz w:val="32"/>
          <w:szCs w:val="32"/>
        </w:rPr>
      </w:pPr>
      <w:r>
        <w:rPr>
          <w:rStyle w:val="17"/>
          <w:rFonts w:hint="eastAsia" w:ascii="楷体" w:hAnsi="楷体" w:eastAsia="楷体"/>
          <w:spacing w:val="-4"/>
          <w:sz w:val="32"/>
          <w:szCs w:val="32"/>
        </w:rPr>
        <w:t>（一）绩效评价目的、对象和范围</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（一）绩效评价目的、对象和范围</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1、绩效评价的目的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（1）项目在实施前向项目负责人提供财政支出绩效方面的资金管理信息，促进项目支出严格按照资金管理规定进行。</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（2）项目绩效管理财政支出运行提供及时、有效的信息。</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综合来看，通过开展有效的财政支出绩效评价管理，达到改进预算管理、控制节约成本，提高预算资金使用效益的目的。</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2、绩效评价的对象</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国有企业退休人员社会化管理补助资金（中央、自治区）资金项目所包含的全部项目建设内容。</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3、绩效评价的范围</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国有企业退休人员社会化管理补助资金（中央、自治区）资金项目的决策、过程、产出、效益等。</w:t>
      </w:r>
    </w:p>
    <w:p>
      <w:pPr>
        <w:spacing w:line="540" w:lineRule="exact"/>
        <w:ind w:firstLine="567"/>
        <w:rPr>
          <w:rStyle w:val="17"/>
          <w:rFonts w:ascii="楷体" w:hAnsi="楷体" w:eastAsia="楷体"/>
          <w:spacing w:val="-4"/>
          <w:sz w:val="32"/>
          <w:szCs w:val="32"/>
        </w:rPr>
      </w:pPr>
      <w:r>
        <w:rPr>
          <w:rStyle w:val="17"/>
          <w:rFonts w:hint="eastAsia" w:ascii="楷体" w:hAnsi="楷体" w:eastAsia="楷体"/>
          <w:spacing w:val="-4"/>
          <w:sz w:val="32"/>
          <w:szCs w:val="32"/>
        </w:rPr>
        <w:t>（二）绩效评价原则、评价指标体系、评价方法、评价标准</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（二）绩效评价原则、评价指标体系（详情见表1）、评价方法、评价标准。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1、绩效评价原则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本次项目绩效评价遵循以下基本原则：</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（1）科学公正。绩效评价应当运用科学合理的方法，按照规范的程序，对项目绩效进行客观、公正的反映。</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（4）公开透明。绩效评价结果应依法依规公开，并自觉接受社会监督。</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2、评价指标体系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绩效评价框架是开展绩效评价的核心。绩效评价框架包括评价准则、关键评价问题、评价指标、数据来源、数据收集方法等。指标体系建立过程如下：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（1）确定评价指标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（2）确定权重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确定各个指标相对于项目总体绩效的权重分值。在绩效评价指标体系中，项目决策权重为20分，项目过程权重为20分，项目产出权重为40分，项目效益权重为20分。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（3）确定指标标准值</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指标标准值是绩效评价指标的尺度，既要反映同类项目的先进水平，又要符合项目的实际绩效水平。具体采用计划标准等确定此次绩效评价指标标准值。</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具体评价指标体系详情见附件1</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3、绩效评价方法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绩效评价从项目决策、项目过程、项目产出、项目效益四个维度进行评价。评价对象为项目目标实施情况，  评价核心为资金的支出完成情况和项目的产出效益。</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本次评价指标中，既有定性指标又有定量指标，各类指标因考核内容不同和客观标准不同存在较大差异，因此核定具体指标时采用了不同方法，具体评价方法如下：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（1）比较法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通过对绩效目标与实施效果、历史与当期情况，综合分析绩效目标实现程度。对项目最终验收情况与年度绩效目标对比、预算资金执行情况等相关因素进行比较。</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（2）因素分析法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4、评价标准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绩效评价标准通常包括计划标准、行业标准、历史标准等，用于对绩效指标完成情况进行比较。本次评价主要采用了计划标准和行业标准。</w:t>
      </w:r>
    </w:p>
    <w:p>
      <w:pPr>
        <w:spacing w:line="540" w:lineRule="exact"/>
        <w:ind w:firstLine="567" w:firstLineChars="181"/>
        <w:rPr>
          <w:rStyle w:val="17"/>
          <w:rFonts w:ascii="楷体" w:hAnsi="楷体" w:eastAsia="楷体"/>
          <w:spacing w:val="-4"/>
          <w:sz w:val="32"/>
          <w:szCs w:val="32"/>
        </w:rPr>
      </w:pPr>
      <w:r>
        <w:rPr>
          <w:rStyle w:val="17"/>
          <w:rFonts w:hint="eastAsia" w:ascii="楷体" w:hAnsi="楷体" w:eastAsia="楷体"/>
          <w:spacing w:val="-4"/>
          <w:sz w:val="32"/>
          <w:szCs w:val="32"/>
        </w:rPr>
        <w:t>（三）绩效评价工作过程</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（三）绩效评价工作过程</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三、综合评价情况及评价结论</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三、综合评价情况及评价结论（附相关评分表）</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对国有企业退休人员社会化管理补助资金（中央、自治区）资金项目进行客观评价，最终评分结果：总得分为 81.7分，属于“良”。其中，项目决策类指标权重为20分，得分为 20分，得分率为 100%。项目过程类指标权重为20分，得分为16.19分，得分率为 80.95%。项目产出类指标权重为40分，得分为25.51分，得分率为 63.78%。项目效益类指标权重为20分，得分为20分，得分率为100%。</w:t>
      </w:r>
    </w:p>
    <w:p>
      <w:pPr>
        <w:spacing w:line="540" w:lineRule="exact"/>
        <w:ind w:firstLine="640"/>
        <w:rPr>
          <w:rStyle w:val="17"/>
          <w:rFonts w:ascii="黑体" w:hAnsi="黑体" w:eastAsia="黑体"/>
        </w:rPr>
      </w:pPr>
      <w:r>
        <w:rPr>
          <w:rStyle w:val="17"/>
          <w:rFonts w:hint="eastAsia" w:ascii="黑体" w:hAnsi="黑体" w:eastAsia="黑体"/>
          <w:b w:val="0"/>
          <w:spacing w:val="-4"/>
          <w:sz w:val="32"/>
          <w:szCs w:val="32"/>
        </w:rPr>
        <w:t>四、绩效评价指标分析</w:t>
      </w:r>
      <w:r>
        <w:rPr>
          <w:rStyle w:val="17"/>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7"/>
          <w:rFonts w:hint="eastAsia" w:ascii="楷体" w:hAnsi="楷体" w:eastAsia="楷体"/>
          <w:spacing w:val="-4"/>
          <w:sz w:val="32"/>
          <w:szCs w:val="32"/>
        </w:rPr>
        <w:t>项目决策情况</w:t>
      </w:r>
    </w:p>
    <w:p>
      <w:pPr>
        <w:tabs>
          <w:tab w:val="center" w:pos="4295"/>
        </w:tabs>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（一）项目决策情况4.67</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立项符合法律法规、相关政策及部门职责，能反映和考核项目立项依据情况，项目申请、设立过程符合相关要求，能反映和考核项目立项的规范情况，所设定的绩效目标依据充分，符合客观实际，能反映和考核项目绩效目标与项目实施的相符情况，依据绩效目标设定的绩效指标清晰、细化、可衡量，能反映和考核项目绩效目标的明细化情况。</w:t>
      </w:r>
      <w:r>
        <w:rPr>
          <w:rStyle w:val="17"/>
          <w:rFonts w:hint="eastAsia" w:ascii="楷体" w:hAnsi="楷体" w:eastAsia="楷体"/>
          <w:b w:val="0"/>
          <w:bCs w:val="0"/>
          <w:spacing w:val="-4"/>
          <w:sz w:val="32"/>
          <w:szCs w:val="32"/>
        </w:rPr>
        <w:tab/>
      </w:r>
    </w:p>
    <w:p>
      <w:pPr>
        <w:spacing w:line="540" w:lineRule="exact"/>
        <w:ind w:firstLine="567" w:firstLineChars="181"/>
        <w:rPr>
          <w:rStyle w:val="17"/>
          <w:rFonts w:ascii="楷体" w:hAnsi="楷体" w:eastAsia="楷体"/>
          <w:spacing w:val="-4"/>
          <w:sz w:val="32"/>
          <w:szCs w:val="32"/>
        </w:rPr>
      </w:pPr>
      <w:r>
        <w:rPr>
          <w:rFonts w:hint="eastAsia" w:ascii="楷体" w:hAnsi="楷体" w:eastAsia="楷体"/>
          <w:b/>
          <w:spacing w:val="-4"/>
          <w:sz w:val="32"/>
          <w:szCs w:val="32"/>
        </w:rPr>
        <w:t>（二）</w:t>
      </w:r>
      <w:r>
        <w:rPr>
          <w:rStyle w:val="17"/>
          <w:rFonts w:hint="eastAsia" w:ascii="楷体" w:hAnsi="楷体" w:eastAsia="楷体"/>
          <w:spacing w:val="-4"/>
          <w:sz w:val="32"/>
          <w:szCs w:val="32"/>
        </w:rPr>
        <w:t>项目过程情况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（二）项目过程情况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严格按照预期绩效目标执行预算资金。项目资金使用符合相关的财务管理制度规定，能够反映和考核项目资金的规范运行情况；项目实施单位的财务和业务管理制度健全，能够反映和考核财务和业务管理制度对项目顺利实施的保障情况。</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7"/>
          <w:rFonts w:hint="eastAsia" w:ascii="楷体" w:hAnsi="楷体" w:eastAsia="楷体"/>
          <w:spacing w:val="-4"/>
          <w:sz w:val="32"/>
          <w:szCs w:val="32"/>
        </w:rPr>
        <w:t>项目产出情况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（（三）项目产出</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数量指标方面：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a.开展退休人员慰问活动指标，指标值为≧1场，实际完成1场，完成率100%，偏差率0%。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b.退休人员社会化管理人数指标，指标值为≧80000人，实际完成86308人，完成率107.9%，偏差率7.9%，偏差原因是退休人员新增。</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c.资格认证人数指标，指标值为≧60000人，实际完成64454人，完成率107.4%，偏差率7.4%，偏差原因是退休人员新增。</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c.d.组织开展退休人员活动场次指标，指标值为≧1场，实际完成2场，完成率200%，偏差率100%，偏差原因是丰富退休人员文体生活。</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质量指标方面：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a.活动次数达标率指标，指标值为100%，实际完成100%，完成率100%，偏差率0%。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b.资金到位率指标，指标值为100%，实际完成100%，完成率100%，偏差率0%。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时效指标方面：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a.活动按期完成率指标，指标值为100%，实际完成100%，完成率100%，偏差率0%。</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b.资金拨付及时率指标，指标值为100%，实际完成4.67%，完成率4.67%，偏差率95.33%。受疫情影响资金未能及时拨付，后续将加快资金执行进度。</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经济成本指标方面：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a.活动费每人的标准指标，指标值为260元/人/年，实际完成260元/人/年，完成率100%，偏差率0%。</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7"/>
          <w:rFonts w:hint="eastAsia" w:ascii="楷体" w:hAnsi="楷体" w:eastAsia="楷体"/>
          <w:spacing w:val="-4"/>
          <w:sz w:val="32"/>
          <w:szCs w:val="32"/>
        </w:rPr>
        <w:t>项目效益情况</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（四）效益情况</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经济效益指标方面：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项目本年度未设置经济效益指标。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可持续影响指标方面：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项目本年度未设置可持续影响指标。</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社会效益指标方面：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a.体现退休人员幸福感，展示我区退休人员风采，营造尊老、敬老、爱老的社会氛围指标，指标值为逐步提高，实际完成逐步提高，完成率100%，偏差率0%。</w:t>
      </w:r>
    </w:p>
    <w:p>
      <w:pPr>
        <w:spacing w:line="540" w:lineRule="exact"/>
        <w:ind w:firstLine="567"/>
        <w:rPr>
          <w:rStyle w:val="17"/>
          <w:rFonts w:ascii="楷体" w:hAnsi="楷体" w:eastAsia="楷体"/>
          <w:b w:val="0"/>
          <w:bCs w:val="0"/>
          <w:spacing w:val="-4"/>
          <w:sz w:val="32"/>
          <w:szCs w:val="32"/>
        </w:rPr>
      </w:pPr>
    </w:p>
    <w:p>
      <w:pPr>
        <w:spacing w:line="540" w:lineRule="exact"/>
        <w:ind w:firstLine="567" w:firstLineChars="181"/>
        <w:rPr>
          <w:rStyle w:val="17"/>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满意度指标方面：</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a.全区退休人员满意度指标，指标值为≧95%，实际完成95%，完成率100%，偏差率0%。</w:t>
      </w:r>
    </w:p>
    <w:p>
      <w:pPr>
        <w:spacing w:line="540" w:lineRule="exact"/>
        <w:ind w:firstLine="567"/>
        <w:rPr>
          <w:rStyle w:val="17"/>
          <w:rFonts w:ascii="楷体" w:hAnsi="楷体" w:eastAsia="楷体"/>
          <w:spacing w:val="-4"/>
          <w:sz w:val="32"/>
          <w:szCs w:val="32"/>
        </w:rPr>
      </w:pP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五、预算执行进度与绩效指标偏差</w:t>
      </w:r>
    </w:p>
    <w:p>
      <w:pPr>
        <w:spacing w:line="540" w:lineRule="exact"/>
        <w:ind w:firstLine="567"/>
        <w:rPr>
          <w:rStyle w:val="17"/>
          <w:rFonts w:ascii="楷体" w:hAnsi="楷体" w:eastAsia="楷体"/>
          <w:spacing w:val="-4"/>
          <w:sz w:val="32"/>
          <w:szCs w:val="32"/>
        </w:rPr>
      </w:pPr>
      <w:r>
        <w:rPr>
          <w:rStyle w:val="17"/>
          <w:rFonts w:hint="eastAsia" w:ascii="楷体" w:hAnsi="楷体" w:eastAsia="楷体"/>
          <w:b w:val="0"/>
          <w:bCs w:val="0"/>
          <w:spacing w:val="-4"/>
          <w:sz w:val="32"/>
          <w:szCs w:val="32"/>
        </w:rPr>
        <w:t>全年执行率4.67%,偏差率：95.33%。偏差原因：2022年因疫情原因，开展活动规模小，参与人数少，导致经费余留。2023年将加大活动开展规模，提高人员参与人数，提升活动覆盖率。</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7"/>
          <w:rFonts w:hint="eastAsia" w:ascii="楷体" w:hAnsi="楷体" w:eastAsia="楷体"/>
          <w:b w:val="0"/>
          <w:bCs w:val="0"/>
          <w:spacing w:val="-4"/>
          <w:sz w:val="32"/>
          <w:szCs w:val="32"/>
        </w:rPr>
        <w:t>五、主要经验及做法、存在的问题及原因分析</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（一）主要经验及做法</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（二）存在的问题及原因分析</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存在的问题及原因分析：活动开展方面，为丰富辖区退休人员文体活动，后期合理优化组织辖区退休人员开展活动。</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七、有关建议</w:t>
      </w:r>
    </w:p>
    <w:p>
      <w:pPr>
        <w:spacing w:line="540" w:lineRule="exact"/>
        <w:ind w:firstLine="567"/>
        <w:rPr>
          <w:rStyle w:val="17"/>
          <w:rFonts w:ascii="楷体" w:hAnsi="楷体" w:eastAsia="楷体"/>
          <w:spacing w:val="-4"/>
          <w:sz w:val="32"/>
          <w:szCs w:val="32"/>
        </w:rPr>
      </w:pPr>
      <w:r>
        <w:rPr>
          <w:rStyle w:val="17"/>
          <w:rFonts w:hint="eastAsia" w:ascii="楷体" w:hAnsi="楷体" w:eastAsia="楷体"/>
          <w:b w:val="0"/>
          <w:bCs w:val="0"/>
          <w:spacing w:val="-4"/>
          <w:sz w:val="32"/>
          <w:szCs w:val="32"/>
        </w:rPr>
        <w:t>六、有关建议</w:t>
      </w:r>
      <w:r>
        <w:rPr>
          <w:rStyle w:val="17"/>
          <w:rFonts w:hint="eastAsia" w:ascii="楷体" w:hAnsi="楷体" w:eastAsia="楷体"/>
          <w:b w:val="0"/>
          <w:bCs w:val="0"/>
          <w:spacing w:val="-4"/>
          <w:sz w:val="32"/>
          <w:szCs w:val="32"/>
        </w:rPr>
        <w:br w:type="textWrapping"/>
      </w:r>
      <w:r>
        <w:rPr>
          <w:rStyle w:val="17"/>
          <w:rFonts w:hint="eastAsia" w:ascii="楷体" w:hAnsi="楷体" w:eastAsia="楷体"/>
          <w:b w:val="0"/>
          <w:bCs w:val="0"/>
          <w:spacing w:val="-4"/>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pPr>
        <w:spacing w:line="540" w:lineRule="exact"/>
        <w:ind w:firstLine="640"/>
        <w:rPr>
          <w:rStyle w:val="17"/>
          <w:rFonts w:ascii="黑体" w:hAnsi="黑体" w:eastAsia="黑体"/>
          <w:b w:val="0"/>
          <w:spacing w:val="-4"/>
          <w:sz w:val="32"/>
          <w:szCs w:val="32"/>
        </w:rPr>
      </w:pPr>
      <w:r>
        <w:rPr>
          <w:rStyle w:val="17"/>
          <w:rFonts w:hint="eastAsia" w:ascii="黑体" w:hAnsi="黑体" w:eastAsia="黑体"/>
          <w:b w:val="0"/>
          <w:spacing w:val="-4"/>
          <w:sz w:val="32"/>
          <w:szCs w:val="32"/>
        </w:rPr>
        <w:t>八、其他需要说明的问题</w:t>
      </w:r>
    </w:p>
    <w:p>
      <w:pPr>
        <w:spacing w:line="540" w:lineRule="exact"/>
        <w:ind w:firstLine="567"/>
        <w:rPr>
          <w:rStyle w:val="17"/>
          <w:rFonts w:ascii="楷体" w:hAnsi="楷体" w:eastAsia="楷体"/>
          <w:b w:val="0"/>
          <w:bCs w:val="0"/>
          <w:spacing w:val="-4"/>
          <w:sz w:val="32"/>
          <w:szCs w:val="32"/>
        </w:rPr>
      </w:pPr>
      <w:r>
        <w:rPr>
          <w:rStyle w:val="17"/>
          <w:rFonts w:hint="eastAsia" w:ascii="楷体" w:hAnsi="楷体" w:eastAsia="楷体"/>
          <w:b w:val="0"/>
          <w:bCs w:val="0"/>
          <w:spacing w:val="-4"/>
          <w:sz w:val="32"/>
          <w:szCs w:val="32"/>
        </w:rPr>
        <w:t>无</w:t>
      </w: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p>
      <w:pPr>
        <w:spacing w:line="540" w:lineRule="exact"/>
        <w:ind w:firstLine="567"/>
        <w:rPr>
          <w:rStyle w:val="17"/>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71301C3"/>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0"/>
    <w:rPr>
      <w:b/>
      <w:bCs/>
    </w:rPr>
  </w:style>
  <w:style w:type="character" w:styleId="18">
    <w:name w:val="Emphasis"/>
    <w:basedOn w:val="16"/>
    <w:qFormat/>
    <w:uiPriority w:val="20"/>
    <w:rPr>
      <w:rFonts w:asciiTheme="minorHAnsi" w:hAnsiTheme="minorHAnsi"/>
      <w:b/>
      <w:i/>
      <w:iCs/>
    </w:rPr>
  </w:style>
  <w:style w:type="character" w:customStyle="1" w:styleId="20">
    <w:name w:val="标题 1 字符"/>
    <w:basedOn w:val="16"/>
    <w:link w:val="2"/>
    <w:qFormat/>
    <w:uiPriority w:val="9"/>
    <w:rPr>
      <w:rFonts w:asciiTheme="majorHAnsi" w:hAnsiTheme="majorHAnsi" w:eastAsiaTheme="majorEastAsia"/>
      <w:b/>
      <w:bCs/>
      <w:kern w:val="32"/>
      <w:sz w:val="32"/>
      <w:szCs w:val="32"/>
    </w:rPr>
  </w:style>
  <w:style w:type="character" w:customStyle="1" w:styleId="21">
    <w:name w:val="标题 2 字符"/>
    <w:basedOn w:val="16"/>
    <w:link w:val="3"/>
    <w:semiHidden/>
    <w:qFormat/>
    <w:uiPriority w:val="9"/>
    <w:rPr>
      <w:rFonts w:asciiTheme="majorHAnsi" w:hAnsiTheme="majorHAnsi" w:eastAsiaTheme="majorEastAsia"/>
      <w:b/>
      <w:bCs/>
      <w:i/>
      <w:iCs/>
      <w:sz w:val="28"/>
      <w:szCs w:val="28"/>
    </w:rPr>
  </w:style>
  <w:style w:type="character" w:customStyle="1" w:styleId="22">
    <w:name w:val="标题 3 字符"/>
    <w:basedOn w:val="16"/>
    <w:link w:val="4"/>
    <w:semiHidden/>
    <w:qFormat/>
    <w:uiPriority w:val="9"/>
    <w:rPr>
      <w:rFonts w:asciiTheme="majorHAnsi" w:hAnsiTheme="majorHAnsi" w:eastAsiaTheme="majorEastAsia"/>
      <w:b/>
      <w:bCs/>
      <w:sz w:val="26"/>
      <w:szCs w:val="26"/>
    </w:rPr>
  </w:style>
  <w:style w:type="character" w:customStyle="1" w:styleId="23">
    <w:name w:val="标题 4 字符"/>
    <w:basedOn w:val="16"/>
    <w:link w:val="5"/>
    <w:semiHidden/>
    <w:qFormat/>
    <w:uiPriority w:val="9"/>
    <w:rPr>
      <w:b/>
      <w:bCs/>
      <w:sz w:val="28"/>
      <w:szCs w:val="28"/>
    </w:rPr>
  </w:style>
  <w:style w:type="character" w:customStyle="1" w:styleId="24">
    <w:name w:val="标题 5 字符"/>
    <w:basedOn w:val="16"/>
    <w:link w:val="6"/>
    <w:semiHidden/>
    <w:qFormat/>
    <w:uiPriority w:val="9"/>
    <w:rPr>
      <w:b/>
      <w:bCs/>
      <w:i/>
      <w:iCs/>
      <w:sz w:val="26"/>
      <w:szCs w:val="26"/>
    </w:rPr>
  </w:style>
  <w:style w:type="character" w:customStyle="1" w:styleId="25">
    <w:name w:val="标题 6 字符"/>
    <w:basedOn w:val="16"/>
    <w:link w:val="7"/>
    <w:semiHidden/>
    <w:qFormat/>
    <w:uiPriority w:val="9"/>
    <w:rPr>
      <w:b/>
      <w:bCs/>
    </w:rPr>
  </w:style>
  <w:style w:type="character" w:customStyle="1" w:styleId="26">
    <w:name w:val="标题 7 字符"/>
    <w:basedOn w:val="16"/>
    <w:link w:val="8"/>
    <w:semiHidden/>
    <w:qFormat/>
    <w:uiPriority w:val="9"/>
    <w:rPr>
      <w:sz w:val="24"/>
      <w:szCs w:val="24"/>
    </w:rPr>
  </w:style>
  <w:style w:type="character" w:customStyle="1" w:styleId="27">
    <w:name w:val="标题 8 字符"/>
    <w:basedOn w:val="16"/>
    <w:link w:val="9"/>
    <w:semiHidden/>
    <w:qFormat/>
    <w:uiPriority w:val="9"/>
    <w:rPr>
      <w:i/>
      <w:iCs/>
      <w:sz w:val="24"/>
      <w:szCs w:val="24"/>
    </w:rPr>
  </w:style>
  <w:style w:type="character" w:customStyle="1" w:styleId="28">
    <w:name w:val="标题 9 字符"/>
    <w:basedOn w:val="16"/>
    <w:link w:val="10"/>
    <w:semiHidden/>
    <w:qFormat/>
    <w:uiPriority w:val="9"/>
    <w:rPr>
      <w:rFonts w:asciiTheme="majorHAnsi" w:hAnsiTheme="majorHAnsi" w:eastAsiaTheme="majorEastAsia"/>
    </w:rPr>
  </w:style>
  <w:style w:type="character" w:customStyle="1" w:styleId="29">
    <w:name w:val="标题 字符"/>
    <w:basedOn w:val="16"/>
    <w:link w:val="15"/>
    <w:qFormat/>
    <w:uiPriority w:val="10"/>
    <w:rPr>
      <w:rFonts w:asciiTheme="majorHAnsi" w:hAnsiTheme="majorHAnsi" w:eastAsiaTheme="majorEastAsia"/>
      <w:b/>
      <w:bCs/>
      <w:kern w:val="28"/>
      <w:sz w:val="32"/>
      <w:szCs w:val="32"/>
    </w:rPr>
  </w:style>
  <w:style w:type="character" w:customStyle="1" w:styleId="30">
    <w:name w:val="副标题 字符"/>
    <w:basedOn w:val="16"/>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6"/>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6"/>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6"/>
    <w:qFormat/>
    <w:uiPriority w:val="21"/>
    <w:rPr>
      <w:b/>
      <w:i/>
      <w:sz w:val="24"/>
      <w:szCs w:val="24"/>
      <w:u w:val="single"/>
    </w:rPr>
  </w:style>
  <w:style w:type="character" w:customStyle="1" w:styleId="39">
    <w:name w:val="不明显参考1"/>
    <w:basedOn w:val="16"/>
    <w:qFormat/>
    <w:uiPriority w:val="31"/>
    <w:rPr>
      <w:sz w:val="24"/>
      <w:szCs w:val="24"/>
      <w:u w:val="single"/>
    </w:rPr>
  </w:style>
  <w:style w:type="character" w:customStyle="1" w:styleId="40">
    <w:name w:val="明显参考1"/>
    <w:basedOn w:val="16"/>
    <w:qFormat/>
    <w:uiPriority w:val="32"/>
    <w:rPr>
      <w:b/>
      <w:sz w:val="24"/>
      <w:u w:val="single"/>
    </w:rPr>
  </w:style>
  <w:style w:type="character" w:customStyle="1" w:styleId="41">
    <w:name w:val="书籍标题1"/>
    <w:basedOn w:val="16"/>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6"/>
    <w:link w:val="13"/>
    <w:qFormat/>
    <w:uiPriority w:val="99"/>
    <w:rPr>
      <w:rFonts w:ascii="Calibri" w:hAnsi="Calibri" w:eastAsia="宋体"/>
      <w:kern w:val="2"/>
      <w:sz w:val="18"/>
      <w:szCs w:val="18"/>
    </w:rPr>
  </w:style>
  <w:style w:type="character" w:customStyle="1" w:styleId="44">
    <w:name w:val="页脚 字符"/>
    <w:basedOn w:val="16"/>
    <w:link w:val="12"/>
    <w:qFormat/>
    <w:uiPriority w:val="99"/>
    <w:rPr>
      <w:rFonts w:ascii="Calibri" w:hAnsi="Calibri" w:eastAsia="宋体"/>
      <w:kern w:val="2"/>
      <w:sz w:val="18"/>
      <w:szCs w:val="18"/>
    </w:rPr>
  </w:style>
  <w:style w:type="character" w:customStyle="1" w:styleId="45">
    <w:name w:val="批注框文本 字符"/>
    <w:basedOn w:val="16"/>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11</TotalTime>
  <ScaleCrop>false</ScaleCrop>
  <LinksUpToDate>false</LinksUpToDate>
  <CharactersWithSpaces>689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sqrsjcw</cp:lastModifiedBy>
  <cp:lastPrinted>2018-12-31T10:56:00Z</cp:lastPrinted>
  <dcterms:modified xsi:type="dcterms:W3CDTF">2023-08-22T08:40:19Z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C734C92AAAF24344A0E4232D8EB3359B</vt:lpwstr>
  </property>
</Properties>
</file>