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EC96E">
      <w:pPr>
        <w:spacing w:line="540" w:lineRule="exact"/>
        <w:jc w:val="center"/>
        <w:rPr>
          <w:rFonts w:hint="default" w:ascii="Times New Roman" w:hAnsi="Times New Roman" w:eastAsia="华文中宋" w:cs="Times New Roman"/>
          <w:b/>
          <w:color w:val="auto"/>
          <w:kern w:val="0"/>
          <w:sz w:val="52"/>
          <w:szCs w:val="52"/>
          <w:highlight w:val="none"/>
        </w:rPr>
      </w:pPr>
    </w:p>
    <w:p w14:paraId="40D6728D">
      <w:pPr>
        <w:spacing w:line="540" w:lineRule="exact"/>
        <w:rPr>
          <w:rFonts w:hint="default" w:ascii="Times New Roman" w:hAnsi="Times New Roman" w:eastAsia="华文中宋" w:cs="Times New Roman"/>
          <w:b/>
          <w:color w:val="auto"/>
          <w:kern w:val="0"/>
          <w:sz w:val="52"/>
          <w:szCs w:val="52"/>
          <w:highlight w:val="none"/>
        </w:rPr>
      </w:pPr>
    </w:p>
    <w:p w14:paraId="04126CC1">
      <w:pPr>
        <w:spacing w:line="540" w:lineRule="exact"/>
        <w:jc w:val="center"/>
        <w:rPr>
          <w:rFonts w:hint="default" w:ascii="Times New Roman" w:hAnsi="Times New Roman" w:eastAsia="华文中宋" w:cs="Times New Roman"/>
          <w:b/>
          <w:color w:val="auto"/>
          <w:kern w:val="0"/>
          <w:sz w:val="52"/>
          <w:szCs w:val="52"/>
          <w:highlight w:val="none"/>
        </w:rPr>
      </w:pPr>
    </w:p>
    <w:p w14:paraId="33CFCE5A">
      <w:pPr>
        <w:spacing w:line="540" w:lineRule="exact"/>
        <w:jc w:val="center"/>
        <w:rPr>
          <w:rFonts w:hint="default" w:ascii="Times New Roman" w:hAnsi="Times New Roman" w:eastAsia="华文中宋" w:cs="Times New Roman"/>
          <w:b/>
          <w:color w:val="auto"/>
          <w:kern w:val="0"/>
          <w:sz w:val="52"/>
          <w:szCs w:val="52"/>
          <w:highlight w:val="none"/>
        </w:rPr>
      </w:pPr>
    </w:p>
    <w:p w14:paraId="2814132D">
      <w:pPr>
        <w:spacing w:line="540" w:lineRule="exact"/>
        <w:jc w:val="center"/>
        <w:rPr>
          <w:rFonts w:hint="default" w:ascii="Times New Roman" w:hAnsi="Times New Roman" w:eastAsia="方正小标宋_GBK" w:cs="Times New Roman"/>
          <w:color w:val="auto"/>
          <w:kern w:val="0"/>
          <w:sz w:val="48"/>
          <w:szCs w:val="48"/>
          <w:highlight w:val="none"/>
        </w:rPr>
      </w:pPr>
      <w:r>
        <w:rPr>
          <w:rFonts w:hint="eastAsia" w:eastAsia="方正小标宋_GBK" w:cs="Times New Roman"/>
          <w:color w:val="auto"/>
          <w:kern w:val="0"/>
          <w:sz w:val="48"/>
          <w:szCs w:val="48"/>
          <w:highlight w:val="none"/>
          <w:lang w:eastAsia="zh-CN"/>
        </w:rPr>
        <w:t>关于预拨2024年残疾人两项补贴预算资金的通知(市级）</w:t>
      </w:r>
      <w:r>
        <w:rPr>
          <w:rFonts w:hint="default" w:ascii="Times New Roman" w:hAnsi="Times New Roman" w:eastAsia="方正小标宋_GBK" w:cs="Times New Roman"/>
          <w:color w:val="auto"/>
          <w:kern w:val="0"/>
          <w:sz w:val="48"/>
          <w:szCs w:val="48"/>
          <w:highlight w:val="none"/>
        </w:rPr>
        <w:t>项目支出绩效评价</w:t>
      </w:r>
    </w:p>
    <w:p w14:paraId="5E9FF8B6">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报告</w:t>
      </w:r>
    </w:p>
    <w:p w14:paraId="3AD97F0D">
      <w:pPr>
        <w:spacing w:line="540" w:lineRule="exact"/>
        <w:jc w:val="center"/>
        <w:rPr>
          <w:rFonts w:hint="default" w:ascii="Times New Roman" w:hAnsi="Times New Roman" w:eastAsia="华文中宋" w:cs="Times New Roman"/>
          <w:b/>
          <w:color w:val="auto"/>
          <w:kern w:val="0"/>
          <w:sz w:val="52"/>
          <w:szCs w:val="52"/>
          <w:highlight w:val="none"/>
        </w:rPr>
      </w:pPr>
    </w:p>
    <w:p w14:paraId="3C86F5F3">
      <w:pPr>
        <w:spacing w:line="540" w:lineRule="exact"/>
        <w:jc w:val="center"/>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（202</w:t>
      </w:r>
      <w:r>
        <w:rPr>
          <w:rFonts w:hint="default" w:ascii="Times New Roman" w:hAnsi="Times New Roman"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年度）</w:t>
      </w:r>
    </w:p>
    <w:p w14:paraId="529C53CB">
      <w:pPr>
        <w:spacing w:line="540" w:lineRule="exact"/>
        <w:jc w:val="center"/>
        <w:rPr>
          <w:rFonts w:hint="default" w:ascii="Times New Roman" w:hAnsi="Times New Roman" w:eastAsia="仿宋_GB2312" w:cs="Times New Roman"/>
          <w:color w:val="auto"/>
          <w:kern w:val="0"/>
          <w:sz w:val="30"/>
          <w:szCs w:val="30"/>
          <w:highlight w:val="none"/>
        </w:rPr>
      </w:pPr>
    </w:p>
    <w:p w14:paraId="4A0C398F">
      <w:pPr>
        <w:spacing w:line="540" w:lineRule="exact"/>
        <w:jc w:val="center"/>
        <w:rPr>
          <w:rFonts w:hint="default" w:ascii="Times New Roman" w:hAnsi="Times New Roman" w:eastAsia="仿宋_GB2312" w:cs="Times New Roman"/>
          <w:color w:val="auto"/>
          <w:kern w:val="0"/>
          <w:sz w:val="30"/>
          <w:szCs w:val="30"/>
          <w:highlight w:val="none"/>
        </w:rPr>
      </w:pPr>
    </w:p>
    <w:p w14:paraId="7EA80421">
      <w:pPr>
        <w:pStyle w:val="10"/>
        <w:jc w:val="both"/>
        <w:rPr>
          <w:rFonts w:hint="default" w:ascii="Times New Roman" w:hAnsi="Times New Roman" w:cs="Times New Roman"/>
          <w:color w:val="auto"/>
          <w:highlight w:val="none"/>
        </w:rPr>
      </w:pPr>
    </w:p>
    <w:p w14:paraId="6D9780E5">
      <w:pPr>
        <w:spacing w:line="540" w:lineRule="exact"/>
        <w:jc w:val="center"/>
        <w:rPr>
          <w:rFonts w:hint="default" w:ascii="Times New Roman" w:hAnsi="Times New Roman" w:eastAsia="仿宋_GB2312" w:cs="Times New Roman"/>
          <w:color w:val="auto"/>
          <w:kern w:val="0"/>
          <w:sz w:val="30"/>
          <w:szCs w:val="30"/>
          <w:highlight w:val="none"/>
        </w:rPr>
      </w:pPr>
    </w:p>
    <w:p w14:paraId="4E62B53E">
      <w:pPr>
        <w:spacing w:line="540" w:lineRule="exact"/>
        <w:rPr>
          <w:rFonts w:hint="default" w:ascii="Times New Roman" w:hAnsi="Times New Roman" w:eastAsia="仿宋_GB2312" w:cs="Times New Roman"/>
          <w:color w:val="auto"/>
          <w:kern w:val="0"/>
          <w:sz w:val="30"/>
          <w:szCs w:val="30"/>
          <w:highlight w:val="none"/>
        </w:rPr>
      </w:pPr>
    </w:p>
    <w:p w14:paraId="121EA887">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项目名称：</w:t>
      </w:r>
      <w:r>
        <w:rPr>
          <w:rFonts w:hint="eastAsia" w:ascii="Times New Roman" w:hAnsi="Times New Roman" w:eastAsia="仿宋_GB2312" w:cs="Times New Roman"/>
          <w:color w:val="auto"/>
          <w:kern w:val="0"/>
          <w:sz w:val="36"/>
          <w:szCs w:val="36"/>
          <w:highlight w:val="none"/>
        </w:rPr>
        <w:t>关于预拨2024年残疾人两项补贴预算资金的通知(市级）</w:t>
      </w:r>
    </w:p>
    <w:p w14:paraId="16F46084">
      <w:pPr>
        <w:spacing w:line="700" w:lineRule="exact"/>
        <w:ind w:firstLine="1440" w:firstLineChars="400"/>
        <w:jc w:val="left"/>
        <w:rPr>
          <w:rFonts w:hint="eastAsia" w:ascii="Times New Roman" w:hAnsi="Times New Roman" w:eastAsia="仿宋_GB2312" w:cs="Times New Roman"/>
          <w:color w:val="auto"/>
          <w:kern w:val="0"/>
          <w:sz w:val="36"/>
          <w:szCs w:val="36"/>
          <w:highlight w:val="none"/>
          <w:lang w:eastAsia="zh-CN"/>
        </w:rPr>
      </w:pPr>
      <w:r>
        <w:rPr>
          <w:rFonts w:hint="default" w:ascii="Times New Roman" w:hAnsi="Times New Roman" w:eastAsia="仿宋_GB2312" w:cs="Times New Roman"/>
          <w:color w:val="auto"/>
          <w:kern w:val="0"/>
          <w:sz w:val="36"/>
          <w:szCs w:val="36"/>
          <w:highlight w:val="none"/>
        </w:rPr>
        <w:t>实施单位（公章）：</w:t>
      </w:r>
      <w:r>
        <w:rPr>
          <w:rFonts w:hint="eastAsia" w:eastAsia="仿宋_GB2312" w:cs="Times New Roman"/>
          <w:color w:val="auto"/>
          <w:kern w:val="0"/>
          <w:sz w:val="36"/>
          <w:szCs w:val="36"/>
          <w:highlight w:val="none"/>
          <w:lang w:eastAsia="zh-CN"/>
        </w:rPr>
        <w:t>沙依巴克区民政局</w:t>
      </w:r>
    </w:p>
    <w:p w14:paraId="35F4D5EA">
      <w:pPr>
        <w:spacing w:line="700" w:lineRule="exact"/>
        <w:ind w:firstLine="1440" w:firstLineChars="400"/>
        <w:jc w:val="left"/>
        <w:rPr>
          <w:rFonts w:hint="eastAsia" w:ascii="Times New Roman" w:hAnsi="Times New Roman" w:eastAsia="仿宋_GB2312" w:cs="Times New Roman"/>
          <w:color w:val="auto"/>
          <w:kern w:val="0"/>
          <w:sz w:val="36"/>
          <w:szCs w:val="36"/>
          <w:highlight w:val="none"/>
          <w:lang w:eastAsia="zh-CN"/>
        </w:rPr>
      </w:pPr>
      <w:r>
        <w:rPr>
          <w:rFonts w:hint="default" w:ascii="Times New Roman" w:hAnsi="Times New Roman" w:eastAsia="仿宋_GB2312" w:cs="Times New Roman"/>
          <w:color w:val="auto"/>
          <w:kern w:val="0"/>
          <w:sz w:val="36"/>
          <w:szCs w:val="36"/>
          <w:highlight w:val="none"/>
        </w:rPr>
        <w:t>主管部门（公章）：</w:t>
      </w:r>
      <w:r>
        <w:rPr>
          <w:rFonts w:hint="eastAsia" w:eastAsia="仿宋_GB2312" w:cs="Times New Roman"/>
          <w:color w:val="auto"/>
          <w:kern w:val="0"/>
          <w:sz w:val="36"/>
          <w:szCs w:val="36"/>
          <w:highlight w:val="none"/>
          <w:lang w:eastAsia="zh-CN"/>
        </w:rPr>
        <w:t>沙依巴克区人民政府</w:t>
      </w:r>
    </w:p>
    <w:p w14:paraId="71818999">
      <w:pPr>
        <w:spacing w:line="700" w:lineRule="exact"/>
        <w:ind w:firstLine="1440" w:firstLineChars="400"/>
        <w:jc w:val="left"/>
        <w:rPr>
          <w:rFonts w:hint="eastAsia" w:ascii="Times New Roman" w:hAnsi="Times New Roman" w:eastAsia="仿宋_GB2312" w:cs="Times New Roman"/>
          <w:color w:val="auto"/>
          <w:kern w:val="0"/>
          <w:sz w:val="36"/>
          <w:szCs w:val="36"/>
          <w:highlight w:val="none"/>
          <w:lang w:eastAsia="zh-CN"/>
        </w:rPr>
      </w:pPr>
      <w:r>
        <w:rPr>
          <w:rFonts w:hint="default" w:ascii="Times New Roman" w:hAnsi="Times New Roman" w:eastAsia="仿宋_GB2312" w:cs="Times New Roman"/>
          <w:color w:val="auto"/>
          <w:kern w:val="0"/>
          <w:sz w:val="36"/>
          <w:szCs w:val="36"/>
          <w:highlight w:val="none"/>
        </w:rPr>
        <w:t>项目负责人（签章）：</w:t>
      </w:r>
      <w:r>
        <w:rPr>
          <w:rFonts w:hint="eastAsia" w:eastAsia="仿宋_GB2312" w:cs="Times New Roman"/>
          <w:color w:val="auto"/>
          <w:kern w:val="0"/>
          <w:sz w:val="36"/>
          <w:szCs w:val="36"/>
          <w:highlight w:val="none"/>
          <w:lang w:eastAsia="zh-CN"/>
        </w:rPr>
        <w:t>赵菊萍</w:t>
      </w:r>
    </w:p>
    <w:p w14:paraId="404E4429">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填报时间：</w:t>
      </w:r>
      <w:r>
        <w:rPr>
          <w:rFonts w:hint="eastAsia" w:eastAsia="仿宋_GB2312" w:cs="Times New Roman"/>
          <w:color w:val="auto"/>
          <w:kern w:val="0"/>
          <w:sz w:val="36"/>
          <w:szCs w:val="36"/>
          <w:highlight w:val="none"/>
          <w:lang w:val="en-US" w:eastAsia="zh-CN"/>
        </w:rPr>
        <w:t>2025</w:t>
      </w:r>
      <w:r>
        <w:rPr>
          <w:rFonts w:hint="default" w:ascii="Times New Roman" w:hAnsi="Times New Roman" w:eastAsia="仿宋_GB2312" w:cs="Times New Roman"/>
          <w:color w:val="auto"/>
          <w:kern w:val="0"/>
          <w:sz w:val="36"/>
          <w:szCs w:val="36"/>
          <w:highlight w:val="none"/>
        </w:rPr>
        <w:t>年</w:t>
      </w:r>
      <w:r>
        <w:rPr>
          <w:rFonts w:hint="eastAsia"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月</w:t>
      </w:r>
      <w:r>
        <w:rPr>
          <w:rFonts w:hint="eastAsia" w:eastAsia="仿宋_GB2312" w:cs="Times New Roman"/>
          <w:color w:val="auto"/>
          <w:kern w:val="0"/>
          <w:sz w:val="36"/>
          <w:szCs w:val="36"/>
          <w:highlight w:val="none"/>
          <w:lang w:val="en-US" w:eastAsia="zh-CN"/>
        </w:rPr>
        <w:t>1</w:t>
      </w:r>
      <w:r>
        <w:rPr>
          <w:rFonts w:hint="default" w:ascii="Times New Roman" w:hAnsi="Times New Roman" w:eastAsia="仿宋_GB2312" w:cs="Times New Roman"/>
          <w:color w:val="auto"/>
          <w:kern w:val="0"/>
          <w:sz w:val="36"/>
          <w:szCs w:val="36"/>
          <w:highlight w:val="none"/>
        </w:rPr>
        <w:t>日</w:t>
      </w:r>
    </w:p>
    <w:p w14:paraId="3F0DB7FF">
      <w:pPr>
        <w:spacing w:line="540" w:lineRule="exact"/>
        <w:jc w:val="center"/>
        <w:rPr>
          <w:rFonts w:hint="default" w:ascii="Times New Roman" w:hAnsi="Times New Roman" w:eastAsia="仿宋_GB2312" w:cs="Times New Roman"/>
          <w:color w:val="auto"/>
          <w:kern w:val="0"/>
          <w:sz w:val="30"/>
          <w:szCs w:val="30"/>
          <w:highlight w:val="none"/>
        </w:rPr>
      </w:pPr>
    </w:p>
    <w:p w14:paraId="3379A167">
      <w:pPr>
        <w:spacing w:line="540" w:lineRule="exact"/>
        <w:rPr>
          <w:rStyle w:val="16"/>
          <w:rFonts w:hint="default" w:ascii="Times New Roman" w:hAnsi="Times New Roman" w:eastAsia="黑体" w:cs="Times New Roman"/>
          <w:b w:val="0"/>
          <w:color w:val="auto"/>
          <w:spacing w:val="-4"/>
          <w:sz w:val="32"/>
          <w:szCs w:val="32"/>
          <w:highlight w:val="none"/>
        </w:rPr>
      </w:pPr>
    </w:p>
    <w:p w14:paraId="12D4B830">
      <w:pPr>
        <w:spacing w:line="560" w:lineRule="exact"/>
        <w:rPr>
          <w:rFonts w:hint="default" w:ascii="Times New Roman" w:hAnsi="Times New Roman" w:eastAsia="黑体" w:cs="Times New Roman"/>
          <w:bCs/>
          <w:color w:val="auto"/>
          <w:sz w:val="32"/>
          <w:szCs w:val="32"/>
          <w:highlight w:val="none"/>
        </w:rPr>
        <w:sectPr>
          <w:pgSz w:w="11906" w:h="16838"/>
          <w:pgMar w:top="1440" w:right="1558" w:bottom="1440" w:left="1800" w:header="851" w:footer="992" w:gutter="0"/>
          <w:cols w:space="425" w:num="1"/>
          <w:docGrid w:type="lines" w:linePitch="312" w:charSpace="0"/>
        </w:sectPr>
      </w:pPr>
    </w:p>
    <w:p w14:paraId="18B3B502">
      <w:pPr>
        <w:spacing w:line="56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一、基本情况</w:t>
      </w:r>
    </w:p>
    <w:p w14:paraId="3BF8C1F1">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（一）项目概况</w:t>
      </w:r>
    </w:p>
    <w:p w14:paraId="0148783D">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项目背景</w:t>
      </w:r>
    </w:p>
    <w:p w14:paraId="3FE92A8F">
      <w:pPr>
        <w:spacing w:line="560" w:lineRule="exact"/>
        <w:ind w:firstLine="600" w:firstLineChars="200"/>
        <w:rPr>
          <w:rFonts w:hint="default" w:ascii="Times New Roman" w:hAnsi="Times New Roman" w:eastAsia="仿宋_GB2312" w:cs="Times New Roman"/>
          <w:i w:val="0"/>
          <w:caps w:val="0"/>
          <w:color w:val="auto"/>
          <w:spacing w:val="0"/>
          <w:sz w:val="30"/>
          <w:szCs w:val="30"/>
          <w:highlight w:val="none"/>
          <w:shd w:val="clear" w:fill="auto"/>
          <w:lang w:eastAsia="zh-CN"/>
        </w:rPr>
      </w:pPr>
      <w:r>
        <w:rPr>
          <w:rFonts w:hint="default" w:ascii="Times New Roman" w:hAnsi="Times New Roman" w:eastAsia="仿宋_GB2312" w:cs="Times New Roman"/>
          <w:i w:val="0"/>
          <w:caps w:val="0"/>
          <w:color w:val="auto"/>
          <w:spacing w:val="0"/>
          <w:sz w:val="30"/>
          <w:szCs w:val="30"/>
          <w:highlight w:val="none"/>
          <w:shd w:val="clear" w:fill="auto"/>
          <w:lang w:eastAsia="zh-CN"/>
        </w:rPr>
        <w:t>根据国务院《关于全面建立困难残疾人生活补贴和重度残疾人护理补贴制度的意见》（国发〔2015〕52号）文件，自2016年1月1日起，全面实施困难残疾人生活补贴和重度残疾人护理补贴（以下统称残疾人两项补贴）制度。这一全国层面建立残疾人专项福利补贴制度，成为困难残疾人和重度残疾人保基本、兜底线的重要民生保障制度。在此背景下，河南省政府针对贫困残疾人和重度残疾人贫困程度深和需求特殊的现实，按照国发〔2015〕52号文件精神，全面实施了残疾人生活和护理补贴项目。</w:t>
      </w:r>
    </w:p>
    <w:p w14:paraId="765D53AD">
      <w:pPr>
        <w:spacing w:line="560" w:lineRule="exact"/>
        <w:ind w:firstLine="600" w:firstLineChars="200"/>
        <w:rPr>
          <w:rStyle w:val="15"/>
          <w:rFonts w:hint="default" w:ascii="Times New Roman" w:hAnsi="Times New Roman" w:eastAsia="仿宋_GB2312" w:cs="Times New Roman"/>
          <w:b w:val="0"/>
          <w:bCs w:val="0"/>
          <w:color w:val="auto"/>
          <w:spacing w:val="0"/>
          <w:sz w:val="30"/>
          <w:szCs w:val="30"/>
          <w:highlight w:val="none"/>
          <w:lang w:eastAsia="zh-CN"/>
        </w:rPr>
      </w:pPr>
      <w:r>
        <w:rPr>
          <w:rFonts w:hint="default" w:ascii="Times New Roman" w:hAnsi="Times New Roman" w:eastAsia="仿宋_GB2312" w:cs="Times New Roman"/>
          <w:i w:val="0"/>
          <w:caps w:val="0"/>
          <w:color w:val="auto"/>
          <w:spacing w:val="0"/>
          <w:sz w:val="30"/>
          <w:szCs w:val="30"/>
          <w:highlight w:val="none"/>
          <w:shd w:val="clear" w:fill="auto"/>
          <w:lang w:eastAsia="zh-CN"/>
        </w:rPr>
        <w:t>残疾人事业是中国特色社会主义事业的重要组成部分，扶残助残是社会文明进步的重要标志。为切实改善残疾人的生活状况，维护残疾人合法权益，进一步提高残疾人的获得感、安全感、幸福感，</w:t>
      </w:r>
      <w:r>
        <w:rPr>
          <w:rFonts w:hint="eastAsia" w:eastAsia="仿宋_GB2312" w:cs="Times New Roman"/>
          <w:i w:val="0"/>
          <w:caps w:val="0"/>
          <w:color w:val="auto"/>
          <w:spacing w:val="0"/>
          <w:sz w:val="30"/>
          <w:szCs w:val="30"/>
          <w:highlight w:val="none"/>
          <w:shd w:val="clear" w:fill="auto"/>
          <w:lang w:val="en-US" w:eastAsia="zh-CN"/>
        </w:rPr>
        <w:t>我区</w:t>
      </w:r>
      <w:r>
        <w:rPr>
          <w:rFonts w:hint="default" w:ascii="Times New Roman" w:hAnsi="Times New Roman" w:eastAsia="仿宋_GB2312" w:cs="Times New Roman"/>
          <w:i w:val="0"/>
          <w:caps w:val="0"/>
          <w:color w:val="auto"/>
          <w:spacing w:val="0"/>
          <w:sz w:val="30"/>
          <w:szCs w:val="30"/>
          <w:highlight w:val="none"/>
          <w:shd w:val="clear" w:fill="auto"/>
          <w:lang w:eastAsia="zh-CN"/>
        </w:rPr>
        <w:t>民政局组织实施了202</w:t>
      </w:r>
      <w:r>
        <w:rPr>
          <w:rFonts w:hint="eastAsia" w:eastAsia="仿宋_GB2312" w:cs="Times New Roman"/>
          <w:i w:val="0"/>
          <w:caps w:val="0"/>
          <w:color w:val="auto"/>
          <w:spacing w:val="0"/>
          <w:sz w:val="30"/>
          <w:szCs w:val="30"/>
          <w:highlight w:val="none"/>
          <w:shd w:val="clear" w:fill="auto"/>
          <w:lang w:val="en-US" w:eastAsia="zh-CN"/>
        </w:rPr>
        <w:t>4</w:t>
      </w:r>
      <w:r>
        <w:rPr>
          <w:rFonts w:hint="default" w:ascii="Times New Roman" w:hAnsi="Times New Roman" w:eastAsia="仿宋_GB2312" w:cs="Times New Roman"/>
          <w:i w:val="0"/>
          <w:caps w:val="0"/>
          <w:color w:val="auto"/>
          <w:spacing w:val="0"/>
          <w:sz w:val="30"/>
          <w:szCs w:val="30"/>
          <w:highlight w:val="none"/>
          <w:shd w:val="clear" w:fill="auto"/>
          <w:lang w:eastAsia="zh-CN"/>
        </w:rPr>
        <w:t>年残疾人两项补贴项目。</w:t>
      </w:r>
    </w:p>
    <w:p w14:paraId="1A64783E">
      <w:pPr>
        <w:pStyle w:val="10"/>
        <w:numPr>
          <w:ilvl w:val="0"/>
          <w:numId w:val="0"/>
        </w:numPr>
        <w:spacing w:before="0" w:after="0" w:line="560" w:lineRule="exact"/>
        <w:ind w:firstLine="643" w:firstLineChars="20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color w:val="auto"/>
          <w:kern w:val="2"/>
          <w:highlight w:val="none"/>
          <w:lang w:val="en-US" w:eastAsia="zh-CN"/>
        </w:rPr>
        <w:t>2.</w:t>
      </w:r>
      <w:r>
        <w:rPr>
          <w:rFonts w:hint="default" w:ascii="Times New Roman" w:hAnsi="Times New Roman" w:eastAsia="仿宋_GB2312" w:cs="Times New Roman"/>
          <w:color w:val="auto"/>
          <w:kern w:val="2"/>
          <w:highlight w:val="none"/>
        </w:rPr>
        <w:t>项目主要内容：</w:t>
      </w:r>
    </w:p>
    <w:p w14:paraId="0896D093">
      <w:pPr>
        <w:spacing w:line="560" w:lineRule="exact"/>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项目主要内容：</w:t>
      </w:r>
      <w:r>
        <w:rPr>
          <w:rFonts w:hint="eastAsia" w:ascii="Times New Roman" w:hAnsi="Times New Roman" w:eastAsia="仿宋_GB2312" w:cs="Times New Roman"/>
          <w:color w:val="auto"/>
          <w:sz w:val="30"/>
          <w:szCs w:val="30"/>
          <w:highlight w:val="none"/>
          <w:lang w:val="en-US" w:eastAsia="zh-CN"/>
        </w:rPr>
        <w:t>困难残疾人生活补贴、重度残疾人护理补贴</w:t>
      </w:r>
      <w:r>
        <w:rPr>
          <w:rFonts w:hint="eastAsia"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2"/>
          <w:szCs w:val="32"/>
          <w:highlight w:val="none"/>
        </w:rPr>
        <w:t>按120元/月/人标准，分别按生活补贴和护理补贴享受人数按月及时发放残疾人两项补贴</w:t>
      </w:r>
    </w:p>
    <w:p w14:paraId="42436ED3">
      <w:pPr>
        <w:spacing w:line="560" w:lineRule="exact"/>
        <w:ind w:firstLine="60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0"/>
          <w:szCs w:val="30"/>
          <w:highlight w:val="none"/>
          <w:lang w:val="en-US" w:eastAsia="zh-CN"/>
        </w:rPr>
        <w:t>2024年我区按120元/月/人标准，分别按月发放生活补贴和护理补贴，全年困难残疾人平均发放987人，重度残疾人平均发放2313人，资金发放覆盖率达到100%，进一步保证我区享受残疾人两项补助人员的基本生活，确保残疾人员的基本生活权益，提高残疾生活基本保障，提高残疾人的获得感和幸福感。</w:t>
      </w:r>
    </w:p>
    <w:p w14:paraId="10702541">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资金投入和使用情况</w:t>
      </w:r>
    </w:p>
    <w:p w14:paraId="3FD25DA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（1）资金投入情况</w:t>
      </w:r>
    </w:p>
    <w:p w14:paraId="2507C9C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该项目资金已全部落实到位，资金来源为</w:t>
      </w:r>
      <w:r>
        <w:rPr>
          <w:rFonts w:hint="eastAsia" w:ascii="Times New Roman" w:hAnsi="Times New Roman" w:eastAsia="仿宋_GB2312" w:cs="Times New Roman"/>
          <w:color w:val="auto"/>
          <w:sz w:val="32"/>
          <w:szCs w:val="32"/>
          <w:highlight w:val="none"/>
          <w:lang w:val="en-US" w:eastAsia="zh-CN"/>
        </w:rPr>
        <w:t>财政拨款</w:t>
      </w:r>
      <w:r>
        <w:rPr>
          <w:rFonts w:hint="default" w:ascii="Times New Roman" w:hAnsi="Times New Roman" w:eastAsia="仿宋_GB2312" w:cs="Times New Roman"/>
          <w:color w:val="auto"/>
          <w:sz w:val="32"/>
          <w:szCs w:val="32"/>
          <w:highlight w:val="none"/>
          <w:lang w:val="en-US" w:eastAsia="zh-CN"/>
        </w:rPr>
        <w:t>。</w:t>
      </w:r>
    </w:p>
    <w:p w14:paraId="469CAC9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（2）资金使用情况</w:t>
      </w:r>
    </w:p>
    <w:p w14:paraId="11A315A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lang w:val="en-US" w:eastAsia="zh-CN"/>
        </w:rPr>
        <w:t>万元，全年执行</w:t>
      </w:r>
      <w:r>
        <w:rPr>
          <w:rFonts w:hint="eastAsia" w:ascii="Times New Roman" w:hAnsi="Times New Roman" w:eastAsia="仿宋_GB2312" w:cs="Times New Roman"/>
          <w:color w:val="auto"/>
          <w:sz w:val="32"/>
          <w:szCs w:val="32"/>
          <w:highlight w:val="none"/>
          <w:lang w:val="en-US" w:eastAsia="zh-CN"/>
        </w:rPr>
        <w:t>数</w:t>
      </w:r>
      <w:r>
        <w:rPr>
          <w:rFonts w:hint="eastAsia"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lang w:val="en-US" w:eastAsia="zh-CN"/>
        </w:rPr>
        <w:t>万元，预算执行率为</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，主要用于：</w:t>
      </w:r>
      <w:r>
        <w:rPr>
          <w:rFonts w:hint="eastAsia" w:eastAsia="仿宋_GB2312" w:cs="Times New Roman"/>
          <w:color w:val="auto"/>
          <w:sz w:val="32"/>
          <w:szCs w:val="32"/>
          <w:highlight w:val="none"/>
          <w:lang w:val="en-US" w:eastAsia="zh-CN"/>
        </w:rPr>
        <w:t>发放困难残疾人生活补贴和重度残疾人护理补贴。</w:t>
      </w:r>
      <w:r>
        <w:rPr>
          <w:rStyle w:val="16"/>
          <w:rFonts w:eastAsia="楷体"/>
          <w:b w:val="0"/>
          <w:bCs w:val="0"/>
          <w:spacing w:val="-4"/>
          <w:sz w:val="32"/>
          <w:szCs w:val="32"/>
        </w:rPr>
        <w:t>发放困难残疾人生活补贴</w:t>
      </w:r>
      <w:r>
        <w:rPr>
          <w:rStyle w:val="16"/>
          <w:rFonts w:hint="eastAsia" w:eastAsia="楷体"/>
          <w:b w:val="0"/>
          <w:bCs w:val="0"/>
          <w:spacing w:val="-4"/>
          <w:sz w:val="32"/>
          <w:szCs w:val="32"/>
          <w:lang w:val="en-US" w:eastAsia="zh-CN"/>
        </w:rPr>
        <w:t>58万元</w:t>
      </w:r>
      <w:r>
        <w:rPr>
          <w:rStyle w:val="16"/>
          <w:rFonts w:eastAsia="楷体"/>
          <w:b w:val="0"/>
          <w:bCs w:val="0"/>
          <w:spacing w:val="-4"/>
          <w:sz w:val="32"/>
          <w:szCs w:val="32"/>
        </w:rPr>
        <w:t>和重度残疾人护理补贴</w:t>
      </w:r>
      <w:r>
        <w:rPr>
          <w:rStyle w:val="16"/>
          <w:rFonts w:hint="eastAsia" w:eastAsia="楷体"/>
          <w:b w:val="0"/>
          <w:bCs w:val="0"/>
          <w:spacing w:val="-4"/>
          <w:sz w:val="32"/>
          <w:szCs w:val="32"/>
          <w:lang w:val="en-US" w:eastAsia="zh-CN"/>
        </w:rPr>
        <w:t>120万元</w:t>
      </w:r>
      <w:r>
        <w:rPr>
          <w:rStyle w:val="16"/>
          <w:rFonts w:eastAsia="楷体"/>
          <w:b w:val="0"/>
          <w:bCs w:val="0"/>
          <w:spacing w:val="-4"/>
          <w:sz w:val="32"/>
          <w:szCs w:val="32"/>
        </w:rPr>
        <w:t>。</w:t>
      </w:r>
    </w:p>
    <w:p w14:paraId="68294F6B">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（二）项目绩效目标</w:t>
      </w:r>
    </w:p>
    <w:p w14:paraId="56FD689A">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总体目标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按120元/月/人标准，分别按生活补贴和护理补贴享受人数按月及时发放残疾人两项补贴，资金发放覆盖率达到100%，进一步保证我区享受残疾人两项补助人员的基本生活，确保残疾人员的基本生活权益，提高残疾生活基本保障，提高残疾人的获得感和幸福感</w:t>
      </w:r>
      <w:r>
        <w:rPr>
          <w:rFonts w:hint="eastAsia" w:eastAsia="仿宋_GB2312" w:cs="Times New Roman"/>
          <w:color w:val="auto"/>
          <w:sz w:val="32"/>
          <w:szCs w:val="32"/>
          <w:highlight w:val="none"/>
          <w:lang w:val="en-US" w:eastAsia="zh-CN"/>
        </w:rPr>
        <w:t>.</w:t>
      </w:r>
    </w:p>
    <w:p w14:paraId="664A2EB0">
      <w:pPr>
        <w:spacing w:line="560" w:lineRule="exact"/>
        <w:ind w:firstLine="640" w:firstLineChars="200"/>
        <w:rPr>
          <w:rFonts w:hint="default"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阶段性目标</w:t>
      </w:r>
      <w:r>
        <w:rPr>
          <w:rFonts w:hint="eastAsia" w:eastAsia="仿宋_GB2312" w:cs="Times New Roman"/>
          <w:color w:val="auto"/>
          <w:sz w:val="32"/>
          <w:szCs w:val="32"/>
          <w:highlight w:val="none"/>
          <w:lang w:eastAsia="zh-CN"/>
        </w:rPr>
        <w:t>：</w:t>
      </w:r>
      <w:r>
        <w:rPr>
          <w:rStyle w:val="16"/>
          <w:rFonts w:hint="eastAsia" w:eastAsia="楷体"/>
          <w:b w:val="0"/>
          <w:bCs w:val="0"/>
          <w:spacing w:val="-4"/>
          <w:sz w:val="32"/>
          <w:szCs w:val="32"/>
          <w:lang w:eastAsia="zh-CN"/>
        </w:rPr>
        <w:t>根据残疾人两项补贴制度享受对象范围要求，全面推进两花花太岁</w:t>
      </w:r>
      <w:r>
        <w:rPr>
          <w:rStyle w:val="16"/>
          <w:rFonts w:hint="eastAsia" w:eastAsia="楷体"/>
          <w:b w:val="0"/>
          <w:bCs w:val="0"/>
          <w:spacing w:val="-4"/>
          <w:sz w:val="32"/>
          <w:szCs w:val="32"/>
          <w:lang w:val="en-US" w:eastAsia="zh-CN"/>
        </w:rPr>
        <w:t xml:space="preserve"> 补贴制度的落实，严格</w:t>
      </w:r>
      <w:r>
        <w:rPr>
          <w:rStyle w:val="16"/>
          <w:rFonts w:hint="eastAsia" w:eastAsia="楷体"/>
          <w:b w:val="0"/>
          <w:bCs w:val="0"/>
          <w:spacing w:val="-4"/>
          <w:sz w:val="32"/>
          <w:szCs w:val="32"/>
          <w:lang w:eastAsia="zh-CN"/>
        </w:rPr>
        <w:t>按照每人每</w:t>
      </w:r>
      <w:r>
        <w:rPr>
          <w:rStyle w:val="16"/>
          <w:rFonts w:eastAsia="楷体"/>
          <w:b w:val="0"/>
          <w:bCs w:val="0"/>
          <w:spacing w:val="-4"/>
          <w:sz w:val="32"/>
          <w:szCs w:val="32"/>
        </w:rPr>
        <w:t>月</w:t>
      </w:r>
      <w:r>
        <w:rPr>
          <w:rStyle w:val="16"/>
          <w:rFonts w:hint="eastAsia" w:eastAsia="楷体"/>
          <w:b w:val="0"/>
          <w:bCs w:val="0"/>
          <w:spacing w:val="-4"/>
          <w:sz w:val="32"/>
          <w:szCs w:val="32"/>
          <w:lang w:val="en-US" w:eastAsia="zh-CN"/>
        </w:rPr>
        <w:t>120元标准，</w:t>
      </w:r>
      <w:r>
        <w:rPr>
          <w:rStyle w:val="16"/>
          <w:rFonts w:hint="eastAsia" w:eastAsia="楷体"/>
          <w:b w:val="0"/>
          <w:bCs w:val="0"/>
          <w:spacing w:val="-4"/>
          <w:sz w:val="32"/>
          <w:szCs w:val="32"/>
        </w:rPr>
        <w:t>及时准确发放到位，</w:t>
      </w:r>
      <w:r>
        <w:rPr>
          <w:rStyle w:val="16"/>
          <w:rFonts w:hint="eastAsia" w:eastAsia="楷体"/>
          <w:b w:val="0"/>
          <w:bCs w:val="0"/>
          <w:spacing w:val="-4"/>
          <w:sz w:val="32"/>
          <w:szCs w:val="32"/>
          <w:lang w:eastAsia="zh-CN"/>
        </w:rPr>
        <w:t>宣传残疾人两项补贴制度，确保残疾人知晓内容，了解申领程序，切实提升残疾人生活保障水平，</w:t>
      </w:r>
      <w:r>
        <w:rPr>
          <w:rStyle w:val="16"/>
          <w:rFonts w:hint="eastAsia" w:eastAsia="楷体"/>
          <w:b w:val="0"/>
          <w:bCs w:val="0"/>
          <w:spacing w:val="-4"/>
          <w:sz w:val="32"/>
          <w:szCs w:val="32"/>
        </w:rPr>
        <w:t>保障服务对象基本生活。</w:t>
      </w:r>
    </w:p>
    <w:p w14:paraId="236A71BD">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二、绩效评价工作开展情况</w:t>
      </w:r>
    </w:p>
    <w:p w14:paraId="65A8400E">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（一）绩效评价目的、对象和范围</w:t>
      </w:r>
    </w:p>
    <w:p w14:paraId="010A36EF">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1.绩效评价完整性</w:t>
      </w:r>
    </w:p>
    <w:p w14:paraId="26241FB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FE9F999">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0693ABB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2F8B55EF">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5F3BBE52">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3386946">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绩效评价的目的</w:t>
      </w:r>
    </w:p>
    <w:p w14:paraId="3DCC6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（1）评估项目实施效果</w:t>
      </w:r>
    </w:p>
    <w:p w14:paraId="021D3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1AE1B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78DA3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3F78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1CE97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5396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4982C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4CCE0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2727A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90E6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DE69BEF">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绩效评价的对象</w:t>
      </w:r>
    </w:p>
    <w:p w14:paraId="71E195A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本项目预算绩效评价报告的评价对象是</w:t>
      </w:r>
      <w:r>
        <w:rPr>
          <w:rFonts w:hint="eastAsia" w:ascii="Times New Roman" w:hAnsi="Times New Roman" w:eastAsia="仿宋_GB2312" w:cs="Times New Roman"/>
          <w:b w:val="0"/>
          <w:bCs w:val="0"/>
          <w:color w:val="auto"/>
          <w:highlight w:val="none"/>
          <w:lang w:eastAsia="zh-CN"/>
        </w:rPr>
        <w:t>残疾人两项补贴</w:t>
      </w:r>
      <w:r>
        <w:rPr>
          <w:rFonts w:hint="default" w:ascii="Times New Roman" w:hAnsi="Times New Roman" w:eastAsia="仿宋_GB2312" w:cs="Times New Roman"/>
          <w:b w:val="0"/>
          <w:bCs w:val="0"/>
          <w:color w:val="auto"/>
          <w:highlight w:val="none"/>
        </w:rPr>
        <w:t>及其预算执行情况。该项目由</w:t>
      </w:r>
      <w:r>
        <w:rPr>
          <w:rFonts w:hint="eastAsia" w:ascii="Times New Roman" w:hAnsi="Times New Roman" w:eastAsia="仿宋_GB2312" w:cs="Times New Roman"/>
          <w:b w:val="0"/>
          <w:bCs w:val="0"/>
          <w:color w:val="auto"/>
          <w:highlight w:val="none"/>
          <w:lang w:eastAsia="zh-CN"/>
        </w:rPr>
        <w:t>沙区民政局</w:t>
      </w:r>
      <w:r>
        <w:rPr>
          <w:rFonts w:hint="default" w:ascii="Times New Roman" w:hAnsi="Times New Roman" w:eastAsia="仿宋_GB2312" w:cs="Times New Roman"/>
          <w:b w:val="0"/>
          <w:bCs w:val="0"/>
          <w:color w:val="auto"/>
          <w:highlight w:val="none"/>
        </w:rPr>
        <w:t>负责实施，旨在</w:t>
      </w:r>
      <w:r>
        <w:rPr>
          <w:rFonts w:hint="eastAsia" w:ascii="Times New Roman" w:hAnsi="Times New Roman" w:eastAsia="仿宋_GB2312" w:cs="Times New Roman"/>
          <w:b w:val="0"/>
          <w:bCs w:val="0"/>
          <w:color w:val="auto"/>
          <w:highlight w:val="none"/>
        </w:rPr>
        <w:t>保障我区享受残疾人两项补助人员的基本生活，确保残疾人员的基本生活权益。</w:t>
      </w:r>
      <w:r>
        <w:rPr>
          <w:rFonts w:hint="default" w:ascii="Times New Roman" w:hAnsi="Times New Roman" w:eastAsia="仿宋_GB2312" w:cs="Times New Roman"/>
          <w:b w:val="0"/>
          <w:bCs w:val="0"/>
          <w:color w:val="auto"/>
          <w:highlight w:val="none"/>
        </w:rPr>
        <w:t>项目预算涵盖从</w:t>
      </w:r>
      <w:r>
        <w:rPr>
          <w:rFonts w:hint="eastAsia" w:ascii="Times New Roman" w:hAnsi="Times New Roman" w:eastAsia="仿宋_GB2312" w:cs="Times New Roman"/>
          <w:b w:val="0"/>
          <w:bCs w:val="0"/>
          <w:color w:val="auto"/>
          <w:highlight w:val="none"/>
          <w:lang w:val="en-US" w:eastAsia="zh-CN"/>
        </w:rPr>
        <w:t xml:space="preserve">2024年1月1日 </w:t>
      </w:r>
      <w:r>
        <w:rPr>
          <w:rFonts w:hint="default" w:ascii="Times New Roman" w:hAnsi="Times New Roman" w:eastAsia="仿宋_GB2312" w:cs="Times New Roman"/>
          <w:b w:val="0"/>
          <w:bCs w:val="0"/>
          <w:color w:val="auto"/>
          <w:highlight w:val="none"/>
        </w:rPr>
        <w:t>至</w:t>
      </w:r>
      <w:r>
        <w:rPr>
          <w:rFonts w:hint="eastAsia" w:ascii="Times New Roman" w:hAnsi="Times New Roman" w:eastAsia="仿宋_GB2312" w:cs="Times New Roman"/>
          <w:b w:val="0"/>
          <w:bCs w:val="0"/>
          <w:color w:val="auto"/>
          <w:highlight w:val="none"/>
          <w:lang w:val="en-US" w:eastAsia="zh-CN"/>
        </w:rPr>
        <w:t>2024年12月31日</w:t>
      </w:r>
      <w:r>
        <w:rPr>
          <w:rFonts w:hint="default" w:ascii="Times New Roman" w:hAnsi="Times New Roman" w:eastAsia="仿宋_GB2312" w:cs="Times New Roman"/>
          <w:b w:val="0"/>
          <w:bCs w:val="0"/>
          <w:color w:val="auto"/>
          <w:highlight w:val="none"/>
        </w:rPr>
        <w:t>的全部资金投入与支出，涉及资金总额为</w:t>
      </w:r>
      <w:r>
        <w:rPr>
          <w:rFonts w:hint="eastAsia" w:ascii="Times New Roman" w:hAnsi="Times New Roman" w:eastAsia="仿宋_GB2312" w:cs="Times New Roman"/>
          <w:b w:val="0"/>
          <w:bCs w:val="0"/>
          <w:color w:val="auto"/>
          <w:highlight w:val="none"/>
          <w:lang w:val="en-US" w:eastAsia="zh-CN"/>
        </w:rPr>
        <w:t>178</w:t>
      </w:r>
      <w:r>
        <w:rPr>
          <w:rFonts w:hint="default" w:ascii="Times New Roman" w:hAnsi="Times New Roman" w:eastAsia="仿宋_GB2312" w:cs="Times New Roman"/>
          <w:b w:val="0"/>
          <w:bCs w:val="0"/>
          <w:color w:val="auto"/>
          <w:highlight w:val="none"/>
          <w:lang w:val="en-US" w:eastAsia="zh-CN"/>
        </w:rPr>
        <w:t>万</w:t>
      </w:r>
      <w:r>
        <w:rPr>
          <w:rFonts w:hint="default" w:ascii="Times New Roman" w:hAnsi="Times New Roman" w:eastAsia="仿宋_GB2312" w:cs="Times New Roman"/>
          <w:b w:val="0"/>
          <w:bCs w:val="0"/>
          <w:color w:val="auto"/>
          <w:highlight w:val="none"/>
        </w:rPr>
        <w:t>元。</w:t>
      </w:r>
    </w:p>
    <w:p w14:paraId="40C3460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4.</w:t>
      </w:r>
      <w:r>
        <w:rPr>
          <w:rFonts w:hint="default" w:ascii="Times New Roman" w:hAnsi="Times New Roman" w:eastAsia="仿宋_GB2312" w:cs="Times New Roman"/>
          <w:b w:val="0"/>
          <w:bCs w:val="0"/>
          <w:color w:val="auto"/>
          <w:highlight w:val="none"/>
        </w:rPr>
        <w:t>绩效评价的范围</w:t>
      </w:r>
    </w:p>
    <w:p w14:paraId="33AF7A3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6A58C959">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5AB251B4">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702569FA">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0F333750">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社会影响：考察项目对社会方面的综合影响。</w:t>
      </w:r>
    </w:p>
    <w:p w14:paraId="0505F765">
      <w:pPr>
        <w:spacing w:line="560" w:lineRule="exact"/>
        <w:ind w:firstLine="643" w:firstLineChars="200"/>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rPr>
        <w:t>（二）绩效评价原则、评价指标体系（详情见表1）、评价方法、评价标准。</w:t>
      </w:r>
    </w:p>
    <w:p w14:paraId="23ED4468">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绩效评价原则</w:t>
      </w:r>
    </w:p>
    <w:p w14:paraId="4EF47722">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本次项目绩效评价遵循以下基本原则：</w:t>
      </w:r>
    </w:p>
    <w:p w14:paraId="26D71EE0">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（1）科学公正。绩效评价应当运用科学合理的方法，按照规范的程序，对项目绩效进行客观、公正的反映。</w:t>
      </w:r>
    </w:p>
    <w:p w14:paraId="36784D0E">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397E2020">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（3）激励约束。绩效评价结果应与预算安排、政策调整、改进管理实质性挂钩，体现奖优罚劣和激励相容导向，有效要安排、低效要压减、无效要问责。</w:t>
      </w:r>
    </w:p>
    <w:p w14:paraId="1C0CF4C6">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（4）公开透明。绩效评价结果应依法依规公开，并自觉接受社会监督。</w:t>
      </w:r>
    </w:p>
    <w:p w14:paraId="2797175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评价指标体系</w:t>
      </w:r>
    </w:p>
    <w:p w14:paraId="5097A68B">
      <w:pPr>
        <w:spacing w:line="560" w:lineRule="exact"/>
        <w:ind w:firstLine="708" w:firstLineChars="200"/>
        <w:rPr>
          <w:rFonts w:hint="default" w:ascii="Times New Roman" w:hAnsi="Times New Roman"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3BAB65A0">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（1）确定评价指标</w:t>
      </w:r>
    </w:p>
    <w:p w14:paraId="427659E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5368A35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（2）确定权重</w:t>
      </w:r>
    </w:p>
    <w:p w14:paraId="1DD020F4">
      <w:pPr>
        <w:spacing w:line="560" w:lineRule="exact"/>
        <w:ind w:firstLine="708" w:firstLineChars="200"/>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75D1DB8D">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（3）确定指标标准值</w:t>
      </w:r>
    </w:p>
    <w:p w14:paraId="203F14EC">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3613E6E7">
      <w:pPr>
        <w:pStyle w:val="10"/>
        <w:spacing w:before="0" w:after="0" w:line="560" w:lineRule="exact"/>
        <w:ind w:firstLine="708" w:firstLineChars="200"/>
        <w:jc w:val="both"/>
        <w:rPr>
          <w:rFonts w:hint="default" w:ascii="Times New Roman" w:hAnsi="Times New Roman" w:eastAsia="仿宋_GB2312" w:cs="Times New Roman"/>
          <w:b w:val="0"/>
          <w:bCs w:val="0"/>
          <w:color w:val="auto"/>
          <w:spacing w:val="17"/>
          <w:kern w:val="2"/>
          <w:highlight w:val="none"/>
        </w:rPr>
      </w:pPr>
      <w:r>
        <w:rPr>
          <w:rFonts w:hint="default" w:ascii="Times New Roman" w:hAnsi="Times New Roman" w:eastAsia="仿宋_GB2312" w:cs="Times New Roman"/>
          <w:b w:val="0"/>
          <w:bCs w:val="0"/>
          <w:color w:val="auto"/>
          <w:spacing w:val="17"/>
          <w:kern w:val="2"/>
          <w:highlight w:val="none"/>
        </w:rPr>
        <w:t>绩效评价总分值100分，根据综合评分结果，90（含）-100分为优、80（含）-90分为良、60（含）-80分为中、60分以下为差。</w:t>
      </w:r>
    </w:p>
    <w:p w14:paraId="3B7D4FA6">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auto"/>
          <w:spacing w:val="17"/>
          <w:highlight w:val="none"/>
        </w:rPr>
      </w:pPr>
      <w:r>
        <w:rPr>
          <w:rFonts w:hint="default" w:ascii="Times New Roman" w:hAnsi="Times New Roman" w:eastAsia="仿宋_GB2312" w:cs="Times New Roman"/>
          <w:b w:val="0"/>
          <w:bCs w:val="0"/>
          <w:color w:val="auto"/>
          <w:spacing w:val="17"/>
          <w:highlight w:val="none"/>
        </w:rPr>
        <w:t>具体评价指标体系详情见附件1</w:t>
      </w:r>
    </w:p>
    <w:p w14:paraId="30EE91EA">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w:t>
      </w:r>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绩效评价方法</w:t>
      </w:r>
    </w:p>
    <w:p w14:paraId="5D8DD811">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14B1E00D">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4B29A004">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w:t>
      </w:r>
      <w:r>
        <w:rPr>
          <w:rFonts w:hint="eastAsia" w:eastAsia="仿宋_GB2312" w:cs="Times New Roman"/>
          <w:color w:val="auto"/>
          <w:spacing w:val="17"/>
          <w:sz w:val="32"/>
          <w:szCs w:val="32"/>
          <w:highlight w:val="none"/>
          <w:lang w:val="en-US" w:eastAsia="zh-CN"/>
        </w:rPr>
        <w:t>一</w:t>
      </w:r>
      <w:r>
        <w:rPr>
          <w:rFonts w:hint="default" w:ascii="Times New Roman" w:hAnsi="Times New Roman" w:eastAsia="仿宋_GB2312" w:cs="Times New Roman"/>
          <w:color w:val="auto"/>
          <w:spacing w:val="17"/>
          <w:sz w:val="32"/>
          <w:szCs w:val="32"/>
          <w:highlight w:val="none"/>
        </w:rPr>
        <w:t>）比较法。是指将实施情况与绩效目标、历史情况、不同部门和地区同类支出情况进行比较的方法。</w:t>
      </w:r>
    </w:p>
    <w:p w14:paraId="2AE0B804">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w:t>
      </w:r>
      <w:r>
        <w:rPr>
          <w:rFonts w:hint="eastAsia" w:eastAsia="仿宋_GB2312" w:cs="Times New Roman"/>
          <w:color w:val="auto"/>
          <w:spacing w:val="17"/>
          <w:sz w:val="32"/>
          <w:szCs w:val="32"/>
          <w:highlight w:val="none"/>
          <w:lang w:val="en-US" w:eastAsia="zh-CN"/>
        </w:rPr>
        <w:t>二</w:t>
      </w:r>
      <w:r>
        <w:rPr>
          <w:rFonts w:hint="default" w:ascii="Times New Roman" w:hAnsi="Times New Roman" w:eastAsia="仿宋_GB2312" w:cs="Times New Roman"/>
          <w:color w:val="auto"/>
          <w:spacing w:val="17"/>
          <w:sz w:val="32"/>
          <w:szCs w:val="32"/>
          <w:highlight w:val="none"/>
        </w:rPr>
        <w:t>）因素分析法。是指综合分析影响绩效目标实现、实施效果的内外部因素的方法。</w:t>
      </w:r>
    </w:p>
    <w:p w14:paraId="36A1C3D0">
      <w:pPr>
        <w:spacing w:line="560" w:lineRule="exact"/>
        <w:ind w:firstLine="708" w:firstLineChars="200"/>
        <w:rPr>
          <w:rFonts w:hint="default" w:ascii="Times New Roman" w:hAnsi="Times New Roman" w:eastAsia="仿宋_GB2312" w:cs="Times New Roman"/>
          <w:color w:val="auto"/>
          <w:spacing w:val="17"/>
          <w:sz w:val="32"/>
          <w:szCs w:val="32"/>
          <w:highlight w:val="none"/>
        </w:rPr>
      </w:pPr>
    </w:p>
    <w:p w14:paraId="325E86F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评价标准</w:t>
      </w:r>
    </w:p>
    <w:p w14:paraId="69831A44">
      <w:pPr>
        <w:pStyle w:val="10"/>
        <w:widowControl w:val="0"/>
        <w:spacing w:before="0" w:after="0" w:line="560" w:lineRule="exact"/>
        <w:ind w:firstLine="640" w:firstLineChars="200"/>
        <w:jc w:val="both"/>
        <w:outlineLvl w:val="9"/>
      </w:pPr>
      <w:r>
        <w:rPr>
          <w:rFonts w:hint="default" w:ascii="Times New Roman" w:hAnsi="Times New Roman" w:eastAsia="仿宋_GB2312" w:cs="Times New Roman"/>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color w:val="auto"/>
          <w:highlight w:val="none"/>
          <w:lang w:val="en-US" w:eastAsia="zh-CN"/>
        </w:rPr>
        <w:t>计划</w:t>
      </w:r>
      <w:r>
        <w:rPr>
          <w:rFonts w:hint="default" w:ascii="Times New Roman" w:hAnsi="Times New Roman" w:eastAsia="仿宋_GB2312" w:cs="Times New Roman"/>
          <w:b w:val="0"/>
          <w:bCs w:val="0"/>
          <w:color w:val="auto"/>
          <w:highlight w:val="none"/>
        </w:rPr>
        <w:t>标准。</w:t>
      </w:r>
    </w:p>
    <w:p w14:paraId="562C1E3D">
      <w:pPr>
        <w:pStyle w:val="10"/>
        <w:widowControl w:val="0"/>
        <w:spacing w:before="0" w:after="0" w:line="560" w:lineRule="exact"/>
        <w:ind w:firstLine="640" w:firstLineChars="200"/>
        <w:jc w:val="both"/>
        <w:outlineLvl w:val="9"/>
        <w:rPr>
          <w:rFonts w:hint="default" w:ascii="Times New Roman" w:hAnsi="Times New Roman" w:cs="Times New Roman" w:eastAsiaTheme="majorEastAsia"/>
          <w:b w:val="0"/>
          <w:bCs w:val="0"/>
          <w:color w:val="auto"/>
          <w:highlight w:val="none"/>
          <w:lang w:val="en-US" w:eastAsia="zh-CN"/>
        </w:rPr>
      </w:pPr>
      <w:r>
        <w:rPr>
          <w:rFonts w:hint="eastAsia" w:ascii="Times New Roman" w:hAnsi="Times New Roman" w:eastAsia="仿宋_GB2312" w:cs="Times New Roman"/>
          <w:b w:val="0"/>
          <w:bCs w:val="0"/>
          <w:color w:val="auto"/>
          <w:highlight w:val="none"/>
          <w:lang w:val="en-US" w:eastAsia="zh-CN"/>
        </w:rPr>
        <w:t>年初根据项目开展情况制定工作目标、计划及项目资金预算，年末按年初制定的各项目标计划作为评价标准进行自评。</w:t>
      </w:r>
    </w:p>
    <w:p w14:paraId="3BBDB109">
      <w:pPr>
        <w:pStyle w:val="10"/>
        <w:numPr>
          <w:ilvl w:val="0"/>
          <w:numId w:val="2"/>
        </w:numPr>
        <w:spacing w:before="0" w:after="0" w:line="560" w:lineRule="exact"/>
        <w:ind w:left="129" w:leftChars="0" w:firstLine="711" w:firstLineChars="0"/>
        <w:jc w:val="both"/>
        <w:rPr>
          <w:rFonts w:hint="default" w:ascii="Times New Roman" w:hAnsi="Times New Roman" w:eastAsia="楷体" w:cs="Times New Roman"/>
          <w:color w:val="auto"/>
          <w:spacing w:val="17"/>
          <w:highlight w:val="none"/>
        </w:rPr>
      </w:pPr>
      <w:r>
        <w:rPr>
          <w:rFonts w:hint="default" w:ascii="Times New Roman" w:hAnsi="Times New Roman" w:eastAsia="楷体" w:cs="Times New Roman"/>
          <w:color w:val="auto"/>
          <w:spacing w:val="17"/>
          <w:highlight w:val="none"/>
        </w:rPr>
        <w:t>绩效评价工作过程</w:t>
      </w:r>
    </w:p>
    <w:p w14:paraId="51F34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前期准备与规划</w:t>
      </w:r>
    </w:p>
    <w:p w14:paraId="66FC0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7C2D6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）指标体系构建</w:t>
      </w:r>
    </w:p>
    <w:p w14:paraId="07CBA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auto"/>
          <w:spacing w:val="17"/>
          <w:sz w:val="32"/>
          <w:szCs w:val="32"/>
          <w:highlight w:val="none"/>
        </w:rPr>
        <w:t>项目决策、项目过程、项目产出、项目效益四个维度</w:t>
      </w:r>
      <w:r>
        <w:rPr>
          <w:rFonts w:hint="default" w:ascii="Times New Roman" w:hAnsi="Times New Roman" w:eastAsia="仿宋_GB2312" w:cs="Times New Roman"/>
          <w:color w:val="auto"/>
          <w:sz w:val="32"/>
          <w:szCs w:val="32"/>
          <w:highlight w:val="none"/>
          <w:lang w:eastAsia="zh-CN"/>
        </w:rPr>
        <w:t>，选取了具有代表性和可衡量性的关键指标，并为每个指标设定了明确的评价标准与权重，确保评价结果能够全面、准确地反映项目的绩效状况。</w:t>
      </w:r>
    </w:p>
    <w:p w14:paraId="062AD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）数据收集与整理</w:t>
      </w:r>
    </w:p>
    <w:p w14:paraId="394C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广泛收集与项目相关的各类数据，包括财务报表、项目文档、业务数据、</w:t>
      </w:r>
      <w:r>
        <w:rPr>
          <w:rFonts w:hint="eastAsia" w:eastAsia="仿宋_GB2312" w:cs="Times New Roman"/>
          <w:color w:val="auto"/>
          <w:sz w:val="32"/>
          <w:szCs w:val="32"/>
          <w:highlight w:val="none"/>
          <w:lang w:eastAsia="zh-CN"/>
        </w:rPr>
        <w:t>受益对象反馈</w:t>
      </w:r>
      <w:r>
        <w:rPr>
          <w:rFonts w:hint="default" w:ascii="Times New Roman" w:hAnsi="Times New Roman" w:eastAsia="仿宋_GB2312" w:cs="Times New Roman"/>
          <w:color w:val="auto"/>
          <w:sz w:val="32"/>
          <w:szCs w:val="32"/>
          <w:highlight w:val="none"/>
          <w:lang w:eastAsia="zh-CN"/>
        </w:rPr>
        <w:t>等。在数据收集过程中，注重数据的质量与完整性，对缺失或异常的数据进行了合理的处理和补充。随后，对收集到的数据进行了系统的整理与分类，为后续的数据分析提供了有力支持。</w:t>
      </w:r>
    </w:p>
    <w:p w14:paraId="011AE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）数据分析与评估</w:t>
      </w:r>
    </w:p>
    <w:p w14:paraId="451CB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9A6A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）报告撰写与反馈</w:t>
      </w:r>
    </w:p>
    <w:p w14:paraId="74926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12EA7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）后续跟踪与改进</w:t>
      </w:r>
    </w:p>
    <w:p w14:paraId="06EA5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7F32AAB">
      <w:pPr>
        <w:numPr>
          <w:ilvl w:val="0"/>
          <w:numId w:val="3"/>
        </w:num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综合评价情况及评价结论（附相关评分表）</w:t>
      </w:r>
    </w:p>
    <w:p w14:paraId="731B7694">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评价情况</w:t>
      </w:r>
    </w:p>
    <w:p w14:paraId="7522431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本项目的综合评价基于对项目各方面绩效的深入</w:t>
      </w:r>
      <w:r>
        <w:rPr>
          <w:rFonts w:hint="default" w:eastAsia="仿宋_GB2312" w:cs="Times New Roman"/>
          <w:color w:val="auto"/>
          <w:sz w:val="32"/>
          <w:szCs w:val="32"/>
          <w:highlight w:val="none"/>
          <w:lang w:eastAsia="zh-CN"/>
        </w:rPr>
        <w:t>分析与评估。从项目目标的达成情况来看，</w:t>
      </w:r>
      <w:r>
        <w:rPr>
          <w:rFonts w:hint="eastAsia" w:eastAsia="仿宋_GB2312" w:cs="Times New Roman"/>
          <w:color w:val="auto"/>
          <w:sz w:val="32"/>
          <w:szCs w:val="32"/>
          <w:highlight w:val="none"/>
          <w:lang w:eastAsia="zh-CN"/>
        </w:rPr>
        <w:t>残疾人两项补贴</w:t>
      </w:r>
      <w:r>
        <w:rPr>
          <w:rFonts w:hint="default" w:eastAsia="仿宋_GB2312" w:cs="Times New Roman"/>
          <w:color w:val="auto"/>
          <w:sz w:val="32"/>
          <w:szCs w:val="32"/>
          <w:highlight w:val="none"/>
          <w:lang w:eastAsia="zh-CN"/>
        </w:rPr>
        <w:t>在</w:t>
      </w:r>
      <w:r>
        <w:rPr>
          <w:rFonts w:hint="eastAsia" w:eastAsia="仿宋_GB2312" w:cs="Times New Roman"/>
          <w:color w:val="auto"/>
          <w:sz w:val="32"/>
          <w:szCs w:val="32"/>
          <w:highlight w:val="none"/>
          <w:lang w:val="en-US" w:eastAsia="zh-CN"/>
        </w:rPr>
        <w:t>资金发放次数、</w:t>
      </w:r>
      <w:r>
        <w:rPr>
          <w:rFonts w:hint="eastAsia" w:eastAsia="仿宋_GB2312" w:cs="Times New Roman"/>
          <w:color w:val="auto"/>
          <w:sz w:val="32"/>
          <w:szCs w:val="32"/>
          <w:highlight w:val="none"/>
          <w:lang w:eastAsia="zh-CN"/>
        </w:rPr>
        <w:t>残疾人两项补贴目标人群覆盖率、补助资金发放及时率、提高残疾人生活基本保障、</w:t>
      </w:r>
      <w:r>
        <w:rPr>
          <w:rFonts w:hint="eastAsia" w:eastAsia="仿宋_GB2312" w:cs="Times New Roman"/>
          <w:color w:val="auto"/>
          <w:sz w:val="32"/>
          <w:szCs w:val="32"/>
          <w:highlight w:val="none"/>
          <w:lang w:val="en-US" w:eastAsia="zh-CN"/>
        </w:rPr>
        <w:t>救助对象满意度</w:t>
      </w:r>
      <w:r>
        <w:rPr>
          <w:rFonts w:hint="default" w:eastAsia="仿宋_GB2312" w:cs="Times New Roman"/>
          <w:color w:val="auto"/>
          <w:sz w:val="32"/>
          <w:szCs w:val="32"/>
          <w:highlight w:val="none"/>
          <w:lang w:eastAsia="zh-CN"/>
        </w:rPr>
        <w:t>等方面</w:t>
      </w:r>
      <w:r>
        <w:rPr>
          <w:rFonts w:hint="eastAsia" w:eastAsia="仿宋_GB2312" w:cs="Times New Roman"/>
          <w:color w:val="auto"/>
          <w:sz w:val="32"/>
          <w:szCs w:val="32"/>
          <w:highlight w:val="none"/>
          <w:lang w:val="en-US" w:eastAsia="zh-CN"/>
        </w:rPr>
        <w:t>均</w:t>
      </w:r>
      <w:r>
        <w:rPr>
          <w:rFonts w:hint="default" w:eastAsia="仿宋_GB2312" w:cs="Times New Roman"/>
          <w:color w:val="auto"/>
          <w:sz w:val="32"/>
          <w:szCs w:val="32"/>
          <w:highlight w:val="none"/>
          <w:lang w:eastAsia="zh-CN"/>
        </w:rPr>
        <w:t>达到了预期的标</w:t>
      </w:r>
      <w:r>
        <w:rPr>
          <w:rFonts w:hint="default" w:ascii="Times New Roman" w:hAnsi="Times New Roman" w:eastAsia="仿宋_GB2312" w:cs="Times New Roman"/>
          <w:color w:val="auto"/>
          <w:sz w:val="32"/>
          <w:szCs w:val="32"/>
          <w:highlight w:val="none"/>
        </w:rPr>
        <w:t>准与要求。</w:t>
      </w:r>
      <w:r>
        <w:rPr>
          <w:rFonts w:hint="eastAsia" w:eastAsia="仿宋_GB2312" w:cs="Times New Roman"/>
          <w:color w:val="auto"/>
          <w:sz w:val="32"/>
          <w:szCs w:val="32"/>
          <w:highlight w:val="none"/>
          <w:lang w:val="en-US" w:eastAsia="zh-CN"/>
        </w:rPr>
        <w:t>同时，</w:t>
      </w:r>
      <w:r>
        <w:rPr>
          <w:rFonts w:hint="default" w:eastAsia="仿宋_GB2312" w:cs="Times New Roman"/>
          <w:color w:val="auto"/>
          <w:sz w:val="32"/>
          <w:szCs w:val="32"/>
          <w:highlight w:val="none"/>
          <w:lang w:eastAsia="zh-CN"/>
        </w:rPr>
        <w:t>项目</w:t>
      </w:r>
      <w:r>
        <w:rPr>
          <w:rFonts w:hint="default" w:ascii="Times New Roman" w:hAnsi="Times New Roman" w:eastAsia="仿宋_GB2312" w:cs="Times New Roman"/>
          <w:sz w:val="32"/>
          <w:szCs w:val="32"/>
          <w:highlight w:val="none"/>
        </w:rPr>
        <w:t>也在</w:t>
      </w:r>
      <w:r>
        <w:rPr>
          <w:rFonts w:hint="default" w:ascii="Times New Roman" w:hAnsi="Times New Roman" w:eastAsia="仿宋_GB2312" w:cs="Times New Roman"/>
          <w:color w:val="auto"/>
          <w:sz w:val="32"/>
          <w:szCs w:val="32"/>
          <w:highlight w:val="none"/>
        </w:rPr>
        <w:t>确保残疾人员的基本生活权益</w:t>
      </w:r>
      <w:r>
        <w:rPr>
          <w:rFonts w:hint="default" w:ascii="Times New Roman" w:hAnsi="Times New Roman" w:eastAsia="仿宋_GB2312" w:cs="Times New Roman"/>
          <w:sz w:val="32"/>
          <w:szCs w:val="32"/>
          <w:highlight w:val="none"/>
        </w:rPr>
        <w:t>取得了显著的成效，如残疾人两项补贴目标人群覆盖率</w:t>
      </w:r>
      <w:r>
        <w:rPr>
          <w:rFonts w:hint="eastAsia" w:eastAsia="仿宋_GB2312" w:cs="Times New Roman"/>
          <w:sz w:val="32"/>
          <w:szCs w:val="32"/>
          <w:highlight w:val="none"/>
          <w:lang w:val="en-US" w:eastAsia="zh-CN"/>
        </w:rPr>
        <w:t>达到100%</w:t>
      </w:r>
      <w:r>
        <w:rPr>
          <w:rFonts w:hint="default" w:ascii="Times New Roman" w:hAnsi="Times New Roman" w:eastAsia="仿宋_GB2312" w:cs="Times New Roman"/>
          <w:sz w:val="32"/>
          <w:szCs w:val="32"/>
          <w:highlight w:val="none"/>
        </w:rPr>
        <w:t>、提高残疾人生活基本保障等。</w:t>
      </w:r>
    </w:p>
    <w:p w14:paraId="7BE380A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w:t>
      </w:r>
      <w:r>
        <w:rPr>
          <w:rFonts w:hint="eastAsia" w:eastAsia="仿宋_GB2312" w:cs="Times New Roman"/>
          <w:color w:val="auto"/>
          <w:sz w:val="32"/>
          <w:szCs w:val="32"/>
          <w:highlight w:val="none"/>
          <w:lang w:eastAsia="zh-CN"/>
        </w:rPr>
        <w:t>沙区民政局</w:t>
      </w:r>
      <w:r>
        <w:rPr>
          <w:rFonts w:hint="default" w:ascii="Times New Roman" w:hAnsi="Times New Roman" w:eastAsia="仿宋_GB2312" w:cs="Times New Roman"/>
          <w:color w:val="auto"/>
          <w:sz w:val="32"/>
          <w:szCs w:val="32"/>
          <w:highlight w:val="none"/>
        </w:rPr>
        <w:t>通过有效的规划、组织与协调，项目得以顺利实施，并在预算与时间上保持了良好的控制。</w:t>
      </w:r>
    </w:p>
    <w:p w14:paraId="1732364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从项目效益的角度来看，本项目不仅实现了预期的社会效益方面产生了积极的影响。具体而言，提高残疾人生活基本保障等方面的提升，为项目的利益相关者带来了实实在在的利益。</w:t>
      </w:r>
    </w:p>
    <w:p w14:paraId="09D5B4D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w:t>
      </w:r>
      <w:r>
        <w:rPr>
          <w:rFonts w:hint="eastAsia" w:ascii="Times New Roman" w:hAnsi="Times New Roman" w:eastAsia="仿宋_GB2312" w:cs="Times New Roman"/>
          <w:color w:val="auto"/>
          <w:sz w:val="32"/>
          <w:szCs w:val="32"/>
          <w:highlight w:val="none"/>
        </w:rPr>
        <w:t>关于预拨2024年残疾人两项补贴预算资金的通知(市级）</w:t>
      </w:r>
      <w:r>
        <w:rPr>
          <w:rFonts w:hint="default" w:ascii="Times New Roman" w:hAnsi="Times New Roman" w:eastAsia="仿宋_GB2312" w:cs="Times New Roman"/>
          <w:color w:val="auto"/>
          <w:sz w:val="32"/>
          <w:szCs w:val="32"/>
          <w:highlight w:val="none"/>
        </w:rPr>
        <w:t>在绩效评价中表现出色，达到了项目的预期目标，并在多个方面取得了显著的成效。</w:t>
      </w:r>
    </w:p>
    <w:p w14:paraId="03E031F9">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评价结论</w:t>
      </w:r>
    </w:p>
    <w:p w14:paraId="03CCC62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 xml:space="preserve">分，属于“优”。其中，项目决策类指标权重为20分，得分为 </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 xml:space="preserve">分，得分率为 </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%。项目过程类指标权重为20分，得分为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%。项目产出类指标权重为40分，得分为</w:t>
      </w:r>
      <w:r>
        <w:rPr>
          <w:rFonts w:hint="eastAsia" w:ascii="Times New Roman" w:hAnsi="Times New Roman" w:eastAsia="仿宋_GB2312" w:cs="Times New Roman"/>
          <w:b w:val="0"/>
          <w:bCs w:val="0"/>
          <w:color w:val="auto"/>
          <w:highlight w:val="none"/>
          <w:lang w:val="en-US" w:eastAsia="zh-CN"/>
        </w:rPr>
        <w:t>40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%。项目效益类指标权重为20分，得分为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%。具体打分情况详见：附件1综合评分表</w:t>
      </w:r>
      <w:r>
        <w:rPr>
          <w:rFonts w:hint="default" w:ascii="Times New Roman" w:hAnsi="Times New Roman" w:eastAsia="仿宋_GB2312" w:cs="Times New Roman"/>
          <w:b w:val="0"/>
          <w:bCs w:val="0"/>
          <w:color w:val="auto"/>
          <w:highlight w:val="none"/>
          <w:lang w:eastAsia="zh-CN"/>
        </w:rPr>
        <w:t>。</w:t>
      </w:r>
    </w:p>
    <w:p w14:paraId="1150D6AE">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742CDEA6">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1529A3DF">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4B3B6D9">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A6C561B">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E6C2B81">
            <w:pPr>
              <w:jc w:val="center"/>
              <w:rPr>
                <w:rFonts w:hint="eastAsia"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得分率</w:t>
            </w:r>
          </w:p>
        </w:tc>
      </w:tr>
      <w:tr w14:paraId="12A5AC7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4ED45F9">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项目决策</w:t>
            </w:r>
          </w:p>
        </w:tc>
        <w:tc>
          <w:tcPr>
            <w:tcW w:w="1927" w:type="dxa"/>
            <w:tcBorders>
              <w:top w:val="nil"/>
              <w:left w:val="nil"/>
              <w:bottom w:val="single" w:color="auto" w:sz="4" w:space="0"/>
              <w:right w:val="single" w:color="auto" w:sz="4" w:space="0"/>
            </w:tcBorders>
            <w:shd w:val="clear" w:color="auto" w:fill="auto"/>
            <w:vAlign w:val="center"/>
          </w:tcPr>
          <w:p w14:paraId="76A10761">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3C03B905">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1A57E6B7">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0196598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064B307">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项目过程</w:t>
            </w:r>
          </w:p>
        </w:tc>
        <w:tc>
          <w:tcPr>
            <w:tcW w:w="1927" w:type="dxa"/>
            <w:tcBorders>
              <w:top w:val="nil"/>
              <w:left w:val="nil"/>
              <w:bottom w:val="single" w:color="auto" w:sz="4" w:space="0"/>
              <w:right w:val="single" w:color="auto" w:sz="4" w:space="0"/>
            </w:tcBorders>
            <w:shd w:val="clear" w:color="auto" w:fill="auto"/>
            <w:vAlign w:val="center"/>
          </w:tcPr>
          <w:p w14:paraId="71F34FD6">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147DF90">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0269151A">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5BEA5AAB">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0C89FD6A">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项目产出</w:t>
            </w:r>
          </w:p>
        </w:tc>
        <w:tc>
          <w:tcPr>
            <w:tcW w:w="1927" w:type="dxa"/>
            <w:tcBorders>
              <w:top w:val="nil"/>
              <w:left w:val="nil"/>
              <w:bottom w:val="single" w:color="auto" w:sz="4" w:space="0"/>
              <w:right w:val="single" w:color="auto" w:sz="4" w:space="0"/>
            </w:tcBorders>
            <w:shd w:val="clear" w:color="auto" w:fill="auto"/>
            <w:vAlign w:val="center"/>
          </w:tcPr>
          <w:p w14:paraId="7FEE8C1A">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6557258D">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67153E36">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76D49CE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59D6265B">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项目效益</w:t>
            </w:r>
          </w:p>
        </w:tc>
        <w:tc>
          <w:tcPr>
            <w:tcW w:w="1927" w:type="dxa"/>
            <w:tcBorders>
              <w:top w:val="nil"/>
              <w:left w:val="nil"/>
              <w:bottom w:val="single" w:color="auto" w:sz="4" w:space="0"/>
              <w:right w:val="single" w:color="auto" w:sz="4" w:space="0"/>
            </w:tcBorders>
            <w:shd w:val="clear" w:color="auto" w:fill="auto"/>
            <w:vAlign w:val="center"/>
          </w:tcPr>
          <w:p w14:paraId="2B5C2257">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3708233">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0A43B38">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5386EDB6">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9C97CA2">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1927" w:type="dxa"/>
            <w:tcBorders>
              <w:top w:val="nil"/>
              <w:left w:val="nil"/>
              <w:bottom w:val="single" w:color="auto" w:sz="4" w:space="0"/>
              <w:right w:val="single" w:color="auto" w:sz="4" w:space="0"/>
            </w:tcBorders>
            <w:shd w:val="clear" w:color="auto" w:fill="auto"/>
            <w:vAlign w:val="center"/>
          </w:tcPr>
          <w:p w14:paraId="49CE460F">
            <w:pPr>
              <w:jc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706A875E">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1CF1AEDF">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r>
    </w:tbl>
    <w:p w14:paraId="64B358A7">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四、绩效评价指标分析</w:t>
      </w:r>
    </w:p>
    <w:p w14:paraId="50D944EF">
      <w:pPr>
        <w:pStyle w:val="10"/>
        <w:spacing w:before="0" w:after="0" w:line="560" w:lineRule="exact"/>
        <w:ind w:firstLine="643" w:firstLineChars="200"/>
        <w:jc w:val="both"/>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（一）项目决策情况</w:t>
      </w:r>
    </w:p>
    <w:p w14:paraId="290CF60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3AACCBC9">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1.项目立项</w:t>
      </w:r>
    </w:p>
    <w:p w14:paraId="7322B01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（1）立项依据充分性</w:t>
      </w:r>
    </w:p>
    <w:p w14:paraId="55D265A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该项目立项符合</w:t>
      </w:r>
      <w:r>
        <w:rPr>
          <w:rFonts w:hint="eastAsia" w:ascii="Times New Roman" w:hAnsi="Times New Roman" w:eastAsia="仿宋_GB2312" w:cs="Times New Roman"/>
          <w:color w:val="auto"/>
          <w:sz w:val="32"/>
          <w:szCs w:val="32"/>
          <w:highlight w:val="none"/>
          <w:lang w:val="en-US" w:eastAsia="zh-CN"/>
        </w:rPr>
        <w:t>市政府办公厅《乌鲁木齐市困难残疾人生活补贴和重度残疾人护理补贴实施办法》</w:t>
      </w:r>
      <w:r>
        <w:rPr>
          <w:rFonts w:hint="default" w:ascii="Times New Roman" w:hAnsi="Times New Roman" w:eastAsia="仿宋_GB2312" w:cs="Times New Roman"/>
          <w:color w:val="auto"/>
          <w:sz w:val="32"/>
          <w:szCs w:val="32"/>
          <w:highlight w:val="none"/>
          <w:lang w:val="en-US" w:eastAsia="zh-CN"/>
        </w:rPr>
        <w:t>规划要求，围绕本年度工作重点和工作计划制定经费预算，属于公共财政支持范围。本项目与部门内部其他相关项目不重复。部门发展规划及职能文件等归档完整。</w:t>
      </w:r>
    </w:p>
    <w:p w14:paraId="60C2903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（2）立项程序规范性</w:t>
      </w:r>
    </w:p>
    <w:p w14:paraId="27FCFD3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项目申请、设立过程符合相关要求，</w:t>
      </w:r>
      <w:r>
        <w:rPr>
          <w:rFonts w:hint="default" w:ascii="Times New Roman" w:hAnsi="Times New Roman" w:eastAsia="仿宋_GB2312" w:cs="Times New Roman"/>
          <w:color w:val="auto"/>
          <w:sz w:val="32"/>
          <w:szCs w:val="32"/>
          <w:highlight w:val="none"/>
          <w:lang w:eastAsia="zh-Hans"/>
        </w:rPr>
        <w:t>严格按照审批流程准备符合要求的文件、材料；</w:t>
      </w:r>
      <w:r>
        <w:rPr>
          <w:rFonts w:hint="default" w:ascii="Times New Roman" w:hAnsi="Times New Roman" w:eastAsia="仿宋_GB2312" w:cs="Times New Roman"/>
          <w:color w:val="auto"/>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3B34EB1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2.绩效目标</w:t>
      </w:r>
    </w:p>
    <w:p w14:paraId="757F00E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（1）绩效目标合理性</w:t>
      </w:r>
    </w:p>
    <w:p w14:paraId="131F5B3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年初结合实际工作内容</w:t>
      </w:r>
      <w:r>
        <w:rPr>
          <w:rFonts w:hint="default" w:ascii="Times New Roman" w:hAnsi="Times New Roman" w:eastAsia="仿宋_GB2312" w:cs="Times New Roman"/>
          <w:color w:val="auto"/>
          <w:sz w:val="32"/>
          <w:szCs w:val="32"/>
          <w:highlight w:val="none"/>
          <w:lang w:val="en-US" w:eastAsia="zh-CN"/>
        </w:rPr>
        <w:t>设定绩效目标</w:t>
      </w:r>
      <w:r>
        <w:rPr>
          <w:rFonts w:hint="default" w:ascii="Times New Roman" w:hAnsi="Times New Roman" w:eastAsia="仿宋_GB2312" w:cs="Times New Roman"/>
          <w:color w:val="auto"/>
          <w:sz w:val="32"/>
          <w:szCs w:val="32"/>
          <w:highlight w:val="none"/>
          <w:lang w:val="en-US" w:eastAsia="zh-Hans"/>
        </w:rPr>
        <w:t>，绩效目标</w:t>
      </w:r>
      <w:r>
        <w:rPr>
          <w:rFonts w:hint="default" w:ascii="Times New Roman" w:hAnsi="Times New Roman" w:eastAsia="仿宋_GB2312" w:cs="Times New Roman"/>
          <w:color w:val="auto"/>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554DD51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（2）绩效指标明确性</w:t>
      </w:r>
    </w:p>
    <w:p w14:paraId="7931E8B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项目设置了明确的预期产出效益和效果，将绩效目标细化分解为具体的绩效指标，</w:t>
      </w:r>
      <w:r>
        <w:rPr>
          <w:rFonts w:hint="eastAsia" w:ascii="Times New Roman" w:hAnsi="Times New Roman" w:eastAsia="仿宋_GB2312" w:cs="Times New Roman"/>
          <w:color w:val="auto"/>
          <w:sz w:val="32"/>
          <w:szCs w:val="32"/>
          <w:highlight w:val="none"/>
          <w:lang w:val="en-US" w:eastAsia="zh-CN"/>
        </w:rPr>
        <w:t>数量指标：困难残疾人=987人。重度残疾人=2313人。质量指标：补助发放覆盖率=100%。时效指标：补助发放及时率=100%。经济成本指标：补贴标准&lt;=120元/月。社会效益指标：拨付生活补贴，改善困难残疾人生活质量。拨付护理补贴，减轻重度残疾人家庭护理压力。满意度指标：享受政策的残疾人满意率，&gt;=95%。</w:t>
      </w:r>
      <w:r>
        <w:rPr>
          <w:rFonts w:hint="default" w:ascii="Times New Roman" w:hAnsi="Times New Roman" w:eastAsia="仿宋_GB2312" w:cs="Times New Roman"/>
          <w:color w:val="auto"/>
          <w:sz w:val="32"/>
          <w:szCs w:val="32"/>
          <w:highlight w:val="none"/>
          <w:lang w:val="en-US" w:eastAsia="zh-CN"/>
        </w:rPr>
        <w:t>绩效目标与项目目标任务数相对应，绩效目标设定的绩效指标清晰、细化、可衡量。</w:t>
      </w:r>
    </w:p>
    <w:p w14:paraId="228702B4">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3.资金投入</w:t>
      </w:r>
    </w:p>
    <w:p w14:paraId="0113C91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（1）预算编制科学性</w:t>
      </w:r>
    </w:p>
    <w:p w14:paraId="26409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8DB49A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在预算编制过程中，</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182A64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（2）资金分配合理性</w:t>
      </w:r>
    </w:p>
    <w:p w14:paraId="44D76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9B7F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CE61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6054519">
      <w:pPr>
        <w:pStyle w:val="10"/>
        <w:numPr>
          <w:ilvl w:val="0"/>
          <w:numId w:val="4"/>
        </w:numPr>
        <w:spacing w:before="0" w:after="0" w:line="560" w:lineRule="exact"/>
        <w:ind w:left="-13" w:leftChars="0" w:firstLine="643" w:firstLineChars="0"/>
        <w:jc w:val="both"/>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项目过程情况</w:t>
      </w:r>
    </w:p>
    <w:p w14:paraId="22312D2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671B9F3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1.资金管理</w:t>
      </w:r>
    </w:p>
    <w:p w14:paraId="6AE8239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（1）资金到位率</w:t>
      </w:r>
    </w:p>
    <w:p w14:paraId="7B4D0E94">
      <w:pPr>
        <w:shd w:val="clear"/>
        <w:spacing w:line="600" w:lineRule="exact"/>
        <w:ind w:firstLine="624" w:firstLineChars="200"/>
        <w:outlineLvl w:val="0"/>
        <w:rPr>
          <w:rFonts w:hint="default" w:ascii="Times New Roman" w:hAnsi="Times New Roman" w:eastAsia="仿宋_GB2312" w:cs="Times New Roman"/>
          <w:color w:val="auto"/>
          <w:sz w:val="32"/>
          <w:szCs w:val="32"/>
          <w:highlight w:val="none"/>
          <w:lang w:val="en-US" w:eastAsia="zh-CN"/>
        </w:rPr>
      </w:pPr>
      <w:r>
        <w:rPr>
          <w:rStyle w:val="16"/>
          <w:rFonts w:hint="eastAsia" w:eastAsia="楷体"/>
          <w:b w:val="0"/>
          <w:bCs w:val="0"/>
          <w:spacing w:val="-4"/>
          <w:sz w:val="32"/>
          <w:szCs w:val="32"/>
        </w:rPr>
        <w:t>本项目总投资178万元，财政资金及时足额到位，到位率100%，预算资金按计划进度执行</w:t>
      </w:r>
      <w:r>
        <w:rPr>
          <w:rStyle w:val="16"/>
          <w:rFonts w:hint="eastAsia" w:eastAsia="楷体"/>
          <w:b w:val="0"/>
          <w:bCs w:val="0"/>
          <w:spacing w:val="-4"/>
          <w:sz w:val="32"/>
          <w:szCs w:val="32"/>
          <w:lang w:eastAsia="zh-CN"/>
        </w:rPr>
        <w:t>，</w:t>
      </w:r>
      <w:r>
        <w:rPr>
          <w:rStyle w:val="16"/>
          <w:rFonts w:hint="eastAsia" w:eastAsia="楷体"/>
          <w:b w:val="0"/>
          <w:bCs w:val="0"/>
          <w:spacing w:val="-4"/>
          <w:sz w:val="32"/>
          <w:szCs w:val="32"/>
          <w:lang w:val="en-US" w:eastAsia="zh-CN"/>
        </w:rPr>
        <w:t>3月至8月每月按发放汇总表拨付资金</w:t>
      </w:r>
      <w:r>
        <w:rPr>
          <w:rFonts w:hint="default" w:ascii="Times New Roman" w:hAnsi="Times New Roman" w:eastAsia="仿宋_GB2312" w:cs="Times New Roman"/>
          <w:color w:val="auto"/>
          <w:sz w:val="32"/>
          <w:szCs w:val="32"/>
          <w:highlight w:val="none"/>
          <w:lang w:val="en-US" w:eastAsia="zh-CN"/>
        </w:rPr>
        <w:t>。</w:t>
      </w:r>
    </w:p>
    <w:p w14:paraId="5463019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（2）预算执行率</w:t>
      </w:r>
    </w:p>
    <w:p w14:paraId="4749721C">
      <w:pPr>
        <w:shd w:val="clear"/>
        <w:spacing w:line="600" w:lineRule="exact"/>
        <w:ind w:firstLine="624" w:firstLineChars="200"/>
        <w:outlineLvl w:val="0"/>
        <w:rPr>
          <w:rFonts w:hint="default" w:ascii="Times New Roman" w:hAnsi="Times New Roman" w:eastAsia="仿宋_GB2312" w:cs="Times New Roman"/>
          <w:color w:val="auto"/>
          <w:sz w:val="32"/>
          <w:szCs w:val="32"/>
          <w:highlight w:val="none"/>
          <w:lang w:val="en-US" w:eastAsia="zh-CN"/>
        </w:rPr>
      </w:pPr>
      <w:r>
        <w:rPr>
          <w:rStyle w:val="16"/>
          <w:rFonts w:hint="eastAsia" w:eastAsia="楷体"/>
          <w:b w:val="0"/>
          <w:bCs w:val="0"/>
          <w:spacing w:val="-4"/>
          <w:sz w:val="32"/>
          <w:szCs w:val="32"/>
        </w:rPr>
        <w:t>预算编制较为详细，项目资金支出总体能够按照预算执行，预算资金支出178万元，预算执行率为100%。</w:t>
      </w:r>
      <w:r>
        <w:rPr>
          <w:rStyle w:val="16"/>
          <w:rFonts w:hint="eastAsia" w:eastAsia="楷体"/>
          <w:b w:val="0"/>
          <w:bCs w:val="0"/>
          <w:spacing w:val="-4"/>
          <w:sz w:val="32"/>
          <w:szCs w:val="32"/>
          <w:lang w:eastAsia="zh-CN"/>
        </w:rPr>
        <w:t>主要用于发放</w:t>
      </w:r>
      <w:r>
        <w:rPr>
          <w:rStyle w:val="16"/>
          <w:rFonts w:eastAsia="楷体"/>
          <w:b w:val="0"/>
          <w:bCs w:val="0"/>
          <w:spacing w:val="-4"/>
          <w:sz w:val="32"/>
          <w:szCs w:val="32"/>
        </w:rPr>
        <w:t>困难残疾人生活补贴</w:t>
      </w:r>
      <w:r>
        <w:rPr>
          <w:rStyle w:val="16"/>
          <w:rFonts w:hint="eastAsia" w:eastAsia="楷体"/>
          <w:b w:val="0"/>
          <w:bCs w:val="0"/>
          <w:spacing w:val="-4"/>
          <w:sz w:val="32"/>
          <w:szCs w:val="32"/>
          <w:lang w:val="en-US" w:eastAsia="zh-CN"/>
        </w:rPr>
        <w:t>58万元</w:t>
      </w:r>
      <w:r>
        <w:rPr>
          <w:rStyle w:val="16"/>
          <w:rFonts w:eastAsia="楷体"/>
          <w:b w:val="0"/>
          <w:bCs w:val="0"/>
          <w:spacing w:val="-4"/>
          <w:sz w:val="32"/>
          <w:szCs w:val="32"/>
        </w:rPr>
        <w:t>和重度残疾人护理补贴</w:t>
      </w:r>
      <w:r>
        <w:rPr>
          <w:rStyle w:val="16"/>
          <w:rFonts w:hint="eastAsia" w:eastAsia="楷体"/>
          <w:b w:val="0"/>
          <w:bCs w:val="0"/>
          <w:spacing w:val="-4"/>
          <w:sz w:val="32"/>
          <w:szCs w:val="32"/>
          <w:lang w:val="en-US" w:eastAsia="zh-CN"/>
        </w:rPr>
        <w:t>120万元</w:t>
      </w:r>
      <w:r>
        <w:rPr>
          <w:rStyle w:val="16"/>
          <w:rFonts w:eastAsia="楷体"/>
          <w:b w:val="0"/>
          <w:bCs w:val="0"/>
          <w:spacing w:val="-4"/>
          <w:sz w:val="32"/>
          <w:szCs w:val="32"/>
        </w:rPr>
        <w:t>。</w:t>
      </w:r>
    </w:p>
    <w:p w14:paraId="4DF6D44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（3）资金使用合规性</w:t>
      </w:r>
    </w:p>
    <w:p w14:paraId="786DB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本项目的资金使用严格遵循了</w:t>
      </w:r>
      <w:r>
        <w:rPr>
          <w:rFonts w:hint="eastAsia" w:eastAsia="仿宋_GB2312" w:cs="Times New Roman"/>
          <w:color w:val="auto"/>
          <w:sz w:val="32"/>
          <w:szCs w:val="32"/>
          <w:highlight w:val="none"/>
          <w:lang w:eastAsia="zh-CN"/>
        </w:rPr>
        <w:t>市政府</w:t>
      </w:r>
      <w:r>
        <w:rPr>
          <w:rFonts w:hint="eastAsia" w:ascii="Times New Roman" w:hAnsi="Times New Roman" w:eastAsia="仿宋_GB2312" w:cs="Times New Roman"/>
          <w:color w:val="auto"/>
          <w:sz w:val="32"/>
          <w:szCs w:val="32"/>
          <w:highlight w:val="none"/>
          <w:lang w:eastAsia="zh-CN"/>
        </w:rPr>
        <w:t>《乌鲁木齐市困难残疾人生活补贴和重度残疾人护理补贴实施办法》</w:t>
      </w:r>
      <w:r>
        <w:rPr>
          <w:rFonts w:hint="default" w:ascii="Times New Roman" w:hAnsi="Times New Roman" w:eastAsia="仿宋_GB2312" w:cs="Times New Roman"/>
          <w:color w:val="auto"/>
          <w:sz w:val="32"/>
          <w:szCs w:val="32"/>
          <w:highlight w:val="none"/>
          <w:lang w:eastAsia="zh-CN"/>
        </w:rPr>
        <w:t>，确保了资金的合规性与安全性。在资金使用过程中，我们建立了完善的财务管理体系，对资金的流动进行了全程监控与记录。</w:t>
      </w:r>
    </w:p>
    <w:p w14:paraId="05F69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5AD0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44876A0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2.组织实施</w:t>
      </w:r>
    </w:p>
    <w:p w14:paraId="05333F3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（1）管理制度健全性</w:t>
      </w:r>
    </w:p>
    <w:p w14:paraId="7F91A81B">
      <w:pPr>
        <w:shd w:val="clear"/>
        <w:spacing w:line="600" w:lineRule="exact"/>
        <w:ind w:firstLine="624" w:firstLineChars="200"/>
        <w:outlineLvl w:val="0"/>
        <w:rPr>
          <w:rFonts w:hint="default" w:ascii="Times New Roman" w:hAnsi="Times New Roman" w:eastAsia="仿宋_GB2312" w:cs="Times New Roman"/>
          <w:color w:val="auto"/>
          <w:sz w:val="32"/>
          <w:szCs w:val="32"/>
          <w:highlight w:val="none"/>
          <w:lang w:eastAsia="zh-CN"/>
        </w:rPr>
      </w:pPr>
      <w:r>
        <w:rPr>
          <w:rStyle w:val="16"/>
          <w:rFonts w:hint="eastAsia" w:eastAsia="楷体"/>
          <w:b w:val="0"/>
          <w:bCs w:val="0"/>
          <w:spacing w:val="-4"/>
          <w:sz w:val="32"/>
          <w:szCs w:val="32"/>
          <w:lang w:val="en-US" w:eastAsia="zh-CN"/>
        </w:rPr>
        <w:t xml:space="preserve"> 我单位为</w:t>
      </w:r>
      <w:r>
        <w:rPr>
          <w:rStyle w:val="16"/>
          <w:rFonts w:hint="eastAsia" w:eastAsia="楷体"/>
          <w:b w:val="0"/>
          <w:bCs w:val="0"/>
          <w:spacing w:val="-4"/>
          <w:sz w:val="32"/>
          <w:szCs w:val="32"/>
          <w:lang w:eastAsia="zh-CN"/>
        </w:rPr>
        <w:t>此</w:t>
      </w:r>
      <w:r>
        <w:rPr>
          <w:rStyle w:val="16"/>
          <w:rFonts w:hint="eastAsia" w:eastAsia="楷体"/>
          <w:b w:val="0"/>
          <w:bCs w:val="0"/>
          <w:spacing w:val="-4"/>
          <w:sz w:val="32"/>
          <w:szCs w:val="32"/>
        </w:rPr>
        <w:t>项目</w:t>
      </w:r>
      <w:r>
        <w:rPr>
          <w:rStyle w:val="16"/>
          <w:rFonts w:hint="eastAsia" w:eastAsia="楷体"/>
          <w:b w:val="0"/>
          <w:bCs w:val="0"/>
          <w:spacing w:val="-4"/>
          <w:sz w:val="32"/>
          <w:szCs w:val="32"/>
          <w:lang w:eastAsia="zh-CN"/>
        </w:rPr>
        <w:t>制定了《沙依巴克区残疾人“两项补贴”资助审核管理制度》及《民政专项资金管理办法》，</w:t>
      </w:r>
      <w:r>
        <w:rPr>
          <w:rStyle w:val="16"/>
          <w:rFonts w:hint="eastAsia" w:eastAsia="楷体"/>
          <w:b w:val="0"/>
          <w:bCs w:val="0"/>
          <w:spacing w:val="-4"/>
          <w:sz w:val="32"/>
          <w:szCs w:val="32"/>
        </w:rPr>
        <w:t>为项目的成功实施提供了坚实的制度保障。项目管理制度的制定紧密结合了项目的特点与实际情况，涵盖了项目的策划、组织、实施、监控与收尾等各个环节。</w:t>
      </w:r>
      <w:r>
        <w:rPr>
          <w:rStyle w:val="16"/>
          <w:rFonts w:hint="eastAsia" w:eastAsia="楷体"/>
          <w:b w:val="0"/>
          <w:bCs w:val="0"/>
          <w:spacing w:val="-4"/>
          <w:sz w:val="32"/>
          <w:szCs w:val="32"/>
        </w:rPr>
        <w:br w:type="textWrapping"/>
      </w:r>
      <w:r>
        <w:rPr>
          <w:rStyle w:val="16"/>
          <w:rFonts w:hint="eastAsia" w:eastAsia="楷体"/>
          <w:b w:val="0"/>
          <w:bCs w:val="0"/>
          <w:spacing w:val="-4"/>
          <w:sz w:val="32"/>
          <w:szCs w:val="32"/>
          <w:lang w:val="en-US" w:eastAsia="zh-CN"/>
        </w:rPr>
        <w:t xml:space="preserve">    </w:t>
      </w:r>
      <w:r>
        <w:rPr>
          <w:rStyle w:val="16"/>
          <w:rFonts w:hint="eastAsia" w:eastAsia="楷体"/>
          <w:b w:val="0"/>
          <w:bCs w:val="0"/>
          <w:spacing w:val="-4"/>
          <w:sz w:val="32"/>
          <w:szCs w:val="32"/>
        </w:rPr>
        <w:t>本项目的管理制度是健全的、有效的，既符合项目的实际情况，又满足了项目管理的需要。管理制度的健全性为项目的成功实施提供了有力的保障，也为项目的绩效评价奠定了坚实的基础</w:t>
      </w:r>
      <w:r>
        <w:rPr>
          <w:rFonts w:hint="default" w:ascii="Times New Roman" w:hAnsi="Times New Roman" w:eastAsia="仿宋_GB2312" w:cs="Times New Roman"/>
          <w:color w:val="auto"/>
          <w:sz w:val="32"/>
          <w:szCs w:val="32"/>
          <w:highlight w:val="none"/>
          <w:lang w:eastAsia="zh-CN"/>
        </w:rPr>
        <w:t>。</w:t>
      </w:r>
    </w:p>
    <w:p w14:paraId="743248E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（2）制度执行有效性</w:t>
      </w:r>
    </w:p>
    <w:p w14:paraId="1CCAE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重视制度执行的重要性，通过明确责任分工、制定详细执行计划、加强监督考核等措施，确保了各项管理制度能够得到有效执行。</w:t>
      </w:r>
    </w:p>
    <w:p w14:paraId="72E79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6699B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综上所述，本项目的管理制度在执行过程中表现出了高度的有效性，既确保了项目的顺利进行，又实现了项目目标的有效达成。</w:t>
      </w:r>
    </w:p>
    <w:p w14:paraId="2042FDEF">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（三）</w:t>
      </w:r>
      <w:r>
        <w:rPr>
          <w:rStyle w:val="16"/>
          <w:rFonts w:hint="eastAsia" w:ascii="楷体" w:hAnsi="楷体" w:eastAsia="楷体"/>
          <w:spacing w:val="-4"/>
          <w:sz w:val="32"/>
          <w:szCs w:val="32"/>
        </w:rPr>
        <w:t>项目产出情况</w:t>
      </w:r>
    </w:p>
    <w:p w14:paraId="6E829962">
      <w:pPr>
        <w:spacing w:line="540" w:lineRule="exact"/>
        <w:ind w:firstLine="624" w:firstLineChars="200"/>
        <w:rPr>
          <w:rStyle w:val="16"/>
          <w:rFonts w:eastAsia="楷体"/>
          <w:b w:val="0"/>
          <w:bCs w:val="0"/>
          <w:spacing w:val="-4"/>
          <w:sz w:val="32"/>
          <w:szCs w:val="32"/>
        </w:rPr>
      </w:pPr>
      <w:r>
        <w:rPr>
          <w:rStyle w:val="16"/>
          <w:rFonts w:hint="eastAsia" w:eastAsia="楷体"/>
          <w:b w:val="0"/>
          <w:bCs w:val="0"/>
          <w:spacing w:val="-4"/>
          <w:sz w:val="32"/>
          <w:szCs w:val="32"/>
        </w:rPr>
        <w:t>项目产出类指标包括产出数量、产出质量、产出时效、产出成本四方面的内容，由5个三级指标构成，权重分为40分，实际得分40分，得分率为100%。具体产出指标完成情况如下：</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①数量指标：</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指标1：困难残疾人 ，指标值：=987人，实际完成值：987人，</w:t>
      </w:r>
      <w:r>
        <w:rPr>
          <w:rStyle w:val="16"/>
          <w:rFonts w:hint="eastAsia" w:eastAsia="楷体"/>
          <w:b w:val="0"/>
          <w:bCs w:val="0"/>
          <w:spacing w:val="-4"/>
          <w:sz w:val="32"/>
          <w:szCs w:val="32"/>
          <w:lang w:eastAsia="zh-CN"/>
        </w:rPr>
        <w:t>根据乌鲁木齐市困难残疾人生活补</w:t>
      </w:r>
      <w:r>
        <w:rPr>
          <w:rStyle w:val="16"/>
          <w:rFonts w:hint="eastAsia" w:ascii="Times New Roman" w:hAnsi="Times New Roman" w:eastAsia="楷体" w:cs="Times New Roman"/>
          <w:b w:val="0"/>
          <w:bCs w:val="0"/>
          <w:spacing w:val="-4"/>
          <w:sz w:val="32"/>
          <w:szCs w:val="32"/>
          <w:lang w:eastAsia="zh-CN"/>
        </w:rPr>
        <w:t>贴和重度残疾人护理补</w:t>
      </w:r>
      <w:r>
        <w:rPr>
          <w:rStyle w:val="16"/>
          <w:rFonts w:hint="eastAsia" w:eastAsia="楷体"/>
          <w:b w:val="0"/>
          <w:bCs w:val="0"/>
          <w:spacing w:val="-4"/>
          <w:sz w:val="32"/>
          <w:szCs w:val="32"/>
          <w:lang w:eastAsia="zh-CN"/>
        </w:rPr>
        <w:t>贴实施办法，按照申请审批程序，当年符合困难残疾人生活补贴人数为</w:t>
      </w:r>
      <w:r>
        <w:rPr>
          <w:rStyle w:val="16"/>
          <w:rFonts w:hint="eastAsia" w:eastAsia="楷体"/>
          <w:b w:val="0"/>
          <w:bCs w:val="0"/>
          <w:spacing w:val="-4"/>
          <w:sz w:val="32"/>
          <w:szCs w:val="32"/>
          <w:lang w:val="en-US" w:eastAsia="zh-CN"/>
        </w:rPr>
        <w:t>987人，</w:t>
      </w:r>
      <w:r>
        <w:rPr>
          <w:rStyle w:val="16"/>
          <w:rFonts w:hint="eastAsia" w:eastAsia="楷体"/>
          <w:b w:val="0"/>
          <w:bCs w:val="0"/>
          <w:spacing w:val="-4"/>
          <w:sz w:val="32"/>
          <w:szCs w:val="32"/>
        </w:rPr>
        <w:t>指标完成率100%，无偏差。</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指标2：重度残疾人 ，指标值：=2313人，实际完成值：2313人</w:t>
      </w:r>
      <w:r>
        <w:rPr>
          <w:rStyle w:val="16"/>
          <w:rFonts w:hint="eastAsia" w:eastAsia="楷体"/>
          <w:b w:val="0"/>
          <w:bCs w:val="0"/>
          <w:spacing w:val="-4"/>
          <w:sz w:val="32"/>
          <w:szCs w:val="32"/>
          <w:lang w:eastAsia="zh-CN"/>
        </w:rPr>
        <w:t>，根据乌鲁木齐市困难残疾人生活补</w:t>
      </w:r>
      <w:r>
        <w:rPr>
          <w:rStyle w:val="16"/>
          <w:rFonts w:hint="eastAsia" w:ascii="Times New Roman" w:hAnsi="Times New Roman" w:eastAsia="楷体" w:cs="Times New Roman"/>
          <w:b w:val="0"/>
          <w:bCs w:val="0"/>
          <w:spacing w:val="-4"/>
          <w:sz w:val="32"/>
          <w:szCs w:val="32"/>
          <w:lang w:eastAsia="zh-CN"/>
        </w:rPr>
        <w:t>贴和重度残疾人护理补</w:t>
      </w:r>
      <w:r>
        <w:rPr>
          <w:rStyle w:val="16"/>
          <w:rFonts w:hint="eastAsia" w:eastAsia="楷体"/>
          <w:b w:val="0"/>
          <w:bCs w:val="0"/>
          <w:spacing w:val="-4"/>
          <w:sz w:val="32"/>
          <w:szCs w:val="32"/>
          <w:lang w:eastAsia="zh-CN"/>
        </w:rPr>
        <w:t>贴实施办法，按照申请审批程序，当年符合重度残疾人护理补贴人数为</w:t>
      </w:r>
      <w:r>
        <w:rPr>
          <w:rStyle w:val="16"/>
          <w:rFonts w:hint="eastAsia" w:eastAsia="楷体"/>
          <w:b w:val="0"/>
          <w:bCs w:val="0"/>
          <w:spacing w:val="-4"/>
          <w:sz w:val="32"/>
          <w:szCs w:val="32"/>
          <w:lang w:val="en-US" w:eastAsia="zh-CN"/>
        </w:rPr>
        <w:t>2313人，</w:t>
      </w:r>
      <w:r>
        <w:rPr>
          <w:rStyle w:val="16"/>
          <w:rFonts w:hint="eastAsia" w:eastAsia="楷体"/>
          <w:b w:val="0"/>
          <w:bCs w:val="0"/>
          <w:spacing w:val="-4"/>
          <w:sz w:val="32"/>
          <w:szCs w:val="32"/>
        </w:rPr>
        <w:t>，指标完成率100%，无偏差。</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②质量指标：</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指标1：补助发放覆盖率 ，指标值：=100%，实际完成值：100%，</w:t>
      </w:r>
      <w:r>
        <w:rPr>
          <w:rStyle w:val="16"/>
          <w:rFonts w:hint="eastAsia" w:eastAsia="楷体"/>
          <w:b w:val="0"/>
          <w:bCs w:val="0"/>
          <w:spacing w:val="-4"/>
          <w:sz w:val="32"/>
          <w:szCs w:val="32"/>
          <w:lang w:eastAsia="zh-CN"/>
        </w:rPr>
        <w:t>全年应发放残疾人两项补贴人数</w:t>
      </w:r>
      <w:r>
        <w:rPr>
          <w:rStyle w:val="16"/>
          <w:rFonts w:hint="eastAsia" w:eastAsia="楷体"/>
          <w:b w:val="0"/>
          <w:bCs w:val="0"/>
          <w:spacing w:val="-4"/>
          <w:sz w:val="32"/>
          <w:szCs w:val="32"/>
          <w:lang w:val="en-US" w:eastAsia="zh-CN"/>
        </w:rPr>
        <w:t>3300人，已</w:t>
      </w:r>
      <w:r>
        <w:rPr>
          <w:rStyle w:val="16"/>
          <w:rFonts w:hint="eastAsia" w:eastAsia="楷体"/>
          <w:b w:val="0"/>
          <w:bCs w:val="0"/>
          <w:spacing w:val="-4"/>
          <w:sz w:val="32"/>
          <w:szCs w:val="32"/>
          <w:lang w:eastAsia="zh-CN"/>
        </w:rPr>
        <w:t>发放残疾人两项补贴人数</w:t>
      </w:r>
      <w:r>
        <w:rPr>
          <w:rStyle w:val="16"/>
          <w:rFonts w:hint="eastAsia" w:eastAsia="楷体"/>
          <w:b w:val="0"/>
          <w:bCs w:val="0"/>
          <w:spacing w:val="-4"/>
          <w:sz w:val="32"/>
          <w:szCs w:val="32"/>
          <w:lang w:val="en-US" w:eastAsia="zh-CN"/>
        </w:rPr>
        <w:t>3300人，</w:t>
      </w:r>
      <w:r>
        <w:rPr>
          <w:rStyle w:val="16"/>
          <w:rFonts w:hint="eastAsia" w:eastAsia="楷体"/>
          <w:b w:val="0"/>
          <w:bCs w:val="0"/>
          <w:spacing w:val="-4"/>
          <w:sz w:val="32"/>
          <w:szCs w:val="32"/>
        </w:rPr>
        <w:t>指标完成率100%，无偏差。</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③时效指标：</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指标2：补助发放及时率 ，指标值：≥100%，实际完成值：100%，</w:t>
      </w:r>
      <w:r>
        <w:rPr>
          <w:rStyle w:val="16"/>
          <w:rFonts w:hint="eastAsia" w:eastAsia="楷体"/>
          <w:b w:val="0"/>
          <w:bCs w:val="0"/>
          <w:spacing w:val="-4"/>
          <w:sz w:val="32"/>
          <w:szCs w:val="32"/>
          <w:lang w:eastAsia="zh-CN"/>
        </w:rPr>
        <w:t>我单位每月按要求能在</w:t>
      </w:r>
      <w:r>
        <w:rPr>
          <w:rStyle w:val="16"/>
          <w:rFonts w:hint="eastAsia" w:eastAsia="楷体"/>
          <w:b w:val="0"/>
          <w:bCs w:val="0"/>
          <w:spacing w:val="-4"/>
          <w:sz w:val="32"/>
          <w:szCs w:val="32"/>
          <w:lang w:val="en-US" w:eastAsia="zh-CN"/>
        </w:rPr>
        <w:t>15日前进行资金发放，</w:t>
      </w:r>
      <w:r>
        <w:rPr>
          <w:rStyle w:val="16"/>
          <w:rFonts w:hint="eastAsia" w:eastAsia="楷体"/>
          <w:b w:val="0"/>
          <w:bCs w:val="0"/>
          <w:spacing w:val="-4"/>
          <w:sz w:val="32"/>
          <w:szCs w:val="32"/>
        </w:rPr>
        <w:t>指标完成率100%，无偏差。</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④成本指标：</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指标1：补贴标准，指标值：≤120元/人/月，实际完成值：120元/人/月，</w:t>
      </w:r>
      <w:r>
        <w:rPr>
          <w:rStyle w:val="16"/>
          <w:rFonts w:hint="eastAsia" w:eastAsia="楷体"/>
          <w:b w:val="0"/>
          <w:bCs w:val="0"/>
          <w:spacing w:val="-4"/>
          <w:sz w:val="32"/>
          <w:szCs w:val="32"/>
          <w:lang w:eastAsia="zh-CN"/>
        </w:rPr>
        <w:t>此条指标根据《关于提高全区困难残疾人生活补贴和重度残疾人护理补贴标准的通知》（新民发【</w:t>
      </w:r>
      <w:r>
        <w:rPr>
          <w:rStyle w:val="16"/>
          <w:rFonts w:hint="eastAsia" w:eastAsia="楷体"/>
          <w:b w:val="0"/>
          <w:bCs w:val="0"/>
          <w:spacing w:val="-4"/>
          <w:sz w:val="32"/>
          <w:szCs w:val="32"/>
          <w:lang w:val="en-US" w:eastAsia="zh-CN"/>
        </w:rPr>
        <w:t>2024】53号）文件通知要求，补助标准为</w:t>
      </w:r>
      <w:r>
        <w:rPr>
          <w:rStyle w:val="16"/>
          <w:rFonts w:hint="eastAsia" w:eastAsia="楷体"/>
          <w:b w:val="0"/>
          <w:bCs w:val="0"/>
          <w:spacing w:val="-4"/>
          <w:sz w:val="32"/>
          <w:szCs w:val="32"/>
        </w:rPr>
        <w:t>120元/人/月</w:t>
      </w:r>
      <w:r>
        <w:rPr>
          <w:rStyle w:val="16"/>
          <w:rFonts w:hint="eastAsia" w:eastAsia="楷体"/>
          <w:b w:val="0"/>
          <w:bCs w:val="0"/>
          <w:spacing w:val="-4"/>
          <w:sz w:val="32"/>
          <w:szCs w:val="32"/>
          <w:lang w:eastAsia="zh-CN"/>
        </w:rPr>
        <w:t>。</w:t>
      </w:r>
      <w:r>
        <w:rPr>
          <w:rStyle w:val="16"/>
          <w:rFonts w:hint="eastAsia" w:eastAsia="楷体"/>
          <w:b w:val="0"/>
          <w:bCs w:val="0"/>
          <w:spacing w:val="-4"/>
          <w:sz w:val="32"/>
          <w:szCs w:val="32"/>
        </w:rPr>
        <w:t>指标完成率100%，无偏差。</w:t>
      </w:r>
    </w:p>
    <w:p w14:paraId="46609E08">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（四）</w:t>
      </w:r>
      <w:r>
        <w:rPr>
          <w:rStyle w:val="16"/>
          <w:rFonts w:hint="eastAsia" w:ascii="楷体" w:hAnsi="楷体" w:eastAsia="楷体"/>
          <w:spacing w:val="-4"/>
          <w:sz w:val="32"/>
          <w:szCs w:val="32"/>
        </w:rPr>
        <w:t>项目效益情况</w:t>
      </w:r>
    </w:p>
    <w:p w14:paraId="75FC92B1">
      <w:pPr>
        <w:spacing w:line="540" w:lineRule="exact"/>
        <w:ind w:firstLine="624" w:firstLineChars="200"/>
        <w:rPr>
          <w:rStyle w:val="16"/>
          <w:rFonts w:eastAsia="楷体"/>
          <w:b w:val="0"/>
          <w:bCs w:val="0"/>
          <w:spacing w:val="-4"/>
          <w:sz w:val="32"/>
          <w:szCs w:val="32"/>
        </w:rPr>
      </w:pPr>
      <w:r>
        <w:rPr>
          <w:rStyle w:val="16"/>
          <w:rFonts w:hint="eastAsia" w:eastAsia="楷体"/>
          <w:b w:val="0"/>
          <w:bCs w:val="0"/>
          <w:spacing w:val="-4"/>
          <w:sz w:val="32"/>
          <w:szCs w:val="32"/>
        </w:rPr>
        <w:t>项目效益类指标包括项目实施效益和满意度两方面的内容，由两个三级指标构成，权重分为20分，实际得分20分，得分率为100%。具体效益指标及满意度指标完成情况如下：</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1.实施效益</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①社会效益指标：</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指标1：拨付生活补贴 ，指标值：改善困难残疾人生活质量，实际完成值：100%，指标完成率100%，无偏</w:t>
      </w:r>
      <w:r>
        <w:rPr>
          <w:rStyle w:val="16"/>
          <w:rFonts w:hint="eastAsia" w:ascii="Times New Roman" w:hAnsi="Times New Roman" w:eastAsia="楷体" w:cs="Times New Roman"/>
          <w:b w:val="0"/>
          <w:bCs w:val="0"/>
          <w:spacing w:val="-4"/>
          <w:sz w:val="32"/>
          <w:szCs w:val="32"/>
        </w:rPr>
        <w:t>差。</w:t>
      </w:r>
      <w:r>
        <w:rPr>
          <w:rStyle w:val="16"/>
          <w:rFonts w:hint="eastAsia" w:ascii="Times New Roman" w:hAnsi="Times New Roman" w:eastAsia="楷体" w:cs="Times New Roman"/>
          <w:b w:val="0"/>
          <w:bCs w:val="0"/>
          <w:spacing w:val="-4"/>
          <w:sz w:val="32"/>
          <w:szCs w:val="32"/>
          <w:lang w:eastAsia="zh-CN"/>
        </w:rPr>
        <w:t>全年按时准确拨付困难残疾人生活补贴，有效</w:t>
      </w:r>
      <w:r>
        <w:rPr>
          <w:rStyle w:val="16"/>
          <w:rFonts w:hint="eastAsia" w:ascii="Times New Roman" w:hAnsi="Times New Roman" w:eastAsia="楷体" w:cs="Times New Roman"/>
          <w:b w:val="0"/>
          <w:bCs w:val="0"/>
          <w:spacing w:val="-4"/>
          <w:sz w:val="32"/>
          <w:szCs w:val="32"/>
        </w:rPr>
        <w:t>改善困难残疾人生活质量</w:t>
      </w:r>
      <w:r>
        <w:rPr>
          <w:rStyle w:val="16"/>
          <w:rFonts w:hint="eastAsia" w:ascii="Times New Roman" w:hAnsi="Times New Roman" w:eastAsia="楷体" w:cs="Times New Roman"/>
          <w:b w:val="0"/>
          <w:bCs w:val="0"/>
          <w:spacing w:val="-4"/>
          <w:sz w:val="32"/>
          <w:szCs w:val="32"/>
          <w:lang w:eastAsia="zh-CN"/>
        </w:rPr>
        <w:t>。</w:t>
      </w:r>
      <w:r>
        <w:rPr>
          <w:rStyle w:val="16"/>
          <w:rFonts w:hint="eastAsia" w:ascii="Times New Roman" w:hAnsi="Times New Roman" w:eastAsia="楷体" w:cs="Times New Roman"/>
          <w:b w:val="0"/>
          <w:bCs w:val="0"/>
          <w:spacing w:val="-4"/>
          <w:sz w:val="32"/>
          <w:szCs w:val="32"/>
        </w:rPr>
        <w:br w:type="textWrapping"/>
      </w:r>
      <w:r>
        <w:rPr>
          <w:rStyle w:val="16"/>
          <w:rFonts w:hint="eastAsia" w:eastAsia="楷体"/>
          <w:b w:val="0"/>
          <w:bCs w:val="0"/>
          <w:spacing w:val="-4"/>
          <w:sz w:val="32"/>
          <w:szCs w:val="32"/>
        </w:rPr>
        <w:t>指标2：拨付护理补贴 ，指标值：减</w:t>
      </w:r>
      <w:r>
        <w:rPr>
          <w:rStyle w:val="16"/>
          <w:rFonts w:hint="eastAsia" w:eastAsia="楷体"/>
          <w:b w:val="0"/>
          <w:bCs w:val="0"/>
          <w:spacing w:val="-4"/>
          <w:sz w:val="32"/>
          <w:szCs w:val="32"/>
          <w:lang w:eastAsia="zh-CN"/>
        </w:rPr>
        <w:t>轻</w:t>
      </w:r>
      <w:r>
        <w:rPr>
          <w:rStyle w:val="16"/>
          <w:rFonts w:hint="eastAsia" w:eastAsia="楷体"/>
          <w:b w:val="0"/>
          <w:bCs w:val="0"/>
          <w:spacing w:val="-4"/>
          <w:sz w:val="32"/>
          <w:szCs w:val="32"/>
        </w:rPr>
        <w:t>残疾人家庭护理压力，实际完成值：100%，指标完成率100%，无偏差。</w:t>
      </w:r>
      <w:r>
        <w:rPr>
          <w:rStyle w:val="16"/>
          <w:rFonts w:hint="eastAsia" w:ascii="Times New Roman" w:hAnsi="Times New Roman" w:eastAsia="楷体" w:cs="Times New Roman"/>
          <w:b w:val="0"/>
          <w:bCs w:val="0"/>
          <w:spacing w:val="-4"/>
          <w:sz w:val="32"/>
          <w:szCs w:val="32"/>
          <w:lang w:eastAsia="zh-CN"/>
        </w:rPr>
        <w:t>全年按时准确</w:t>
      </w:r>
      <w:r>
        <w:rPr>
          <w:rStyle w:val="16"/>
          <w:rFonts w:hint="eastAsia" w:eastAsia="楷体"/>
          <w:b w:val="0"/>
          <w:bCs w:val="0"/>
          <w:spacing w:val="-4"/>
          <w:sz w:val="32"/>
          <w:szCs w:val="32"/>
        </w:rPr>
        <w:t>拨付护理补贴 ，减</w:t>
      </w:r>
      <w:r>
        <w:rPr>
          <w:rStyle w:val="16"/>
          <w:rFonts w:hint="eastAsia" w:eastAsia="楷体"/>
          <w:b w:val="0"/>
          <w:bCs w:val="0"/>
          <w:spacing w:val="-4"/>
          <w:sz w:val="32"/>
          <w:szCs w:val="32"/>
          <w:lang w:eastAsia="zh-CN"/>
        </w:rPr>
        <w:t>轻了重</w:t>
      </w:r>
      <w:r>
        <w:rPr>
          <w:rStyle w:val="16"/>
          <w:rFonts w:hint="eastAsia" w:eastAsia="楷体"/>
          <w:b w:val="0"/>
          <w:bCs w:val="0"/>
          <w:spacing w:val="-4"/>
          <w:sz w:val="32"/>
          <w:szCs w:val="32"/>
        </w:rPr>
        <w:t>度残疾人家庭护理压力</w:t>
      </w:r>
      <w:r>
        <w:rPr>
          <w:rStyle w:val="16"/>
          <w:rFonts w:hint="eastAsia" w:eastAsia="楷体"/>
          <w:b w:val="0"/>
          <w:bCs w:val="0"/>
          <w:spacing w:val="-4"/>
          <w:sz w:val="32"/>
          <w:szCs w:val="32"/>
          <w:lang w:eastAsia="zh-CN"/>
        </w:rPr>
        <w:t>。</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②经济效益指标:</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该指标不涉及。</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③生态效益指标:</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该指标不涉及。</w:t>
      </w:r>
    </w:p>
    <w:p w14:paraId="59B83EB3">
      <w:pPr>
        <w:pStyle w:val="19"/>
        <w:spacing w:line="560" w:lineRule="exact"/>
        <w:ind w:firstLine="640"/>
        <w:rPr>
          <w:rFonts w:hint="eastAsia" w:eastAsia="仿宋_GB2312" w:cs="Times New Roman"/>
          <w:color w:val="auto"/>
          <w:sz w:val="32"/>
          <w:szCs w:val="32"/>
          <w:highlight w:val="none"/>
          <w:lang w:val="en-US" w:eastAsia="zh-CN"/>
        </w:rPr>
      </w:pPr>
      <w:r>
        <w:rPr>
          <w:rStyle w:val="16"/>
          <w:rFonts w:hint="eastAsia" w:eastAsia="楷体"/>
          <w:b w:val="0"/>
          <w:bCs w:val="0"/>
          <w:spacing w:val="-4"/>
          <w:sz w:val="32"/>
          <w:szCs w:val="32"/>
        </w:rPr>
        <w:t>指标1：享受政策的残疾人满意度 ，指标值：≥95%，实际完成值：95%，指标完成率100%，无偏差。</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（五）预算执行进度与绩效指标总体完成率偏差</w:t>
      </w:r>
      <w:r>
        <w:rPr>
          <w:rStyle w:val="16"/>
          <w:rFonts w:hint="eastAsia" w:eastAsia="楷体"/>
          <w:b w:val="0"/>
          <w:bCs w:val="0"/>
          <w:spacing w:val="-4"/>
          <w:sz w:val="32"/>
          <w:szCs w:val="32"/>
        </w:rPr>
        <w:br w:type="textWrapping"/>
      </w:r>
      <w:r>
        <w:rPr>
          <w:rStyle w:val="16"/>
          <w:rFonts w:hint="eastAsia" w:eastAsia="楷体"/>
          <w:b w:val="0"/>
          <w:bCs w:val="0"/>
          <w:spacing w:val="-4"/>
          <w:sz w:val="32"/>
          <w:szCs w:val="32"/>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关于预拨2024年残疾人两项补贴预算资金的通知(市级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项目年初预算</w:t>
      </w:r>
      <w:r>
        <w:rPr>
          <w:rFonts w:hint="eastAsia" w:ascii="Times New Roman" w:hAnsi="Times New Roman"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rPr>
        <w:t>万元，全年预算</w:t>
      </w:r>
      <w:r>
        <w:rPr>
          <w:rFonts w:hint="eastAsia" w:ascii="Times New Roman" w:hAnsi="Times New Roman"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178</w:t>
      </w:r>
      <w:r>
        <w:rPr>
          <w:rFonts w:hint="default" w:ascii="Times New Roman" w:hAnsi="Times New Roman" w:eastAsia="仿宋_GB2312" w:cs="Times New Roman"/>
          <w:color w:val="auto"/>
          <w:sz w:val="32"/>
          <w:szCs w:val="32"/>
          <w:highlight w:val="none"/>
        </w:rPr>
        <w:t>万元，预算执行率为</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%，项目绩效指标总体完成率为</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Hans"/>
        </w:rPr>
        <w:t>总体</w:t>
      </w:r>
      <w:r>
        <w:rPr>
          <w:rFonts w:hint="default" w:ascii="Times New Roman" w:hAnsi="Times New Roman" w:eastAsia="仿宋_GB2312" w:cs="Times New Roman"/>
          <w:color w:val="auto"/>
          <w:sz w:val="32"/>
          <w:szCs w:val="32"/>
          <w:highlight w:val="none"/>
        </w:rPr>
        <w:t>偏差率为</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w:t>
      </w:r>
    </w:p>
    <w:p w14:paraId="1BFB7C3D">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主要经验及做法、存在的问题及原因分析</w:t>
      </w:r>
    </w:p>
    <w:p w14:paraId="45FE0F37">
      <w:pPr>
        <w:spacing w:line="560" w:lineRule="exact"/>
        <w:ind w:firstLine="627" w:firstLineChars="200"/>
        <w:rPr>
          <w:rFonts w:hint="default" w:ascii="Times New Roman" w:hAnsi="Times New Roman" w:eastAsia="楷体" w:cs="Times New Roman"/>
          <w:b/>
          <w:color w:val="auto"/>
          <w:spacing w:val="-4"/>
          <w:sz w:val="32"/>
          <w:szCs w:val="32"/>
          <w:highlight w:val="none"/>
        </w:rPr>
      </w:pPr>
      <w:r>
        <w:rPr>
          <w:rFonts w:hint="default" w:ascii="Times New Roman" w:hAnsi="Times New Roman" w:eastAsia="楷体" w:cs="Times New Roman"/>
          <w:b/>
          <w:color w:val="auto"/>
          <w:spacing w:val="-4"/>
          <w:sz w:val="32"/>
          <w:szCs w:val="32"/>
          <w:highlight w:val="none"/>
        </w:rPr>
        <w:t>（一）主要经验及做法</w:t>
      </w:r>
    </w:p>
    <w:p w14:paraId="7C988A57">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为确保项目顺利进行，</w:t>
      </w:r>
      <w:r>
        <w:rPr>
          <w:rFonts w:hint="eastAsia" w:eastAsia="仿宋_GB2312" w:cs="Times New Roman"/>
          <w:color w:val="auto"/>
          <w:sz w:val="32"/>
          <w:szCs w:val="32"/>
          <w:highlight w:val="none"/>
          <w:lang w:val="en-US" w:eastAsia="zh-CN"/>
        </w:rPr>
        <w:t>实施精准救助，兜住困难群众基本生活底线，严格把关审核，扎实做好残疾人摸底排查工作。</w:t>
      </w:r>
      <w:r>
        <w:rPr>
          <w:rFonts w:hint="default" w:ascii="Times New Roman" w:hAnsi="Times New Roman" w:eastAsia="仿宋_GB2312" w:cs="Times New Roman"/>
          <w:color w:val="auto"/>
          <w:sz w:val="32"/>
          <w:szCs w:val="32"/>
          <w:highlight w:val="none"/>
        </w:rPr>
        <w:t>按照项目资金使用范围做好审核工作，让项目资金落于实处。在项目完成后，做好受益群众民意调查及项目防范工作。</w:t>
      </w:r>
    </w:p>
    <w:p w14:paraId="7F41A731">
      <w:pPr>
        <w:pStyle w:val="10"/>
        <w:spacing w:before="0" w:after="0" w:line="560" w:lineRule="exact"/>
        <w:ind w:firstLine="640" w:firstLineChars="200"/>
        <w:jc w:val="left"/>
        <w:rPr>
          <w:rFonts w:hint="default" w:ascii="Times New Roman" w:hAnsi="Times New Roman" w:eastAsia="仿宋_GB2312" w:cs="Times New Roman"/>
          <w:b w:val="0"/>
          <w:bCs w:val="0"/>
          <w:color w:val="auto"/>
          <w:kern w:val="2"/>
          <w:highlight w:val="none"/>
        </w:rPr>
      </w:pPr>
      <w:r>
        <w:rPr>
          <w:rFonts w:hint="eastAsia" w:ascii="Times New Roman" w:hAnsi="Times New Roman" w:eastAsia="仿宋_GB2312" w:cs="Times New Roman"/>
          <w:b w:val="0"/>
          <w:bCs w:val="0"/>
          <w:color w:val="auto"/>
          <w:kern w:val="2"/>
          <w:highlight w:val="none"/>
          <w:lang w:val="en-US" w:eastAsia="zh-CN"/>
        </w:rPr>
        <w:t>严格按文件要求执行项目资金使用范围等，</w:t>
      </w:r>
      <w:r>
        <w:rPr>
          <w:rFonts w:hint="eastAsia" w:ascii="Times New Roman" w:hAnsi="Times New Roman" w:eastAsia="仿宋_GB2312" w:cs="Times New Roman"/>
          <w:b w:val="0"/>
          <w:bCs w:val="0"/>
          <w:color w:val="auto"/>
          <w:kern w:val="2"/>
          <w:highlight w:val="none"/>
          <w:lang w:eastAsia="zh-CN"/>
        </w:rPr>
        <w:t>杜绝</w:t>
      </w:r>
      <w:r>
        <w:rPr>
          <w:rFonts w:hint="default" w:ascii="Times New Roman" w:hAnsi="Times New Roman" w:eastAsia="仿宋_GB2312" w:cs="Times New Roman"/>
          <w:b w:val="0"/>
          <w:bCs w:val="0"/>
          <w:color w:val="auto"/>
          <w:kern w:val="2"/>
          <w:highlight w:val="none"/>
        </w:rPr>
        <w:t>了资金被挤占和挪用现象的发生。</w:t>
      </w:r>
    </w:p>
    <w:p w14:paraId="41EFA154">
      <w:pPr>
        <w:keepNext/>
        <w:keepLines/>
        <w:numPr>
          <w:ilvl w:val="0"/>
          <w:numId w:val="5"/>
        </w:num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存在的问题及原因分析</w:t>
      </w:r>
    </w:p>
    <w:p w14:paraId="05A068C3">
      <w:pPr>
        <w:spacing w:line="56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业务专干更换频繁，造成救助政策掌握不够及时、救助数据等未能精准测算，影响年初目标设定的精准度。</w:t>
      </w:r>
    </w:p>
    <w:p w14:paraId="496437E6">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有关建议</w:t>
      </w:r>
    </w:p>
    <w:p w14:paraId="149004C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1.多进行有关绩效管理工作方面的培训。积极组织第三方开展绩效管理工作培训，进一步夯实业务基础，提高我单位绩效人员水平。</w:t>
      </w:r>
    </w:p>
    <w:p w14:paraId="2BF8374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2.专门设定对绩效工作人员定职、定岗、定责等相关制度措施，进一步提升我单位绩效管理工作业务水平，扎实做好绩效管理工作。</w:t>
      </w:r>
    </w:p>
    <w:p w14:paraId="0129304E">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其他需要说</w:t>
      </w:r>
      <w:bookmarkStart w:id="0" w:name="page8"/>
      <w:bookmarkEnd w:id="0"/>
      <w:r>
        <w:rPr>
          <w:rFonts w:hint="default" w:ascii="Times New Roman" w:hAnsi="Times New Roman" w:eastAsia="黑体" w:cs="Times New Roman"/>
          <w:color w:val="auto"/>
          <w:sz w:val="32"/>
          <w:szCs w:val="32"/>
          <w:highlight w:val="none"/>
        </w:rPr>
        <w:t>明的问题</w:t>
      </w:r>
    </w:p>
    <w:p w14:paraId="614393DB">
      <w:pPr>
        <w:pStyle w:val="13"/>
        <w:spacing w:after="0" w:line="560" w:lineRule="exact"/>
        <w:ind w:left="0" w:leftChars="0" w:firstLine="64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eastAsia="zh-Hans"/>
        </w:rPr>
        <w:t>1.项目支出政策和路径设计科学，符合实际需要；</w:t>
      </w:r>
    </w:p>
    <w:p w14:paraId="1691FB4D">
      <w:pPr>
        <w:pStyle w:val="13"/>
        <w:spacing w:after="0" w:line="560" w:lineRule="exact"/>
        <w:ind w:left="0" w:leftChars="0" w:firstLine="64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eastAsia="zh-Hans"/>
        </w:rPr>
        <w:t>2.项目安排准确，未发现背离项目立项初衷的情况；</w:t>
      </w:r>
    </w:p>
    <w:p w14:paraId="01C7FAB4">
      <w:pPr>
        <w:pStyle w:val="13"/>
        <w:spacing w:after="0" w:line="560" w:lineRule="exact"/>
        <w:ind w:left="0" w:leftChars="0" w:firstLine="64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eastAsia="zh-Hans"/>
        </w:rPr>
        <w:t>3.项目的申报、审核机制完善；</w:t>
      </w:r>
    </w:p>
    <w:p w14:paraId="078D435E">
      <w:pPr>
        <w:pStyle w:val="13"/>
        <w:spacing w:after="0" w:line="560" w:lineRule="exact"/>
        <w:ind w:left="0" w:leftChars="0" w:firstLine="64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sz w:val="32"/>
          <w:szCs w:val="32"/>
          <w:lang w:eastAsia="zh-Hans"/>
        </w:rPr>
        <w:t>4.未发现虚假行为和骗取财政资金的问题</w:t>
      </w:r>
      <w:r>
        <w:rPr>
          <w:rFonts w:hint="default" w:ascii="Times New Roman" w:hAnsi="Times New Roman" w:eastAsia="仿宋_GB2312" w:cs="Times New Roman"/>
          <w:color w:val="auto"/>
          <w:sz w:val="32"/>
          <w:szCs w:val="32"/>
          <w:highlight w:val="none"/>
          <w:lang w:eastAsia="zh-Hans"/>
        </w:rPr>
        <w:t>。</w:t>
      </w:r>
    </w:p>
    <w:p w14:paraId="5497C4E8">
      <w:pPr>
        <w:pStyle w:val="13"/>
        <w:spacing w:after="0" w:line="560" w:lineRule="exact"/>
        <w:ind w:left="0" w:leftChars="0" w:firstLine="0" w:firstLineChars="0"/>
        <w:rPr>
          <w:rFonts w:hint="eastAsia" w:ascii="Times New Roman" w:hAnsi="Times New Roman" w:eastAsia="仿宋_GB2312" w:cs="Times New Roman"/>
          <w:color w:val="auto"/>
          <w:sz w:val="32"/>
          <w:szCs w:val="32"/>
          <w:highlight w:val="none"/>
          <w:lang w:eastAsia="zh-CN"/>
        </w:rPr>
      </w:pPr>
    </w:p>
    <w:p w14:paraId="5D31FC40">
      <w:pPr>
        <w:pStyle w:val="13"/>
        <w:spacing w:after="0" w:line="560" w:lineRule="exact"/>
        <w:rPr>
          <w:rFonts w:hint="eastAsia" w:ascii="Times New Roman" w:hAnsi="Times New Roman" w:eastAsia="仿宋_GB2312" w:cs="Times New Roman"/>
          <w:color w:val="auto"/>
          <w:sz w:val="32"/>
          <w:szCs w:val="32"/>
          <w:highlight w:val="none"/>
          <w:lang w:val="en-US" w:eastAsia="zh-CN"/>
        </w:rPr>
      </w:pPr>
    </w:p>
    <w:p w14:paraId="06BB67B9">
      <w:pPr>
        <w:pStyle w:val="13"/>
        <w:spacing w:after="0" w:line="560" w:lineRule="exact"/>
        <w:ind w:left="0" w:leftChars="0" w:firstLine="0" w:firstLineChars="0"/>
        <w:rPr>
          <w:rFonts w:hint="default" w:ascii="Times New Roman" w:hAnsi="Times New Roman" w:eastAsia="仿宋_GB2312" w:cs="Times New Roman"/>
          <w:color w:val="auto"/>
          <w:sz w:val="32"/>
          <w:szCs w:val="32"/>
          <w:highlight w:val="none"/>
        </w:rPr>
      </w:pPr>
    </w:p>
    <w:p w14:paraId="18EB9817">
      <w:pPr>
        <w:spacing w:line="600" w:lineRule="exact"/>
        <w:rPr>
          <w:rFonts w:hint="eastAsia" w:ascii="Times New Roman" w:hAnsi="Times New Roman" w:eastAsia="黑体" w:cs="Times New Roman"/>
          <w:color w:val="auto"/>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0B1DA16E">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14:paraId="1D9ED4F6">
      <w:pPr>
        <w:pStyle w:val="19"/>
        <w:ind w:firstLine="562"/>
        <w:jc w:val="center"/>
        <w:rPr>
          <w:rFonts w:hint="eastAsia" w:ascii="仿宋_GB2312" w:hAnsi="仿宋_GB2312" w:eastAsia="仿宋_GB2312" w:cs="仿宋_GB2312"/>
          <w:color w:val="auto"/>
          <w:sz w:val="28"/>
          <w:szCs w:val="40"/>
          <w:highlight w:val="none"/>
        </w:rPr>
      </w:pPr>
      <w:bookmarkStart w:id="1" w:name="_Toc26499_WPSOffice_Level2"/>
      <w:bookmarkStart w:id="2" w:name="_Toc30064_WPSOffice_Level1"/>
      <w:r>
        <w:rPr>
          <w:rFonts w:hint="eastAsia" w:ascii="仿宋_GB2312" w:hAnsi="仿宋_GB2312" w:eastAsia="仿宋_GB2312" w:cs="仿宋_GB2312"/>
          <w:b/>
          <w:bCs/>
          <w:color w:val="auto"/>
          <w:sz w:val="28"/>
          <w:szCs w:val="40"/>
          <w:highlight w:val="none"/>
          <w:lang w:val="en-US" w:eastAsia="zh-CN"/>
        </w:rPr>
        <w:t>残疾人两项补贴</w:t>
      </w:r>
      <w:r>
        <w:rPr>
          <w:rFonts w:hint="eastAsia" w:ascii="仿宋_GB2312" w:hAnsi="仿宋_GB2312" w:eastAsia="仿宋_GB2312" w:cs="仿宋_GB2312"/>
          <w:b/>
          <w:bCs/>
          <w:color w:val="auto"/>
          <w:sz w:val="28"/>
          <w:szCs w:val="40"/>
          <w:highlight w:val="none"/>
        </w:rPr>
        <w:t>项目绩效评价指标体系及综合评分表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16292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1B51701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一级指标</w:t>
            </w:r>
          </w:p>
        </w:tc>
        <w:tc>
          <w:tcPr>
            <w:tcW w:w="1000" w:type="dxa"/>
            <w:shd w:val="clear" w:color="auto" w:fill="FFFFFF"/>
            <w:vAlign w:val="center"/>
          </w:tcPr>
          <w:p w14:paraId="15C2C1D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二级指标</w:t>
            </w:r>
          </w:p>
        </w:tc>
        <w:tc>
          <w:tcPr>
            <w:tcW w:w="1071" w:type="dxa"/>
            <w:shd w:val="clear" w:color="auto" w:fill="FFFFFF"/>
            <w:vAlign w:val="center"/>
          </w:tcPr>
          <w:p w14:paraId="5C325A9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三级指标</w:t>
            </w:r>
          </w:p>
        </w:tc>
        <w:tc>
          <w:tcPr>
            <w:tcW w:w="1725" w:type="dxa"/>
            <w:shd w:val="clear" w:color="auto" w:fill="FFFFFF"/>
            <w:vAlign w:val="center"/>
          </w:tcPr>
          <w:p w14:paraId="33A4EE6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指标解释</w:t>
            </w:r>
          </w:p>
        </w:tc>
        <w:tc>
          <w:tcPr>
            <w:tcW w:w="5216" w:type="dxa"/>
            <w:shd w:val="clear" w:color="auto" w:fill="FFFFFF"/>
            <w:vAlign w:val="center"/>
          </w:tcPr>
          <w:p w14:paraId="4F9D80B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指标说明</w:t>
            </w:r>
          </w:p>
        </w:tc>
        <w:tc>
          <w:tcPr>
            <w:tcW w:w="1304" w:type="dxa"/>
            <w:gridSpan w:val="2"/>
            <w:shd w:val="clear" w:color="auto" w:fill="FFFFFF"/>
            <w:vAlign w:val="center"/>
          </w:tcPr>
          <w:p w14:paraId="46AB4DE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权重</w:t>
            </w:r>
          </w:p>
        </w:tc>
        <w:tc>
          <w:tcPr>
            <w:tcW w:w="1365" w:type="dxa"/>
            <w:shd w:val="clear" w:color="auto" w:fill="FFFFFF"/>
            <w:vAlign w:val="center"/>
          </w:tcPr>
          <w:p w14:paraId="74FF9BB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得分</w:t>
            </w:r>
          </w:p>
        </w:tc>
      </w:tr>
      <w:tr w14:paraId="41C86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309737F6">
            <w:pPr>
              <w:widowControl/>
              <w:spacing w:line="0" w:lineRule="atLeast"/>
              <w:jc w:val="center"/>
              <w:rPr>
                <w:rFonts w:hint="default" w:ascii="Times New Roman" w:hAnsi="Times New Roman" w:eastAsia="仿宋_GB2312" w:cs="Times New Roman"/>
                <w:color w:val="auto"/>
                <w:kern w:val="0"/>
                <w:sz w:val="18"/>
                <w:szCs w:val="18"/>
                <w:highlight w:val="none"/>
              </w:rPr>
            </w:pPr>
          </w:p>
          <w:p w14:paraId="32789C1D">
            <w:pPr>
              <w:widowControl/>
              <w:spacing w:line="0" w:lineRule="atLeast"/>
              <w:jc w:val="center"/>
              <w:rPr>
                <w:rFonts w:hint="default" w:ascii="Times New Roman" w:hAnsi="Times New Roman" w:eastAsia="仿宋_GB2312" w:cs="Times New Roman"/>
                <w:color w:val="auto"/>
                <w:kern w:val="0"/>
                <w:sz w:val="18"/>
                <w:szCs w:val="18"/>
                <w:highlight w:val="none"/>
              </w:rPr>
            </w:pPr>
          </w:p>
          <w:p w14:paraId="20BB0893">
            <w:pPr>
              <w:widowControl/>
              <w:spacing w:line="0" w:lineRule="atLeast"/>
              <w:jc w:val="center"/>
              <w:rPr>
                <w:rFonts w:hint="default" w:ascii="Times New Roman" w:hAnsi="Times New Roman" w:eastAsia="仿宋_GB2312" w:cs="Times New Roman"/>
                <w:color w:val="auto"/>
                <w:kern w:val="0"/>
                <w:sz w:val="18"/>
                <w:szCs w:val="18"/>
                <w:highlight w:val="none"/>
              </w:rPr>
            </w:pPr>
          </w:p>
          <w:p w14:paraId="37B6CA1D">
            <w:pPr>
              <w:widowControl/>
              <w:spacing w:line="0" w:lineRule="atLeast"/>
              <w:jc w:val="center"/>
              <w:rPr>
                <w:rFonts w:hint="default" w:ascii="Times New Roman" w:hAnsi="Times New Roman" w:eastAsia="仿宋_GB2312" w:cs="Times New Roman"/>
                <w:color w:val="auto"/>
                <w:kern w:val="0"/>
                <w:sz w:val="18"/>
                <w:szCs w:val="18"/>
                <w:highlight w:val="none"/>
              </w:rPr>
            </w:pPr>
          </w:p>
          <w:p w14:paraId="3DDCB527">
            <w:pPr>
              <w:widowControl/>
              <w:spacing w:line="0" w:lineRule="atLeast"/>
              <w:jc w:val="center"/>
              <w:rPr>
                <w:rFonts w:hint="default" w:ascii="Times New Roman" w:hAnsi="Times New Roman" w:eastAsia="仿宋_GB2312" w:cs="Times New Roman"/>
                <w:color w:val="auto"/>
                <w:kern w:val="0"/>
                <w:sz w:val="18"/>
                <w:szCs w:val="18"/>
                <w:highlight w:val="none"/>
              </w:rPr>
            </w:pPr>
          </w:p>
          <w:p w14:paraId="11088CF8">
            <w:pPr>
              <w:widowControl/>
              <w:spacing w:line="0" w:lineRule="atLeast"/>
              <w:jc w:val="center"/>
              <w:rPr>
                <w:rFonts w:hint="default" w:ascii="Times New Roman" w:hAnsi="Times New Roman" w:eastAsia="仿宋_GB2312" w:cs="Times New Roman"/>
                <w:color w:val="auto"/>
                <w:kern w:val="0"/>
                <w:sz w:val="18"/>
                <w:szCs w:val="18"/>
                <w:highlight w:val="none"/>
              </w:rPr>
            </w:pPr>
          </w:p>
          <w:p w14:paraId="680BCE6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决策　</w:t>
            </w:r>
          </w:p>
        </w:tc>
        <w:tc>
          <w:tcPr>
            <w:tcW w:w="1000" w:type="dxa"/>
            <w:vMerge w:val="restart"/>
            <w:shd w:val="clear" w:color="auto" w:fill="FFFFFF"/>
            <w:vAlign w:val="center"/>
          </w:tcPr>
          <w:p w14:paraId="5FAAA55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　</w:t>
            </w:r>
          </w:p>
        </w:tc>
        <w:tc>
          <w:tcPr>
            <w:tcW w:w="1071" w:type="dxa"/>
            <w:shd w:val="clear" w:color="auto" w:fill="FFFFFF"/>
            <w:vAlign w:val="center"/>
          </w:tcPr>
          <w:p w14:paraId="635E481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立项依据</w:t>
            </w:r>
          </w:p>
          <w:p w14:paraId="73336D6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充分性</w:t>
            </w:r>
          </w:p>
        </w:tc>
        <w:tc>
          <w:tcPr>
            <w:tcW w:w="1725" w:type="dxa"/>
            <w:shd w:val="clear" w:color="auto" w:fill="FFFFFF"/>
            <w:vAlign w:val="center"/>
          </w:tcPr>
          <w:p w14:paraId="350FC4C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5D26990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②项目立项是否符合行业发展规划和政策要求；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③项目立项是否与部门职责范围相符，属于部门履职所需；</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⑤项目是否与相关部门同类项目或部门内部相关项目重复。</w:t>
            </w:r>
          </w:p>
        </w:tc>
        <w:tc>
          <w:tcPr>
            <w:tcW w:w="1304" w:type="dxa"/>
            <w:gridSpan w:val="2"/>
            <w:shd w:val="clear" w:color="auto" w:fill="FFFFFF"/>
            <w:vAlign w:val="center"/>
          </w:tcPr>
          <w:p w14:paraId="59674E8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auto" w:fill="FFFFFF"/>
            <w:vAlign w:val="center"/>
          </w:tcPr>
          <w:p w14:paraId="2AB0295E">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53BE8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66428670">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1A7CFC0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467BED2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立项程序</w:t>
            </w:r>
          </w:p>
          <w:p w14:paraId="20E6B6D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规范性</w:t>
            </w:r>
          </w:p>
        </w:tc>
        <w:tc>
          <w:tcPr>
            <w:tcW w:w="1725" w:type="dxa"/>
            <w:shd w:val="clear" w:color="auto" w:fill="FFFFFF"/>
            <w:vAlign w:val="center"/>
          </w:tcPr>
          <w:p w14:paraId="01B7C60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项目申请、设立过程是否符合相关要求，用以反映和考核项目立项的规范情况。</w:t>
            </w:r>
          </w:p>
        </w:tc>
        <w:tc>
          <w:tcPr>
            <w:tcW w:w="5216" w:type="dxa"/>
            <w:shd w:val="clear" w:color="auto" w:fill="FFFFFF"/>
            <w:vAlign w:val="center"/>
          </w:tcPr>
          <w:p w14:paraId="6C8A22C6">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①项目是否按照规定的程序申请设立；</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②审批文件、材料是否符合相关要求；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③事前是否已经过必要的可行性研究、专家论证、风险评估、绩效评估、集体决策。</w:t>
            </w:r>
          </w:p>
        </w:tc>
        <w:tc>
          <w:tcPr>
            <w:tcW w:w="1304" w:type="dxa"/>
            <w:gridSpan w:val="2"/>
            <w:shd w:val="clear" w:color="auto" w:fill="FFFFFF"/>
            <w:vAlign w:val="center"/>
          </w:tcPr>
          <w:p w14:paraId="592EB52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auto" w:fill="FFFFFF"/>
            <w:vAlign w:val="center"/>
          </w:tcPr>
          <w:p w14:paraId="0CCB0E71">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19281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30EFE720">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7134239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　</w:t>
            </w:r>
          </w:p>
        </w:tc>
        <w:tc>
          <w:tcPr>
            <w:tcW w:w="1071" w:type="dxa"/>
            <w:shd w:val="clear" w:color="auto" w:fill="FFFFFF"/>
            <w:vAlign w:val="center"/>
          </w:tcPr>
          <w:p w14:paraId="2D89A68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w:t>
            </w:r>
          </w:p>
          <w:p w14:paraId="179A9E5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1725" w:type="dxa"/>
            <w:shd w:val="clear" w:color="000000" w:fill="FFFFFF"/>
            <w:vAlign w:val="center"/>
          </w:tcPr>
          <w:p w14:paraId="718EF3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5B913B97">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（如未设定预算绩效目标，也可考核其他工作任务目标）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①项目是否有绩效目标；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②项目绩效目标与实际工作内容是否具有相关性；</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③项目预期产出效益和效果是否符合正常的业绩水平；</w:t>
            </w:r>
          </w:p>
          <w:p w14:paraId="1F4F7EEB">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④是否与预算确定的项目投资额或资金量相匹配。</w:t>
            </w:r>
          </w:p>
        </w:tc>
        <w:tc>
          <w:tcPr>
            <w:tcW w:w="1304" w:type="dxa"/>
            <w:gridSpan w:val="2"/>
            <w:shd w:val="clear" w:color="000000" w:fill="FFFFFF"/>
            <w:vAlign w:val="center"/>
          </w:tcPr>
          <w:p w14:paraId="2660F56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000000" w:fill="FFFFFF"/>
            <w:vAlign w:val="center"/>
          </w:tcPr>
          <w:p w14:paraId="600A1F3E">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4FCED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04F6E29C">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13E21C76">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4F96A3C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绩效指标</w:t>
            </w:r>
          </w:p>
          <w:p w14:paraId="7888E02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明确性</w:t>
            </w:r>
          </w:p>
        </w:tc>
        <w:tc>
          <w:tcPr>
            <w:tcW w:w="1725" w:type="dxa"/>
            <w:shd w:val="clear" w:color="000000" w:fill="FFFFFF"/>
            <w:vAlign w:val="center"/>
          </w:tcPr>
          <w:p w14:paraId="2A5D6C2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58EFC67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①是否将项目绩效目标细化分解为具体的绩效指标；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②是否通过清晰、可衡量的指标值予以体现；</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③是否与项目目标任务数或计划数相对应。</w:t>
            </w:r>
            <w:r>
              <w:rPr>
                <w:rFonts w:hint="default" w:ascii="Times New Roman" w:hAnsi="Times New Roman" w:eastAsia="仿宋_GB2312" w:cs="Times New Roman"/>
                <w:color w:val="auto"/>
                <w:kern w:val="0"/>
                <w:sz w:val="18"/>
                <w:szCs w:val="18"/>
                <w:highlight w:val="none"/>
              </w:rPr>
              <w:br w:type="textWrapping"/>
            </w:r>
          </w:p>
        </w:tc>
        <w:tc>
          <w:tcPr>
            <w:tcW w:w="1304" w:type="dxa"/>
            <w:gridSpan w:val="2"/>
            <w:shd w:val="clear" w:color="000000" w:fill="FFFFFF"/>
            <w:vAlign w:val="center"/>
          </w:tcPr>
          <w:p w14:paraId="7B2D6129">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000000" w:fill="FFFFFF"/>
            <w:vAlign w:val="center"/>
          </w:tcPr>
          <w:p w14:paraId="08E71869">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0B109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72021F3F">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4BCE331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资金投入</w:t>
            </w:r>
          </w:p>
          <w:p w14:paraId="652225A4">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71" w:type="dxa"/>
            <w:shd w:val="clear" w:color="auto" w:fill="FFFFFF"/>
            <w:vAlign w:val="center"/>
          </w:tcPr>
          <w:p w14:paraId="2F939CA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预算编制</w:t>
            </w:r>
          </w:p>
          <w:p w14:paraId="46D8CFB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科学性</w:t>
            </w:r>
          </w:p>
        </w:tc>
        <w:tc>
          <w:tcPr>
            <w:tcW w:w="1725" w:type="dxa"/>
            <w:shd w:val="clear" w:color="auto" w:fill="FFFFFF"/>
            <w:vAlign w:val="center"/>
          </w:tcPr>
          <w:p w14:paraId="2D405BD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37686A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①预算编制是否经过科学论证；</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②预算内容与项目内容是否匹配；</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③预算额度测算依据是否充分，是否按照标准编制；</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④预算确定的项目投资额或资金量是否与工作任务相匹配。</w:t>
            </w:r>
          </w:p>
        </w:tc>
        <w:tc>
          <w:tcPr>
            <w:tcW w:w="1304" w:type="dxa"/>
            <w:gridSpan w:val="2"/>
            <w:shd w:val="clear" w:color="auto" w:fill="FFFFFF"/>
            <w:vAlign w:val="center"/>
          </w:tcPr>
          <w:p w14:paraId="7726D1C9">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4CB866D9">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0B04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75F120F7">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77CC423A">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2D946A4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资金分配</w:t>
            </w:r>
          </w:p>
          <w:p w14:paraId="4C37136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1725" w:type="dxa"/>
            <w:shd w:val="clear" w:color="auto" w:fill="FFFFFF"/>
            <w:vAlign w:val="center"/>
          </w:tcPr>
          <w:p w14:paraId="640CE85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2D9275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①预算资金分配依据是否充分；</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②资金分配额度是否合理，与项目单位或地方实际是否相适应。</w:t>
            </w:r>
          </w:p>
        </w:tc>
        <w:tc>
          <w:tcPr>
            <w:tcW w:w="1304" w:type="dxa"/>
            <w:gridSpan w:val="2"/>
            <w:shd w:val="clear" w:color="auto" w:fill="FFFFFF"/>
            <w:vAlign w:val="center"/>
          </w:tcPr>
          <w:p w14:paraId="4431826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66B6BC49">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0E388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7C1040C3">
            <w:pPr>
              <w:spacing w:line="0" w:lineRule="atLeast"/>
              <w:jc w:val="center"/>
              <w:rPr>
                <w:rFonts w:hint="default" w:ascii="Times New Roman" w:hAnsi="Times New Roman" w:eastAsia="仿宋_GB2312" w:cs="Times New Roman"/>
                <w:color w:val="auto"/>
                <w:kern w:val="0"/>
                <w:sz w:val="18"/>
                <w:szCs w:val="18"/>
                <w:highlight w:val="none"/>
              </w:rPr>
            </w:pPr>
          </w:p>
          <w:p w14:paraId="6C4E8F88">
            <w:pPr>
              <w:spacing w:line="0" w:lineRule="atLeast"/>
              <w:jc w:val="center"/>
              <w:rPr>
                <w:rFonts w:hint="default" w:ascii="Times New Roman" w:hAnsi="Times New Roman" w:eastAsia="仿宋_GB2312" w:cs="Times New Roman"/>
                <w:color w:val="auto"/>
                <w:kern w:val="0"/>
                <w:sz w:val="18"/>
                <w:szCs w:val="18"/>
                <w:highlight w:val="none"/>
              </w:rPr>
            </w:pPr>
          </w:p>
          <w:p w14:paraId="17C09C0D">
            <w:pPr>
              <w:spacing w:line="0" w:lineRule="atLeast"/>
              <w:jc w:val="center"/>
              <w:rPr>
                <w:rFonts w:hint="default" w:ascii="Times New Roman" w:hAnsi="Times New Roman" w:eastAsia="仿宋_GB2312" w:cs="Times New Roman"/>
                <w:color w:val="auto"/>
                <w:kern w:val="0"/>
                <w:sz w:val="18"/>
                <w:szCs w:val="18"/>
                <w:highlight w:val="none"/>
              </w:rPr>
            </w:pPr>
          </w:p>
          <w:p w14:paraId="08CF471F">
            <w:pPr>
              <w:spacing w:line="0" w:lineRule="atLeast"/>
              <w:jc w:val="center"/>
              <w:rPr>
                <w:rFonts w:hint="default" w:ascii="Times New Roman" w:hAnsi="Times New Roman" w:eastAsia="仿宋_GB2312" w:cs="Times New Roman"/>
                <w:color w:val="auto"/>
                <w:kern w:val="0"/>
                <w:sz w:val="18"/>
                <w:szCs w:val="18"/>
                <w:highlight w:val="none"/>
              </w:rPr>
            </w:pPr>
          </w:p>
          <w:p w14:paraId="2A510C6A">
            <w:pPr>
              <w:spacing w:line="0" w:lineRule="atLeast"/>
              <w:jc w:val="center"/>
              <w:rPr>
                <w:rFonts w:hint="default" w:ascii="Times New Roman" w:hAnsi="Times New Roman" w:eastAsia="仿宋_GB2312" w:cs="Times New Roman"/>
                <w:color w:val="auto"/>
                <w:kern w:val="0"/>
                <w:sz w:val="18"/>
                <w:szCs w:val="18"/>
                <w:highlight w:val="none"/>
              </w:rPr>
            </w:pPr>
          </w:p>
          <w:p w14:paraId="757B7805">
            <w:pPr>
              <w:spacing w:line="0" w:lineRule="atLeast"/>
              <w:jc w:val="center"/>
              <w:rPr>
                <w:rFonts w:hint="default" w:ascii="Times New Roman" w:hAnsi="Times New Roman" w:eastAsia="仿宋_GB2312" w:cs="Times New Roman"/>
                <w:color w:val="auto"/>
                <w:kern w:val="0"/>
                <w:sz w:val="18"/>
                <w:szCs w:val="18"/>
                <w:highlight w:val="none"/>
              </w:rPr>
            </w:pPr>
          </w:p>
          <w:p w14:paraId="589D8E3C">
            <w:pPr>
              <w:spacing w:line="0" w:lineRule="atLeast"/>
              <w:jc w:val="center"/>
              <w:rPr>
                <w:rFonts w:hint="default" w:ascii="Times New Roman" w:hAnsi="Times New Roman" w:eastAsia="仿宋_GB2312" w:cs="Times New Roman"/>
                <w:color w:val="auto"/>
                <w:kern w:val="0"/>
                <w:sz w:val="18"/>
                <w:szCs w:val="18"/>
                <w:highlight w:val="none"/>
              </w:rPr>
            </w:pPr>
          </w:p>
          <w:p w14:paraId="4EB6BF14">
            <w:pPr>
              <w:spacing w:line="0" w:lineRule="atLeast"/>
              <w:jc w:val="center"/>
              <w:rPr>
                <w:rFonts w:hint="default" w:ascii="Times New Roman" w:hAnsi="Times New Roman" w:eastAsia="仿宋_GB2312" w:cs="Times New Roman"/>
                <w:color w:val="auto"/>
                <w:kern w:val="0"/>
                <w:sz w:val="18"/>
                <w:szCs w:val="18"/>
                <w:highlight w:val="none"/>
              </w:rPr>
            </w:pPr>
          </w:p>
          <w:p w14:paraId="4D686FF3">
            <w:pPr>
              <w:spacing w:line="0" w:lineRule="atLeast"/>
              <w:jc w:val="center"/>
              <w:rPr>
                <w:rFonts w:hint="default" w:ascii="Times New Roman" w:hAnsi="Times New Roman" w:eastAsia="仿宋_GB2312" w:cs="Times New Roman"/>
                <w:color w:val="auto"/>
                <w:kern w:val="0"/>
                <w:sz w:val="18"/>
                <w:szCs w:val="18"/>
                <w:highlight w:val="none"/>
              </w:rPr>
            </w:pPr>
          </w:p>
          <w:p w14:paraId="6D67992D">
            <w:pPr>
              <w:spacing w:line="0" w:lineRule="atLeast"/>
              <w:jc w:val="center"/>
              <w:rPr>
                <w:rFonts w:hint="default" w:ascii="Times New Roman" w:hAnsi="Times New Roman" w:eastAsia="仿宋_GB2312" w:cs="Times New Roman"/>
                <w:color w:val="auto"/>
                <w:kern w:val="0"/>
                <w:sz w:val="18"/>
                <w:szCs w:val="18"/>
                <w:highlight w:val="none"/>
              </w:rPr>
            </w:pPr>
          </w:p>
          <w:p w14:paraId="6F18A8DC">
            <w:pPr>
              <w:spacing w:line="0" w:lineRule="atLeast"/>
              <w:jc w:val="center"/>
              <w:rPr>
                <w:rFonts w:hint="default" w:ascii="Times New Roman" w:hAnsi="Times New Roman" w:eastAsia="仿宋_GB2312" w:cs="Times New Roman"/>
                <w:color w:val="auto"/>
                <w:kern w:val="0"/>
                <w:sz w:val="18"/>
                <w:szCs w:val="18"/>
                <w:highlight w:val="none"/>
              </w:rPr>
            </w:pPr>
          </w:p>
          <w:p w14:paraId="6C486E25">
            <w:pPr>
              <w:spacing w:line="0" w:lineRule="atLeast"/>
              <w:jc w:val="center"/>
              <w:rPr>
                <w:rFonts w:hint="default" w:ascii="Times New Roman" w:hAnsi="Times New Roman" w:eastAsia="仿宋_GB2312" w:cs="Times New Roman"/>
                <w:color w:val="auto"/>
                <w:kern w:val="0"/>
                <w:sz w:val="18"/>
                <w:szCs w:val="18"/>
                <w:highlight w:val="none"/>
              </w:rPr>
            </w:pPr>
          </w:p>
          <w:p w14:paraId="6B9709D9">
            <w:pPr>
              <w:spacing w:line="0" w:lineRule="atLeast"/>
              <w:jc w:val="center"/>
              <w:rPr>
                <w:rFonts w:hint="default" w:ascii="Times New Roman" w:hAnsi="Times New Roman" w:eastAsia="仿宋_GB2312" w:cs="Times New Roman"/>
                <w:color w:val="auto"/>
                <w:kern w:val="0"/>
                <w:sz w:val="18"/>
                <w:szCs w:val="18"/>
                <w:highlight w:val="none"/>
              </w:rPr>
            </w:pPr>
          </w:p>
          <w:p w14:paraId="59B23479">
            <w:pPr>
              <w:spacing w:line="0" w:lineRule="atLeast"/>
              <w:jc w:val="center"/>
              <w:rPr>
                <w:rFonts w:hint="default" w:ascii="Times New Roman" w:hAnsi="Times New Roman" w:eastAsia="仿宋_GB2312" w:cs="Times New Roman"/>
                <w:color w:val="auto"/>
                <w:kern w:val="0"/>
                <w:sz w:val="18"/>
                <w:szCs w:val="18"/>
                <w:highlight w:val="none"/>
              </w:rPr>
            </w:pPr>
          </w:p>
          <w:p w14:paraId="2F1375DE">
            <w:pPr>
              <w:spacing w:line="0" w:lineRule="atLeast"/>
              <w:jc w:val="center"/>
              <w:rPr>
                <w:rFonts w:hint="default" w:ascii="Times New Roman" w:hAnsi="Times New Roman" w:eastAsia="仿宋_GB2312" w:cs="Times New Roman"/>
                <w:color w:val="auto"/>
                <w:kern w:val="0"/>
                <w:sz w:val="18"/>
                <w:szCs w:val="18"/>
                <w:highlight w:val="none"/>
              </w:rPr>
            </w:pPr>
          </w:p>
          <w:p w14:paraId="6131C4A8">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过程</w:t>
            </w:r>
          </w:p>
          <w:p w14:paraId="3CE05FC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00" w:type="dxa"/>
            <w:vMerge w:val="restart"/>
            <w:shd w:val="clear" w:color="auto" w:fill="FFFFFF"/>
            <w:vAlign w:val="center"/>
          </w:tcPr>
          <w:p w14:paraId="16D3815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1071" w:type="dxa"/>
            <w:shd w:val="clear" w:color="auto" w:fill="FFFFFF"/>
            <w:vAlign w:val="center"/>
          </w:tcPr>
          <w:p w14:paraId="00885A1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w:t>
            </w:r>
          </w:p>
        </w:tc>
        <w:tc>
          <w:tcPr>
            <w:tcW w:w="1725" w:type="dxa"/>
            <w:shd w:val="clear" w:color="000000" w:fill="FFFFFF"/>
            <w:vAlign w:val="center"/>
          </w:tcPr>
          <w:p w14:paraId="030A857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003C00C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资金到位率=（实际到位资金/预算资金）×100%。</w:t>
            </w:r>
          </w:p>
          <w:p w14:paraId="7D5A14C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实际到位资金：一定时期（本年度或项目期）内落实到具体项目的资金。</w:t>
            </w:r>
          </w:p>
          <w:p w14:paraId="722B828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预算资金：一定时期（本年度或项目期）内预算安排到具体项目的资金。</w:t>
            </w:r>
          </w:p>
        </w:tc>
        <w:tc>
          <w:tcPr>
            <w:tcW w:w="1304" w:type="dxa"/>
            <w:gridSpan w:val="2"/>
            <w:shd w:val="clear" w:color="000000" w:fill="FFFFFF"/>
            <w:vAlign w:val="center"/>
          </w:tcPr>
          <w:p w14:paraId="3856D97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285A65A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5AB7C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13F2BDC3">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7394CEB9">
            <w:pPr>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7707405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w:t>
            </w:r>
          </w:p>
        </w:tc>
        <w:tc>
          <w:tcPr>
            <w:tcW w:w="1725" w:type="dxa"/>
            <w:shd w:val="clear" w:color="auto" w:fill="FFFFFF"/>
            <w:vAlign w:val="center"/>
          </w:tcPr>
          <w:p w14:paraId="6F0733E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项目预算资金是否按照计划执行，用以反映或考核项目预算执行情况。</w:t>
            </w:r>
          </w:p>
        </w:tc>
        <w:tc>
          <w:tcPr>
            <w:tcW w:w="5216" w:type="dxa"/>
            <w:shd w:val="clear" w:color="auto" w:fill="FFFFFF"/>
            <w:vAlign w:val="center"/>
          </w:tcPr>
          <w:p w14:paraId="531B570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预算执行率=（实际支出资金/实际到位资金）×100%。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实际支出资金：一定时期（本年度或项目期）内项目实际拨付的资金。</w:t>
            </w:r>
          </w:p>
        </w:tc>
        <w:tc>
          <w:tcPr>
            <w:tcW w:w="1304" w:type="dxa"/>
            <w:gridSpan w:val="2"/>
            <w:shd w:val="clear" w:color="auto" w:fill="FFFFFF"/>
            <w:vAlign w:val="center"/>
          </w:tcPr>
          <w:p w14:paraId="0433D0E3">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5B5DEC5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eastAsia" w:eastAsia="仿宋_GB2312" w:cs="Times New Roman"/>
                <w:b/>
                <w:bCs/>
                <w:color w:val="auto"/>
                <w:kern w:val="0"/>
                <w:sz w:val="18"/>
                <w:szCs w:val="18"/>
                <w:highlight w:val="none"/>
                <w:lang w:val="en-US" w:eastAsia="zh-CN"/>
              </w:rPr>
              <w:t>4</w:t>
            </w:r>
          </w:p>
        </w:tc>
      </w:tr>
      <w:tr w14:paraId="2D594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14984DE6">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7BB320D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1071" w:type="dxa"/>
            <w:shd w:val="clear" w:color="auto" w:fill="FFFFFF"/>
            <w:vAlign w:val="center"/>
          </w:tcPr>
          <w:p w14:paraId="7180193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资金使用</w:t>
            </w:r>
          </w:p>
          <w:p w14:paraId="6803A63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合规性</w:t>
            </w:r>
          </w:p>
        </w:tc>
        <w:tc>
          <w:tcPr>
            <w:tcW w:w="1725" w:type="dxa"/>
            <w:shd w:val="clear" w:color="000000" w:fill="FFFFFF"/>
            <w:vAlign w:val="center"/>
          </w:tcPr>
          <w:p w14:paraId="7236D05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639E45D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②资金的拨付是否有完整的审批程序和手续；</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③是否符合项目预算批复或合同规定的用途；</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④是否存在截留、挤占、挪用、虚列支出等情况。</w:t>
            </w:r>
          </w:p>
        </w:tc>
        <w:tc>
          <w:tcPr>
            <w:tcW w:w="1304" w:type="dxa"/>
            <w:gridSpan w:val="2"/>
            <w:shd w:val="clear" w:color="000000" w:fill="FFFFFF"/>
            <w:vAlign w:val="center"/>
          </w:tcPr>
          <w:p w14:paraId="382FA1C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4B09BBD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4FD6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423D5D2B">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5EA6430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组织实施</w:t>
            </w:r>
          </w:p>
          <w:p w14:paraId="16DC0F69">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71" w:type="dxa"/>
            <w:shd w:val="clear" w:color="auto" w:fill="FFFFFF"/>
            <w:vAlign w:val="center"/>
          </w:tcPr>
          <w:p w14:paraId="11E196A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管理制度</w:t>
            </w:r>
          </w:p>
          <w:p w14:paraId="304F4D6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健全性</w:t>
            </w:r>
          </w:p>
        </w:tc>
        <w:tc>
          <w:tcPr>
            <w:tcW w:w="1725" w:type="dxa"/>
            <w:shd w:val="clear" w:color="000000" w:fill="FFFFFF"/>
            <w:vAlign w:val="center"/>
          </w:tcPr>
          <w:p w14:paraId="3D7CB1C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5D84988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①是否已制定或具有相应的财务和业务管理制度；</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②财务和业务管理制度是否合法、合规、完整。</w:t>
            </w:r>
          </w:p>
        </w:tc>
        <w:tc>
          <w:tcPr>
            <w:tcW w:w="1304" w:type="dxa"/>
            <w:gridSpan w:val="2"/>
            <w:shd w:val="clear" w:color="000000" w:fill="FFFFFF"/>
            <w:vAlign w:val="center"/>
          </w:tcPr>
          <w:p w14:paraId="5370CB49">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14566FBB">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1D482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75499682">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761CC4C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4DEB6F6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制度执行</w:t>
            </w:r>
          </w:p>
          <w:p w14:paraId="444088B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有效性</w:t>
            </w:r>
          </w:p>
        </w:tc>
        <w:tc>
          <w:tcPr>
            <w:tcW w:w="1725" w:type="dxa"/>
            <w:shd w:val="clear" w:color="000000" w:fill="FFFFFF"/>
            <w:vAlign w:val="center"/>
          </w:tcPr>
          <w:p w14:paraId="203EF89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24CBFB6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①是否遵守相关法律法规和相关管理规定；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②项目调整及支出调整手续是否完备；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③项目合同书、验收报告、技术鉴定等资料是否齐全并及时归档；</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④项目实施的人员条件、场地设备、信息支撑等是否落实到位。</w:t>
            </w:r>
          </w:p>
        </w:tc>
        <w:tc>
          <w:tcPr>
            <w:tcW w:w="1304" w:type="dxa"/>
            <w:gridSpan w:val="2"/>
            <w:shd w:val="clear" w:color="000000" w:fill="FFFFFF"/>
            <w:vAlign w:val="center"/>
          </w:tcPr>
          <w:p w14:paraId="3210C6A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7841ACFC">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3E415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66D9A19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w:t>
            </w:r>
          </w:p>
        </w:tc>
        <w:tc>
          <w:tcPr>
            <w:tcW w:w="1000" w:type="dxa"/>
            <w:shd w:val="clear" w:color="auto" w:fill="FFFFFF"/>
            <w:vAlign w:val="center"/>
          </w:tcPr>
          <w:p w14:paraId="5363068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产出数量</w:t>
            </w:r>
          </w:p>
        </w:tc>
        <w:tc>
          <w:tcPr>
            <w:tcW w:w="1071" w:type="dxa"/>
            <w:shd w:val="clear" w:color="auto" w:fill="FFFFFF"/>
            <w:vAlign w:val="center"/>
          </w:tcPr>
          <w:p w14:paraId="42F7BAC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w:t>
            </w:r>
          </w:p>
        </w:tc>
        <w:tc>
          <w:tcPr>
            <w:tcW w:w="1725" w:type="dxa"/>
            <w:shd w:val="clear" w:color="000000" w:fill="FFFFFF"/>
            <w:vAlign w:val="center"/>
          </w:tcPr>
          <w:p w14:paraId="7083ED0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24C1993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实际完成率=（实际产出数/计划产出数）×100%。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495355A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7C4EA43B">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5E3EE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38B730F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2EE1432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产出质量</w:t>
            </w:r>
          </w:p>
        </w:tc>
        <w:tc>
          <w:tcPr>
            <w:tcW w:w="1071" w:type="dxa"/>
            <w:shd w:val="clear" w:color="auto" w:fill="FFFFFF"/>
            <w:vAlign w:val="center"/>
          </w:tcPr>
          <w:p w14:paraId="0D22199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w:t>
            </w:r>
          </w:p>
        </w:tc>
        <w:tc>
          <w:tcPr>
            <w:tcW w:w="1725" w:type="dxa"/>
            <w:shd w:val="clear" w:color="000000" w:fill="FFFFFF"/>
            <w:vAlign w:val="center"/>
          </w:tcPr>
          <w:p w14:paraId="10727DE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151386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质量达标率=（质量达标产出数/实际产出数）×100%。</w:t>
            </w:r>
          </w:p>
          <w:p w14:paraId="09B0555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6BEB2B5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198A404C">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36D70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1ECB389E">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27B1C84C">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产出时效</w:t>
            </w:r>
          </w:p>
        </w:tc>
        <w:tc>
          <w:tcPr>
            <w:tcW w:w="1071" w:type="dxa"/>
            <w:shd w:val="clear" w:color="auto" w:fill="FFFFFF"/>
            <w:vAlign w:val="center"/>
          </w:tcPr>
          <w:p w14:paraId="34F2E3B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完成及时性</w:t>
            </w:r>
          </w:p>
        </w:tc>
        <w:tc>
          <w:tcPr>
            <w:tcW w:w="1725" w:type="dxa"/>
            <w:shd w:val="clear" w:color="000000" w:fill="FFFFFF"/>
            <w:vAlign w:val="center"/>
          </w:tcPr>
          <w:p w14:paraId="4444C7E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7A8C47E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实际完成时间：项目实施单位完成该项目实际所耗用的时间。</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5185632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73E2344B">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4DF3C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3C9579F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5F42DC6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产出成本</w:t>
            </w:r>
          </w:p>
        </w:tc>
        <w:tc>
          <w:tcPr>
            <w:tcW w:w="1071" w:type="dxa"/>
            <w:shd w:val="clear" w:color="auto" w:fill="FFFFFF"/>
            <w:vAlign w:val="center"/>
          </w:tcPr>
          <w:p w14:paraId="06A1F52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成本节约率</w:t>
            </w:r>
          </w:p>
        </w:tc>
        <w:tc>
          <w:tcPr>
            <w:tcW w:w="1725" w:type="dxa"/>
            <w:shd w:val="clear" w:color="000000" w:fill="FFFFFF"/>
            <w:vAlign w:val="center"/>
          </w:tcPr>
          <w:p w14:paraId="6D6D9FA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757B4B0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成本节约率=[（计划成本-实际成本）/计划成本]×100%。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4DE661C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4DAFE1E6">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40555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0D44747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效益　</w:t>
            </w:r>
          </w:p>
        </w:tc>
        <w:tc>
          <w:tcPr>
            <w:tcW w:w="1000" w:type="dxa"/>
            <w:vMerge w:val="restart"/>
            <w:shd w:val="clear" w:color="auto" w:fill="FFFFFF"/>
            <w:vAlign w:val="center"/>
          </w:tcPr>
          <w:p w14:paraId="41593EF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项目效益　</w:t>
            </w:r>
          </w:p>
        </w:tc>
        <w:tc>
          <w:tcPr>
            <w:tcW w:w="1071" w:type="dxa"/>
            <w:shd w:val="clear" w:color="auto" w:fill="FFFFFF"/>
            <w:vAlign w:val="center"/>
          </w:tcPr>
          <w:p w14:paraId="4DF78CD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实施效益</w:t>
            </w:r>
          </w:p>
        </w:tc>
        <w:tc>
          <w:tcPr>
            <w:tcW w:w="1725" w:type="dxa"/>
            <w:shd w:val="clear" w:color="auto" w:fill="FFFFFF"/>
            <w:vAlign w:val="center"/>
          </w:tcPr>
          <w:p w14:paraId="64720DA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项目实施所产生的效益。</w:t>
            </w:r>
          </w:p>
        </w:tc>
        <w:tc>
          <w:tcPr>
            <w:tcW w:w="5216" w:type="dxa"/>
            <w:shd w:val="clear" w:color="auto" w:fill="FFFFFF"/>
            <w:vAlign w:val="center"/>
          </w:tcPr>
          <w:p w14:paraId="60720DD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6AB376C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auto" w:fill="FFFFFF"/>
            <w:vAlign w:val="center"/>
          </w:tcPr>
          <w:p w14:paraId="752BFE09">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42CA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189F938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42376092">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1075CC0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满意度</w:t>
            </w:r>
          </w:p>
        </w:tc>
        <w:tc>
          <w:tcPr>
            <w:tcW w:w="1725" w:type="dxa"/>
            <w:shd w:val="clear" w:color="000000" w:fill="FFFFFF"/>
            <w:vAlign w:val="center"/>
          </w:tcPr>
          <w:p w14:paraId="6961D10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社会公众或服务对象对项目实施效果的满意程度。</w:t>
            </w:r>
          </w:p>
        </w:tc>
        <w:tc>
          <w:tcPr>
            <w:tcW w:w="5216" w:type="dxa"/>
            <w:shd w:val="clear" w:color="000000" w:fill="FFFFFF"/>
            <w:vAlign w:val="center"/>
          </w:tcPr>
          <w:p w14:paraId="44DDD45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75DE082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2492ACC3">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9F27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610D6C9B">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合计</w:t>
            </w:r>
          </w:p>
        </w:tc>
        <w:tc>
          <w:tcPr>
            <w:tcW w:w="1299" w:type="dxa"/>
            <w:shd w:val="clear" w:color="000000" w:fill="FFFFFF"/>
            <w:vAlign w:val="center"/>
          </w:tcPr>
          <w:p w14:paraId="44A5899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fldChar w:fldCharType="begin"/>
            </w:r>
            <w:r>
              <w:rPr>
                <w:rFonts w:hint="default" w:ascii="Times New Roman" w:hAnsi="Times New Roman" w:eastAsia="仿宋_GB2312" w:cs="Times New Roman"/>
                <w:b/>
                <w:bCs/>
                <w:color w:val="auto"/>
                <w:kern w:val="0"/>
                <w:sz w:val="18"/>
                <w:szCs w:val="18"/>
                <w:highlight w:val="none"/>
              </w:rPr>
              <w:instrText xml:space="preserve"> = sum(F2:F18) \* MERGEFORMAT </w:instrText>
            </w:r>
            <w:r>
              <w:rPr>
                <w:rFonts w:hint="default" w:ascii="Times New Roman" w:hAnsi="Times New Roman" w:eastAsia="仿宋_GB2312" w:cs="Times New Roman"/>
                <w:b/>
                <w:bCs/>
                <w:color w:val="auto"/>
                <w:kern w:val="0"/>
                <w:sz w:val="18"/>
                <w:szCs w:val="18"/>
                <w:highlight w:val="none"/>
              </w:rPr>
              <w:fldChar w:fldCharType="separate"/>
            </w:r>
            <w:r>
              <w:rPr>
                <w:rFonts w:hint="default" w:ascii="Times New Roman" w:hAnsi="Times New Roman" w:eastAsia="仿宋_GB2312" w:cs="Times New Roman"/>
                <w:b/>
                <w:bCs/>
                <w:color w:val="auto"/>
                <w:kern w:val="0"/>
                <w:sz w:val="18"/>
                <w:szCs w:val="18"/>
                <w:highlight w:val="none"/>
              </w:rPr>
              <w:t>100</w:t>
            </w:r>
            <w:r>
              <w:rPr>
                <w:rFonts w:hint="default" w:ascii="Times New Roman" w:hAnsi="Times New Roman" w:eastAsia="仿宋_GB2312" w:cs="Times New Roman"/>
                <w:b/>
                <w:bCs/>
                <w:color w:val="auto"/>
                <w:kern w:val="0"/>
                <w:sz w:val="18"/>
                <w:szCs w:val="18"/>
                <w:highlight w:val="none"/>
              </w:rPr>
              <w:fldChar w:fldCharType="end"/>
            </w:r>
          </w:p>
        </w:tc>
        <w:tc>
          <w:tcPr>
            <w:tcW w:w="1365" w:type="dxa"/>
            <w:shd w:val="clear" w:color="000000" w:fill="FFFFFF"/>
            <w:vAlign w:val="center"/>
          </w:tcPr>
          <w:p w14:paraId="23E01CE9">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100</w:t>
            </w:r>
          </w:p>
        </w:tc>
      </w:tr>
    </w:tbl>
    <w:p w14:paraId="5A2A5623">
      <w:pPr>
        <w:rPr>
          <w:rFonts w:hint="default" w:ascii="Times New Roman" w:hAnsi="Times New Roman" w:cs="Times New Roman"/>
          <w:color w:val="auto"/>
          <w:highlight w:val="none"/>
        </w:rPr>
        <w:sectPr>
          <w:pgSz w:w="16838" w:h="11906" w:orient="landscape"/>
          <w:pgMar w:top="1800" w:right="1440" w:bottom="1558" w:left="1440" w:header="851" w:footer="992" w:gutter="0"/>
          <w:cols w:space="425" w:num="1"/>
          <w:docGrid w:type="lines" w:linePitch="312" w:charSpace="0"/>
        </w:sectPr>
      </w:pPr>
    </w:p>
    <w:p w14:paraId="6109B768">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2</w:t>
      </w:r>
    </w:p>
    <w:tbl>
      <w:tblPr>
        <w:tblStyle w:val="1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069"/>
        <w:gridCol w:w="1504"/>
        <w:gridCol w:w="1076"/>
        <w:gridCol w:w="1573"/>
        <w:gridCol w:w="2059"/>
        <w:gridCol w:w="2059"/>
        <w:gridCol w:w="395"/>
        <w:gridCol w:w="400"/>
        <w:gridCol w:w="385"/>
        <w:gridCol w:w="480"/>
        <w:gridCol w:w="703"/>
        <w:gridCol w:w="1074"/>
      </w:tblGrid>
      <w:tr w14:paraId="00FC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3851" w:type="dxa"/>
            <w:gridSpan w:val="13"/>
            <w:tcBorders>
              <w:top w:val="nil"/>
              <w:left w:val="nil"/>
              <w:bottom w:val="nil"/>
              <w:right w:val="nil"/>
            </w:tcBorders>
            <w:shd w:val="clear" w:color="auto" w:fill="auto"/>
            <w:vAlign w:val="center"/>
          </w:tcPr>
          <w:p w14:paraId="4162C87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60EF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color="auto" w:fill="auto"/>
            <w:vAlign w:val="center"/>
          </w:tcPr>
          <w:p w14:paraId="4DDB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3070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C5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210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关于预拨2024年残疾人两项补贴预算资金的通知(市级）</w:t>
            </w:r>
          </w:p>
        </w:tc>
      </w:tr>
      <w:tr w14:paraId="4210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34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8E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乌鲁木齐市沙依巴克区民政局</w:t>
            </w:r>
            <w:bookmarkStart w:id="3" w:name="_GoBack"/>
            <w:bookmarkEnd w:id="3"/>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A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298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乌鲁木齐市沙依巴克区民政局</w:t>
            </w:r>
          </w:p>
        </w:tc>
      </w:tr>
      <w:tr w14:paraId="6E74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1B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45776">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F8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AC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6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4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4237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EB8B">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7E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F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6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F2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C6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1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10.00分</w:t>
            </w:r>
          </w:p>
        </w:tc>
      </w:tr>
      <w:tr w14:paraId="41A4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1468">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DB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1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29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2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5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FB5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97F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FC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BA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EC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23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A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7CA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E3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F2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CF6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5AE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10B1">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A7257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120元/月/人标准，分别按生活补贴和护理补贴享受人数按月及时发放残疾人两项补贴，资金发放覆盖率达到100%，进一步保证我区享受残疾人两项补助人员的基本生活，确保残疾人员的基本生活权益，提高残疾生活基本保障，提高残疾人的获得感和幸福感</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4DEE2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我区按120元/月/人标准，分别按月发放生活补贴和护理补贴，全年困难残疾人平均发放987人，重度残疾人平均发放2313人，资金发放覆盖率达到100%，进一步保证我区享受残疾人两项补助人员的基本生活，确保残疾人员的基本生活权益，提高残疾生活基本保障，提高残疾人的获得感和幸福感</w:t>
            </w:r>
          </w:p>
        </w:tc>
      </w:tr>
      <w:tr w14:paraId="3873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6208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CB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1D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BA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8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68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BA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BE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A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4E3B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A1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999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336C">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997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225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4F8F">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D228">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4214">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2F5AD">
            <w:pPr>
              <w:jc w:val="center"/>
              <w:rPr>
                <w:rFonts w:hint="eastAsia" w:ascii="宋体" w:hAnsi="宋体" w:eastAsia="宋体" w:cs="宋体"/>
                <w:i w:val="0"/>
                <w:iCs w:val="0"/>
                <w:color w:val="000000"/>
                <w:sz w:val="20"/>
                <w:szCs w:val="20"/>
                <w:u w:val="none"/>
              </w:rPr>
            </w:pPr>
          </w:p>
        </w:tc>
      </w:tr>
      <w:tr w14:paraId="67BA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6E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33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F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5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困难残疾人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1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2D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E9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AE895">
            <w:pPr>
              <w:jc w:val="center"/>
              <w:rPr>
                <w:rFonts w:hint="eastAsia" w:ascii="宋体" w:hAnsi="宋体" w:eastAsia="宋体" w:cs="宋体"/>
                <w:i w:val="0"/>
                <w:iCs w:val="0"/>
                <w:color w:val="000000"/>
                <w:sz w:val="20"/>
                <w:szCs w:val="20"/>
                <w:u w:val="none"/>
              </w:rPr>
            </w:pPr>
          </w:p>
        </w:tc>
      </w:tr>
      <w:tr w14:paraId="752E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52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C198">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2D3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F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重度残疾人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3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E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8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F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14C40">
            <w:pPr>
              <w:jc w:val="center"/>
              <w:rPr>
                <w:rFonts w:hint="eastAsia" w:ascii="宋体" w:hAnsi="宋体" w:eastAsia="宋体" w:cs="宋体"/>
                <w:i w:val="0"/>
                <w:iCs w:val="0"/>
                <w:color w:val="000000"/>
                <w:sz w:val="20"/>
                <w:szCs w:val="20"/>
                <w:u w:val="none"/>
              </w:rPr>
            </w:pPr>
          </w:p>
        </w:tc>
      </w:tr>
      <w:tr w14:paraId="0578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27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081B">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9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D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补助发放覆盖率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7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7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BF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10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83714">
            <w:pPr>
              <w:jc w:val="center"/>
              <w:rPr>
                <w:rFonts w:hint="eastAsia" w:ascii="宋体" w:hAnsi="宋体" w:eastAsia="宋体" w:cs="宋体"/>
                <w:i w:val="0"/>
                <w:iCs w:val="0"/>
                <w:color w:val="000000"/>
                <w:sz w:val="20"/>
                <w:szCs w:val="20"/>
                <w:u w:val="none"/>
              </w:rPr>
            </w:pPr>
          </w:p>
        </w:tc>
      </w:tr>
      <w:tr w14:paraId="308E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C6E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6DC2">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0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0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补助发放及时率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8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30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6B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D858B">
            <w:pPr>
              <w:jc w:val="center"/>
              <w:rPr>
                <w:rFonts w:hint="eastAsia" w:ascii="宋体" w:hAnsi="宋体" w:eastAsia="宋体" w:cs="宋体"/>
                <w:i w:val="0"/>
                <w:iCs w:val="0"/>
                <w:color w:val="000000"/>
                <w:sz w:val="20"/>
                <w:szCs w:val="20"/>
                <w:u w:val="none"/>
              </w:rPr>
            </w:pPr>
          </w:p>
        </w:tc>
      </w:tr>
      <w:tr w14:paraId="59A9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BA4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3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补贴标准</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B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&lt;=120元/月</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0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=120元/月</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02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F8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C796A">
            <w:pPr>
              <w:jc w:val="center"/>
              <w:rPr>
                <w:rFonts w:hint="eastAsia" w:ascii="宋体" w:hAnsi="宋体" w:eastAsia="宋体" w:cs="宋体"/>
                <w:i w:val="0"/>
                <w:iCs w:val="0"/>
                <w:color w:val="000000"/>
                <w:sz w:val="20"/>
                <w:szCs w:val="20"/>
                <w:u w:val="none"/>
              </w:rPr>
            </w:pPr>
          </w:p>
        </w:tc>
      </w:tr>
      <w:tr w14:paraId="20C5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DDF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27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2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5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拨付生活补贴</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改善困难残疾人生活质量</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0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1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56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9019">
            <w:pPr>
              <w:jc w:val="center"/>
              <w:rPr>
                <w:rFonts w:hint="eastAsia" w:ascii="宋体" w:hAnsi="宋体" w:eastAsia="宋体" w:cs="宋体"/>
                <w:i w:val="0"/>
                <w:iCs w:val="0"/>
                <w:color w:val="000000"/>
                <w:sz w:val="20"/>
                <w:szCs w:val="20"/>
                <w:u w:val="none"/>
              </w:rPr>
            </w:pPr>
          </w:p>
        </w:tc>
      </w:tr>
      <w:tr w14:paraId="5773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F2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DE4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881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2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拨付护理补贴</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4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减轻重度残疾人家庭护理压力</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3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86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85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DC05D">
            <w:pPr>
              <w:jc w:val="center"/>
              <w:rPr>
                <w:rFonts w:hint="eastAsia" w:ascii="宋体" w:hAnsi="宋体" w:eastAsia="宋体" w:cs="宋体"/>
                <w:i w:val="0"/>
                <w:iCs w:val="0"/>
                <w:color w:val="000000"/>
                <w:sz w:val="20"/>
                <w:szCs w:val="20"/>
                <w:u w:val="none"/>
              </w:rPr>
            </w:pPr>
          </w:p>
        </w:tc>
      </w:tr>
      <w:tr w14:paraId="1B2A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AE6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C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7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1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享受政策的残疾人满意率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4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41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FD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25AC4">
            <w:pPr>
              <w:jc w:val="center"/>
              <w:rPr>
                <w:rFonts w:hint="eastAsia" w:ascii="宋体" w:hAnsi="宋体" w:eastAsia="宋体" w:cs="宋体"/>
                <w:i w:val="0"/>
                <w:iCs w:val="0"/>
                <w:color w:val="000000"/>
                <w:sz w:val="20"/>
                <w:szCs w:val="20"/>
                <w:u w:val="none"/>
              </w:rPr>
            </w:pPr>
          </w:p>
        </w:tc>
      </w:tr>
      <w:tr w14:paraId="3924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D02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0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9F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1F272">
            <w:pPr>
              <w:jc w:val="center"/>
              <w:rPr>
                <w:rFonts w:hint="eastAsia" w:ascii="宋体" w:hAnsi="宋体" w:eastAsia="宋体" w:cs="宋体"/>
                <w:i w:val="0"/>
                <w:iCs w:val="0"/>
                <w:color w:val="000000"/>
                <w:sz w:val="20"/>
                <w:szCs w:val="20"/>
                <w:u w:val="none"/>
              </w:rPr>
            </w:pPr>
          </w:p>
        </w:tc>
      </w:tr>
    </w:tbl>
    <w:p w14:paraId="2ACB9A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rPr>
      </w:pPr>
    </w:p>
    <w:sectPr>
      <w:footerReference r:id="rId4" w:type="default"/>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7A1FCFB6">
        <w:pPr>
          <w:pStyle w:val="7"/>
          <w:jc w:val="center"/>
        </w:pPr>
        <w:r>
          <w:fldChar w:fldCharType="begin"/>
        </w:r>
        <w:r>
          <w:instrText xml:space="preserve">PAGE   \* MERGEFORMAT</w:instrText>
        </w:r>
        <w:r>
          <w:fldChar w:fldCharType="separate"/>
        </w:r>
        <w:r>
          <w:rPr>
            <w:lang w:val="zh-CN"/>
          </w:rPr>
          <w:t>13</w:t>
        </w:r>
        <w:r>
          <w:fldChar w:fldCharType="end"/>
        </w:r>
      </w:p>
    </w:sdtContent>
  </w:sdt>
  <w:p w14:paraId="6472282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279"/>
    </w:sdtPr>
    <w:sdtContent>
      <w:p w14:paraId="63E49D4C">
        <w:pPr>
          <w:pStyle w:val="7"/>
          <w:jc w:val="center"/>
        </w:pPr>
        <w:r>
          <w:fldChar w:fldCharType="begin"/>
        </w:r>
        <w:r>
          <w:instrText xml:space="preserve">PAGE   \* MERGEFORMAT</w:instrText>
        </w:r>
        <w:r>
          <w:fldChar w:fldCharType="separate"/>
        </w:r>
        <w:r>
          <w:rPr>
            <w:lang w:val="zh-CN"/>
          </w:rPr>
          <w:t>13</w:t>
        </w:r>
        <w:r>
          <w:fldChar w:fldCharType="end"/>
        </w:r>
      </w:p>
    </w:sdtContent>
  </w:sdt>
  <w:p w14:paraId="09BAC9D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pPr>
        <w:ind w:left="129"/>
      </w:pPr>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EC461B"/>
    <w:rsid w:val="051A3BE3"/>
    <w:rsid w:val="07397B77"/>
    <w:rsid w:val="0AD007F3"/>
    <w:rsid w:val="0B1968A5"/>
    <w:rsid w:val="0C852118"/>
    <w:rsid w:val="0E3C619F"/>
    <w:rsid w:val="0F6273CA"/>
    <w:rsid w:val="100F38EC"/>
    <w:rsid w:val="11170296"/>
    <w:rsid w:val="12C66037"/>
    <w:rsid w:val="12CD1ABC"/>
    <w:rsid w:val="13471461"/>
    <w:rsid w:val="13B90F01"/>
    <w:rsid w:val="155E4C4D"/>
    <w:rsid w:val="181066D2"/>
    <w:rsid w:val="1AFA719E"/>
    <w:rsid w:val="1C671E73"/>
    <w:rsid w:val="1D322C47"/>
    <w:rsid w:val="20D92980"/>
    <w:rsid w:val="225243A5"/>
    <w:rsid w:val="23616034"/>
    <w:rsid w:val="23696C97"/>
    <w:rsid w:val="24480FA2"/>
    <w:rsid w:val="25227A45"/>
    <w:rsid w:val="26AC3A6A"/>
    <w:rsid w:val="2720246F"/>
    <w:rsid w:val="2B9D7E25"/>
    <w:rsid w:val="2BFD6A4C"/>
    <w:rsid w:val="2C7C7A3B"/>
    <w:rsid w:val="2F364819"/>
    <w:rsid w:val="2FD63906"/>
    <w:rsid w:val="37215DAE"/>
    <w:rsid w:val="38CA40DD"/>
    <w:rsid w:val="395F2B56"/>
    <w:rsid w:val="3B482032"/>
    <w:rsid w:val="3BBA0580"/>
    <w:rsid w:val="3BECE841"/>
    <w:rsid w:val="3CDE204C"/>
    <w:rsid w:val="3D363C36"/>
    <w:rsid w:val="3E7A6F9D"/>
    <w:rsid w:val="3E9C3F6D"/>
    <w:rsid w:val="3FF7797D"/>
    <w:rsid w:val="400C61B4"/>
    <w:rsid w:val="426661E0"/>
    <w:rsid w:val="451503BD"/>
    <w:rsid w:val="46690BD8"/>
    <w:rsid w:val="482D1837"/>
    <w:rsid w:val="49792371"/>
    <w:rsid w:val="49F70BF1"/>
    <w:rsid w:val="4B2F0872"/>
    <w:rsid w:val="4B4340EE"/>
    <w:rsid w:val="4EDF237F"/>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1B678F"/>
    <w:rsid w:val="62606CE8"/>
    <w:rsid w:val="642B176B"/>
    <w:rsid w:val="643EE26D"/>
    <w:rsid w:val="656019A0"/>
    <w:rsid w:val="65F242EE"/>
    <w:rsid w:val="666D7E19"/>
    <w:rsid w:val="676C5EC1"/>
    <w:rsid w:val="68376930"/>
    <w:rsid w:val="68F91E38"/>
    <w:rsid w:val="6B3158B9"/>
    <w:rsid w:val="6B8C3CE3"/>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7A7C3A"/>
    <w:rsid w:val="79A9BD3F"/>
    <w:rsid w:val="7AC5270E"/>
    <w:rsid w:val="7B776F12"/>
    <w:rsid w:val="7BDC53AA"/>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3299</Words>
  <Characters>3384</Characters>
  <Lines>58</Lines>
  <Paragraphs>16</Paragraphs>
  <TotalTime>0</TotalTime>
  <ScaleCrop>false</ScaleCrop>
  <LinksUpToDate>false</LinksUpToDate>
  <CharactersWithSpaces>3386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11点28分不打烊</cp:lastModifiedBy>
  <dcterms:modified xsi:type="dcterms:W3CDTF">2025-11-28T07:47:13Z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7775A0194FF04F7382F0CFF35B74D9F3_13</vt:lpwstr>
  </property>
  <property fmtid="{D5CDD505-2E9C-101B-9397-08002B2CF9AE}" pid="4" name="KSOTemplateDocerSaveRecord">
    <vt:lpwstr>eyJoZGlkIjoiNTlkZWQ3ZWZiOGVhYTk1OTExMjBmYWQ4ZjAxNTk5MTciLCJ1c2VySWQiOiI5MTU3NDI2MDkifQ==</vt:lpwstr>
  </property>
</Properties>
</file>