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D479C">
      <w:pPr>
        <w:spacing w:line="540" w:lineRule="exact"/>
        <w:jc w:val="center"/>
        <w:rPr>
          <w:rFonts w:hint="default" w:ascii="Times New Roman" w:hAnsi="Times New Roman" w:eastAsia="华文中宋" w:cs="Times New Roman"/>
          <w:b/>
          <w:kern w:val="0"/>
          <w:sz w:val="52"/>
          <w:szCs w:val="52"/>
          <w:highlight w:val="none"/>
        </w:rPr>
      </w:pPr>
    </w:p>
    <w:p w14:paraId="7CF53B10">
      <w:pPr>
        <w:spacing w:line="540" w:lineRule="exact"/>
        <w:rPr>
          <w:rFonts w:hint="default" w:ascii="Times New Roman" w:hAnsi="Times New Roman" w:eastAsia="华文中宋" w:cs="Times New Roman"/>
          <w:b/>
          <w:kern w:val="0"/>
          <w:sz w:val="52"/>
          <w:szCs w:val="52"/>
          <w:highlight w:val="none"/>
        </w:rPr>
      </w:pPr>
    </w:p>
    <w:p w14:paraId="7465461C">
      <w:pPr>
        <w:spacing w:line="540" w:lineRule="exact"/>
        <w:jc w:val="center"/>
        <w:rPr>
          <w:rFonts w:hint="default" w:ascii="Times New Roman" w:hAnsi="Times New Roman" w:eastAsia="华文中宋" w:cs="Times New Roman"/>
          <w:b/>
          <w:kern w:val="0"/>
          <w:sz w:val="52"/>
          <w:szCs w:val="52"/>
          <w:highlight w:val="none"/>
        </w:rPr>
      </w:pPr>
    </w:p>
    <w:p w14:paraId="47204D13">
      <w:pPr>
        <w:spacing w:line="540" w:lineRule="exact"/>
        <w:jc w:val="center"/>
        <w:rPr>
          <w:rFonts w:hint="default" w:ascii="Times New Roman" w:hAnsi="Times New Roman" w:eastAsia="华文中宋" w:cs="Times New Roman"/>
          <w:b/>
          <w:kern w:val="0"/>
          <w:sz w:val="52"/>
          <w:szCs w:val="52"/>
          <w:highlight w:val="none"/>
        </w:rPr>
      </w:pPr>
    </w:p>
    <w:p w14:paraId="5E11D5A7">
      <w:pPr>
        <w:spacing w:line="540" w:lineRule="exact"/>
        <w:jc w:val="center"/>
        <w:rPr>
          <w:rFonts w:hint="default" w:ascii="Times New Roman" w:hAnsi="Times New Roman" w:eastAsia="方正小标宋_GBK" w:cs="Times New Roman"/>
          <w:kern w:val="0"/>
          <w:sz w:val="48"/>
          <w:szCs w:val="48"/>
          <w:highlight w:val="none"/>
        </w:rPr>
      </w:pPr>
      <w:r>
        <w:rPr>
          <w:rFonts w:hint="default" w:ascii="Times New Roman" w:hAnsi="Times New Roman" w:eastAsia="方正小标宋_GBK" w:cs="Times New Roman"/>
          <w:kern w:val="0"/>
          <w:sz w:val="48"/>
          <w:szCs w:val="48"/>
          <w:highlight w:val="none"/>
        </w:rPr>
        <w:t>新疆人才发展基金2024年第一批支持资金项目支出绩效评价</w:t>
      </w:r>
    </w:p>
    <w:p w14:paraId="2A66E519">
      <w:pPr>
        <w:spacing w:line="540" w:lineRule="exact"/>
        <w:jc w:val="center"/>
        <w:rPr>
          <w:rFonts w:hint="default" w:ascii="Times New Roman" w:hAnsi="Times New Roman" w:eastAsia="方正小标宋_GBK" w:cs="Times New Roman"/>
          <w:kern w:val="0"/>
          <w:sz w:val="48"/>
          <w:szCs w:val="48"/>
          <w:highlight w:val="none"/>
        </w:rPr>
      </w:pPr>
      <w:r>
        <w:rPr>
          <w:rFonts w:hint="default" w:ascii="Times New Roman" w:hAnsi="Times New Roman" w:eastAsia="方正小标宋_GBK" w:cs="Times New Roman"/>
          <w:kern w:val="0"/>
          <w:sz w:val="48"/>
          <w:szCs w:val="48"/>
          <w:highlight w:val="none"/>
        </w:rPr>
        <w:t>报告</w:t>
      </w:r>
    </w:p>
    <w:p w14:paraId="3435F33D">
      <w:pPr>
        <w:spacing w:line="540" w:lineRule="exact"/>
        <w:jc w:val="center"/>
        <w:rPr>
          <w:rFonts w:hint="default" w:ascii="Times New Roman" w:hAnsi="Times New Roman" w:eastAsia="华文中宋" w:cs="Times New Roman"/>
          <w:b/>
          <w:kern w:val="0"/>
          <w:sz w:val="52"/>
          <w:szCs w:val="52"/>
          <w:highlight w:val="none"/>
        </w:rPr>
      </w:pPr>
    </w:p>
    <w:p w14:paraId="2C28A452">
      <w:pPr>
        <w:spacing w:line="540" w:lineRule="exact"/>
        <w:jc w:val="center"/>
        <w:rPr>
          <w:rFonts w:hint="default" w:ascii="Times New Roman" w:hAnsi="Times New Roman" w:eastAsia="仿宋_GB2312" w:cs="Times New Roman"/>
          <w:kern w:val="0"/>
          <w:sz w:val="36"/>
          <w:szCs w:val="36"/>
          <w:highlight w:val="none"/>
        </w:rPr>
      </w:pPr>
      <w:r>
        <w:rPr>
          <w:rFonts w:hint="default" w:ascii="Times New Roman" w:hAnsi="Times New Roman" w:eastAsia="仿宋_GB2312" w:cs="Times New Roman"/>
          <w:kern w:val="0"/>
          <w:sz w:val="36"/>
          <w:szCs w:val="36"/>
          <w:highlight w:val="none"/>
        </w:rPr>
        <w:t>（202</w:t>
      </w:r>
      <w:r>
        <w:rPr>
          <w:rFonts w:hint="default" w:ascii="Times New Roman" w:hAnsi="Times New Roman" w:eastAsia="仿宋_GB2312" w:cs="Times New Roman"/>
          <w:kern w:val="0"/>
          <w:sz w:val="36"/>
          <w:szCs w:val="36"/>
          <w:highlight w:val="none"/>
          <w:lang w:val="en-US" w:eastAsia="zh-CN"/>
        </w:rPr>
        <w:t>4</w:t>
      </w:r>
      <w:r>
        <w:rPr>
          <w:rFonts w:hint="default" w:ascii="Times New Roman" w:hAnsi="Times New Roman" w:eastAsia="仿宋_GB2312" w:cs="Times New Roman"/>
          <w:kern w:val="0"/>
          <w:sz w:val="36"/>
          <w:szCs w:val="36"/>
          <w:highlight w:val="none"/>
        </w:rPr>
        <w:t>年度）</w:t>
      </w:r>
    </w:p>
    <w:p w14:paraId="1BF12FF7">
      <w:pPr>
        <w:spacing w:line="540" w:lineRule="exact"/>
        <w:jc w:val="center"/>
        <w:rPr>
          <w:rFonts w:hint="default" w:ascii="Times New Roman" w:hAnsi="Times New Roman" w:eastAsia="仿宋_GB2312" w:cs="Times New Roman"/>
          <w:kern w:val="0"/>
          <w:sz w:val="30"/>
          <w:szCs w:val="30"/>
          <w:highlight w:val="none"/>
        </w:rPr>
      </w:pPr>
    </w:p>
    <w:p w14:paraId="24846776">
      <w:pPr>
        <w:spacing w:line="540" w:lineRule="exact"/>
        <w:jc w:val="center"/>
        <w:rPr>
          <w:rFonts w:hint="default" w:ascii="Times New Roman" w:hAnsi="Times New Roman" w:eastAsia="仿宋_GB2312" w:cs="Times New Roman"/>
          <w:kern w:val="0"/>
          <w:sz w:val="30"/>
          <w:szCs w:val="30"/>
          <w:highlight w:val="none"/>
        </w:rPr>
      </w:pPr>
    </w:p>
    <w:p w14:paraId="141D8E8F">
      <w:pPr>
        <w:pStyle w:val="10"/>
        <w:rPr>
          <w:rFonts w:hint="default" w:ascii="Times New Roman" w:hAnsi="Times New Roman" w:cs="Times New Roman"/>
          <w:highlight w:val="none"/>
        </w:rPr>
      </w:pPr>
    </w:p>
    <w:p w14:paraId="2F1A748A">
      <w:pPr>
        <w:rPr>
          <w:rFonts w:hint="default"/>
          <w:highlight w:val="none"/>
        </w:rPr>
      </w:pPr>
    </w:p>
    <w:p w14:paraId="02360C14">
      <w:pPr>
        <w:spacing w:line="540" w:lineRule="exact"/>
        <w:jc w:val="center"/>
        <w:rPr>
          <w:rFonts w:hint="default" w:ascii="Times New Roman" w:hAnsi="Times New Roman" w:eastAsia="仿宋_GB2312" w:cs="Times New Roman"/>
          <w:kern w:val="0"/>
          <w:sz w:val="30"/>
          <w:szCs w:val="30"/>
          <w:highlight w:val="none"/>
        </w:rPr>
      </w:pPr>
    </w:p>
    <w:p w14:paraId="13AA2476">
      <w:pPr>
        <w:spacing w:line="540" w:lineRule="exact"/>
        <w:rPr>
          <w:rFonts w:hint="default" w:ascii="Times New Roman" w:hAnsi="Times New Roman" w:eastAsia="仿宋_GB2312" w:cs="Times New Roman"/>
          <w:kern w:val="0"/>
          <w:sz w:val="30"/>
          <w:szCs w:val="30"/>
          <w:highlight w:val="none"/>
        </w:rPr>
      </w:pPr>
    </w:p>
    <w:p w14:paraId="2634DF05">
      <w:pPr>
        <w:spacing w:line="700" w:lineRule="exact"/>
        <w:ind w:firstLine="1440" w:firstLineChars="400"/>
        <w:jc w:val="left"/>
        <w:rPr>
          <w:rFonts w:hint="default" w:ascii="Times New Roman" w:hAnsi="Times New Roman" w:eastAsia="仿宋_GB2312" w:cs="Times New Roman"/>
          <w:kern w:val="0"/>
          <w:sz w:val="36"/>
          <w:szCs w:val="36"/>
          <w:highlight w:val="none"/>
        </w:rPr>
      </w:pPr>
      <w:r>
        <w:rPr>
          <w:rFonts w:hint="default" w:ascii="Times New Roman" w:hAnsi="Times New Roman" w:eastAsia="仿宋_GB2312" w:cs="Times New Roman"/>
          <w:kern w:val="0"/>
          <w:sz w:val="36"/>
          <w:szCs w:val="36"/>
          <w:highlight w:val="none"/>
        </w:rPr>
        <w:t>项目名称：新疆人才发展基金2024年第一批支持资金</w:t>
      </w:r>
    </w:p>
    <w:p w14:paraId="6CF1E51E">
      <w:pPr>
        <w:spacing w:line="700" w:lineRule="exact"/>
        <w:ind w:firstLine="1440" w:firstLineChars="400"/>
        <w:jc w:val="left"/>
        <w:rPr>
          <w:rFonts w:hint="default" w:ascii="Times New Roman" w:hAnsi="Times New Roman" w:eastAsia="仿宋_GB2312" w:cs="Times New Roman"/>
          <w:kern w:val="0"/>
          <w:sz w:val="36"/>
          <w:szCs w:val="36"/>
          <w:highlight w:val="none"/>
        </w:rPr>
      </w:pPr>
      <w:r>
        <w:rPr>
          <w:rFonts w:hint="default" w:ascii="Times New Roman" w:hAnsi="Times New Roman" w:eastAsia="仿宋_GB2312" w:cs="Times New Roman"/>
          <w:kern w:val="0"/>
          <w:sz w:val="36"/>
          <w:szCs w:val="36"/>
          <w:highlight w:val="none"/>
        </w:rPr>
        <w:t>实施单位（公章）：乌鲁木齐市第四十一中学</w:t>
      </w:r>
    </w:p>
    <w:p w14:paraId="5B928C7A">
      <w:pPr>
        <w:spacing w:line="700" w:lineRule="exact"/>
        <w:ind w:firstLine="1440" w:firstLineChars="400"/>
        <w:jc w:val="left"/>
        <w:rPr>
          <w:rFonts w:hint="default" w:ascii="Times New Roman" w:hAnsi="Times New Roman" w:eastAsia="仿宋_GB2312" w:cs="Times New Roman"/>
          <w:kern w:val="0"/>
          <w:sz w:val="36"/>
          <w:szCs w:val="36"/>
          <w:highlight w:val="none"/>
        </w:rPr>
      </w:pPr>
      <w:r>
        <w:rPr>
          <w:rFonts w:hint="default" w:ascii="Times New Roman" w:hAnsi="Times New Roman" w:eastAsia="仿宋_GB2312" w:cs="Times New Roman"/>
          <w:kern w:val="0"/>
          <w:sz w:val="36"/>
          <w:szCs w:val="36"/>
          <w:highlight w:val="none"/>
        </w:rPr>
        <w:t>主管部门（公章）：乌鲁木齐市沙依巴克区教育局</w:t>
      </w:r>
    </w:p>
    <w:p w14:paraId="681BF785">
      <w:pPr>
        <w:spacing w:line="700" w:lineRule="exact"/>
        <w:ind w:firstLine="1440" w:firstLineChars="400"/>
        <w:jc w:val="left"/>
        <w:rPr>
          <w:rFonts w:hint="default" w:ascii="Times New Roman" w:hAnsi="Times New Roman" w:eastAsia="仿宋_GB2312" w:cs="Times New Roman"/>
          <w:kern w:val="0"/>
          <w:sz w:val="36"/>
          <w:szCs w:val="36"/>
          <w:highlight w:val="none"/>
        </w:rPr>
      </w:pPr>
      <w:r>
        <w:rPr>
          <w:rFonts w:hint="default" w:ascii="Times New Roman" w:hAnsi="Times New Roman" w:eastAsia="仿宋_GB2312" w:cs="Times New Roman"/>
          <w:kern w:val="0"/>
          <w:sz w:val="36"/>
          <w:szCs w:val="36"/>
          <w:highlight w:val="none"/>
        </w:rPr>
        <w:t>项目负责人（签章）：曹亮</w:t>
      </w:r>
    </w:p>
    <w:p w14:paraId="04A3D850">
      <w:pPr>
        <w:spacing w:line="700" w:lineRule="exact"/>
        <w:ind w:firstLine="1440" w:firstLineChars="400"/>
        <w:jc w:val="left"/>
        <w:rPr>
          <w:rFonts w:hint="default" w:ascii="Times New Roman" w:hAnsi="Times New Roman" w:eastAsia="仿宋_GB2312" w:cs="Times New Roman"/>
          <w:kern w:val="0"/>
          <w:sz w:val="36"/>
          <w:szCs w:val="36"/>
          <w:highlight w:val="none"/>
        </w:rPr>
      </w:pPr>
      <w:r>
        <w:rPr>
          <w:rFonts w:hint="default" w:ascii="Times New Roman" w:hAnsi="Times New Roman" w:eastAsia="仿宋_GB2312" w:cs="Times New Roman"/>
          <w:kern w:val="0"/>
          <w:sz w:val="36"/>
          <w:szCs w:val="36"/>
          <w:highlight w:val="none"/>
        </w:rPr>
        <w:t>填报时间：2025年4月1日</w:t>
      </w:r>
    </w:p>
    <w:p w14:paraId="17A69604">
      <w:pPr>
        <w:spacing w:line="540" w:lineRule="exact"/>
        <w:jc w:val="center"/>
        <w:rPr>
          <w:rFonts w:hint="default" w:ascii="Times New Roman" w:hAnsi="Times New Roman" w:eastAsia="仿宋_GB2312" w:cs="Times New Roman"/>
          <w:kern w:val="0"/>
          <w:sz w:val="30"/>
          <w:szCs w:val="30"/>
          <w:highlight w:val="none"/>
        </w:rPr>
      </w:pPr>
    </w:p>
    <w:p w14:paraId="69756A28">
      <w:pPr>
        <w:spacing w:line="56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一、基本情况</w:t>
      </w:r>
    </w:p>
    <w:p w14:paraId="1B940412">
      <w:pPr>
        <w:spacing w:line="56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（一）项目概况</w:t>
      </w:r>
    </w:p>
    <w:p w14:paraId="5D721A80">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rPr>
        <w:t>项目背景</w:t>
      </w:r>
    </w:p>
    <w:p w14:paraId="3E9A9918">
      <w:pPr>
        <w:spacing w:line="560" w:lineRule="exact"/>
        <w:ind w:firstLine="600" w:firstLineChars="200"/>
        <w:rPr>
          <w:rFonts w:hint="default"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根据自治区教育厅新教函【2023】470号文件和乌财行[2024]29号的要求，对我校达到天山英才考核标准的一名老师进行了个人补助。同时，支持老师继续提供出版相关著作、发表论文并对开展教育科研活动</w:t>
      </w:r>
      <w:r>
        <w:rPr>
          <w:rFonts w:hint="default" w:ascii="Times New Roman" w:hAnsi="Times New Roman" w:eastAsia="仿宋_GB2312" w:cs="Times New Roman"/>
          <w:sz w:val="30"/>
          <w:szCs w:val="30"/>
          <w:highlight w:val="none"/>
          <w:lang w:val="en-US" w:eastAsia="zh-CN"/>
        </w:rPr>
        <w:t>。</w:t>
      </w:r>
    </w:p>
    <w:p w14:paraId="1BC871C8">
      <w:pPr>
        <w:pStyle w:val="10"/>
        <w:numPr>
          <w:ilvl w:val="0"/>
          <w:numId w:val="0"/>
        </w:numPr>
        <w:spacing w:before="0" w:after="0" w:line="560" w:lineRule="exact"/>
        <w:ind w:firstLine="643" w:firstLineChars="200"/>
        <w:jc w:val="both"/>
        <w:rPr>
          <w:rFonts w:hint="default" w:ascii="Times New Roman" w:hAnsi="Times New Roman" w:eastAsia="仿宋_GB2312" w:cs="Times New Roman"/>
          <w:kern w:val="2"/>
          <w:highlight w:val="none"/>
        </w:rPr>
      </w:pPr>
      <w:r>
        <w:rPr>
          <w:rFonts w:hint="default" w:ascii="Times New Roman" w:hAnsi="Times New Roman" w:eastAsia="仿宋_GB2312" w:cs="Times New Roman"/>
          <w:kern w:val="2"/>
          <w:highlight w:val="none"/>
          <w:lang w:val="en-US" w:eastAsia="zh-CN"/>
        </w:rPr>
        <w:t>2.</w:t>
      </w:r>
      <w:r>
        <w:rPr>
          <w:rFonts w:hint="default" w:ascii="Times New Roman" w:hAnsi="Times New Roman" w:eastAsia="仿宋_GB2312" w:cs="Times New Roman"/>
          <w:kern w:val="2"/>
          <w:highlight w:val="none"/>
        </w:rPr>
        <w:t>项目主要内容：</w:t>
      </w:r>
    </w:p>
    <w:p w14:paraId="024B529F">
      <w:pPr>
        <w:spacing w:line="560" w:lineRule="exact"/>
        <w:ind w:firstLine="600" w:firstLineChars="200"/>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项目主要内容：1、用于以工作室建设、课题研究、课程项目建设。2、进行教师培养、教师队伍建设培训，形成一项高水平的教育成果。3、培养造就一批有创造力、有影响力的教育家型名教师、名校长，引领全区教师队伍整体素质提升，支撑全区教育高质量发展。</w:t>
      </w:r>
    </w:p>
    <w:p w14:paraId="36FD8169">
      <w:pPr>
        <w:spacing w:line="560" w:lineRule="exact"/>
        <w:ind w:firstLine="640" w:firstLineChars="200"/>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2"/>
          <w:szCs w:val="32"/>
          <w:highlight w:val="none"/>
        </w:rPr>
        <w:t>项目实施情况：</w:t>
      </w:r>
      <w:r>
        <w:rPr>
          <w:rFonts w:hint="eastAsia" w:eastAsia="仿宋_GB2312" w:cs="Times New Roman"/>
          <w:sz w:val="32"/>
          <w:szCs w:val="32"/>
          <w:highlight w:val="none"/>
          <w:lang w:val="en-US" w:eastAsia="zh-CN"/>
        </w:rPr>
        <w:t>主</w:t>
      </w:r>
      <w:r>
        <w:rPr>
          <w:rFonts w:hint="eastAsia" w:ascii="Times New Roman" w:hAnsi="Times New Roman" w:eastAsia="仿宋_GB2312" w:cs="Times New Roman"/>
          <w:sz w:val="30"/>
          <w:szCs w:val="30"/>
          <w:highlight w:val="none"/>
          <w:lang w:val="en-US" w:eastAsia="zh-CN"/>
        </w:rPr>
        <w:t>要是完成了对我校一名天山英才老师提供人才专项补助资金8万元，并且支持老师编写发表了7篇论文</w:t>
      </w:r>
      <w:r>
        <w:rPr>
          <w:rFonts w:hint="eastAsia" w:eastAsia="仿宋_GB2312" w:cs="Times New Roman"/>
          <w:sz w:val="30"/>
          <w:szCs w:val="30"/>
          <w:highlight w:val="none"/>
          <w:lang w:val="en-US" w:eastAsia="zh-CN"/>
        </w:rPr>
        <w:t>5万元</w:t>
      </w:r>
      <w:r>
        <w:rPr>
          <w:rFonts w:hint="eastAsia" w:ascii="Times New Roman" w:hAnsi="Times New Roman" w:eastAsia="仿宋_GB2312" w:cs="Times New Roman"/>
          <w:sz w:val="30"/>
          <w:szCs w:val="30"/>
          <w:highlight w:val="none"/>
          <w:lang w:val="en-US" w:eastAsia="zh-CN"/>
        </w:rPr>
        <w:t>和2部著作</w:t>
      </w:r>
      <w:r>
        <w:rPr>
          <w:rFonts w:hint="eastAsia" w:eastAsia="仿宋_GB2312" w:cs="Times New Roman"/>
          <w:sz w:val="30"/>
          <w:szCs w:val="30"/>
          <w:highlight w:val="none"/>
          <w:lang w:val="en-US" w:eastAsia="zh-CN"/>
        </w:rPr>
        <w:t>14万元</w:t>
      </w:r>
      <w:r>
        <w:rPr>
          <w:rFonts w:hint="eastAsia" w:ascii="Times New Roman" w:hAnsi="Times New Roman" w:eastAsia="仿宋_GB2312" w:cs="Times New Roman"/>
          <w:sz w:val="30"/>
          <w:szCs w:val="30"/>
          <w:highlight w:val="none"/>
          <w:lang w:val="en-US" w:eastAsia="zh-CN"/>
        </w:rPr>
        <w:t>，从而提升了领军人才的表率作用，提高了我校老师的工作积极性，实现了我校教学质量的提升以及学生的学习的积极性。</w:t>
      </w:r>
    </w:p>
    <w:p w14:paraId="7330649E">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rPr>
        <w:t>资金投入和使用情况</w:t>
      </w:r>
    </w:p>
    <w:p w14:paraId="64B8E369">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（1）资金投入情况</w:t>
      </w:r>
    </w:p>
    <w:p w14:paraId="0CB34B9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en-US" w:eastAsia="zh-CN"/>
        </w:rPr>
        <w:t>万元，全年预算数28万元，该项目资金已全部落实到位，资金来源为</w:t>
      </w:r>
      <w:r>
        <w:rPr>
          <w:rFonts w:hint="eastAsia" w:eastAsia="仿宋_GB2312" w:cs="Times New Roman"/>
          <w:sz w:val="32"/>
          <w:szCs w:val="32"/>
          <w:highlight w:val="none"/>
          <w:lang w:val="en-US" w:eastAsia="zh-CN"/>
        </w:rPr>
        <w:t>财政拨款</w:t>
      </w:r>
      <w:r>
        <w:rPr>
          <w:rFonts w:hint="default" w:ascii="Times New Roman" w:hAnsi="Times New Roman" w:eastAsia="仿宋_GB2312" w:cs="Times New Roman"/>
          <w:sz w:val="32"/>
          <w:szCs w:val="32"/>
          <w:highlight w:val="none"/>
          <w:lang w:val="en-US" w:eastAsia="zh-CN"/>
        </w:rPr>
        <w:t>。</w:t>
      </w:r>
    </w:p>
    <w:p w14:paraId="0493974A">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（2）资金使用情况</w:t>
      </w:r>
    </w:p>
    <w:p w14:paraId="0457426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28</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，全年执行数28万元，预算执行率为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%，主要用于：</w:t>
      </w:r>
      <w:r>
        <w:rPr>
          <w:rFonts w:hint="eastAsia" w:eastAsia="仿宋_GB2312" w:cs="Times New Roman"/>
          <w:sz w:val="32"/>
          <w:szCs w:val="32"/>
          <w:highlight w:val="none"/>
          <w:lang w:val="en-US" w:eastAsia="zh-CN"/>
        </w:rPr>
        <w:t>对我校天山英才老师的个人补助9万元、出版论文成本14万元以及发表论文著作相关成本5万元</w:t>
      </w:r>
      <w:r>
        <w:rPr>
          <w:rFonts w:hint="default" w:ascii="Times New Roman" w:hAnsi="Times New Roman" w:eastAsia="仿宋_GB2312" w:cs="Times New Roman"/>
          <w:sz w:val="32"/>
          <w:szCs w:val="32"/>
          <w:highlight w:val="none"/>
          <w:lang w:val="en-US" w:eastAsia="zh-CN"/>
        </w:rPr>
        <w:t>。</w:t>
      </w:r>
    </w:p>
    <w:p w14:paraId="46100D4F">
      <w:pPr>
        <w:spacing w:line="56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（二）项目绩效目标</w:t>
      </w:r>
    </w:p>
    <w:p w14:paraId="648A60AB">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sz w:val="32"/>
          <w:szCs w:val="32"/>
          <w:highlight w:val="none"/>
        </w:rPr>
        <w:t>总体目标</w:t>
      </w:r>
    </w:p>
    <w:p w14:paraId="3027906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用于以工作室建设、课题研究、课程项目建设。2、进行教师培养、教师队伍建设培训，形成一项高水平的教育成果。3、培养造就一批有创造力、有影响力的教育家型名教师、名校长，引领全区教师队伍整体素质提升，支撑全区教育高质量发展</w:t>
      </w:r>
      <w:r>
        <w:rPr>
          <w:rFonts w:hint="eastAsia" w:ascii="Times New Roman" w:hAnsi="Times New Roman" w:eastAsia="仿宋_GB2312" w:cs="Times New Roman"/>
          <w:sz w:val="32"/>
          <w:szCs w:val="32"/>
          <w:highlight w:val="none"/>
          <w:lang w:val="en-US" w:eastAsia="zh-CN"/>
        </w:rPr>
        <w:t>。</w:t>
      </w:r>
    </w:p>
    <w:p w14:paraId="758C77B4">
      <w:pPr>
        <w:spacing w:line="560" w:lineRule="exact"/>
        <w:ind w:firstLine="640" w:firstLineChars="200"/>
        <w:rPr>
          <w:rFonts w:hint="default" w:ascii="Times New Roman" w:hAnsi="Times New Roman" w:eastAsia="仿宋_GB2312" w:cs="Times New Roman"/>
          <w:color w:val="FF0000"/>
          <w:sz w:val="30"/>
          <w:szCs w:val="30"/>
          <w:highlight w:val="none"/>
          <w:lang w:val="en-US" w:eastAsia="zh-CN"/>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sz w:val="32"/>
          <w:szCs w:val="32"/>
          <w:highlight w:val="none"/>
        </w:rPr>
        <w:t>阶段性目标</w:t>
      </w:r>
    </w:p>
    <w:p w14:paraId="3A862F7A">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根据自治区教育厅新教函【2023】470号文件的要求，对我校达到天山英才考核标准的一名老师进行了个人补助。同时，支持老师继续提供开展教育科研活动，支持老师发表了论文和出版了著作，实现了我校优秀人才的表率作用，提高了我校的教学质量以及学生的学习积极性。</w:t>
      </w:r>
    </w:p>
    <w:p w14:paraId="4219CEBC">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二、绩效评价工作开展情况</w:t>
      </w:r>
    </w:p>
    <w:p w14:paraId="25D15507">
      <w:pPr>
        <w:spacing w:line="56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（一）绩效评价目的、对象和范围</w:t>
      </w:r>
    </w:p>
    <w:p w14:paraId="5F8BEEC9">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1.绩效评价完整性</w:t>
      </w:r>
    </w:p>
    <w:p w14:paraId="4E57CD83">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评价指标体系的构建上，充分考虑了项目的性质、目标以及预期成果，选取了具有代表性和可衡量性的关键指标，涵盖了社会效益维度，力求全方位反映项目的绩效状况。同时，对于每个指标的评价标准和数据来源均进行了明确说明，确保评价结果的客观性和可追溯性。</w:t>
      </w:r>
    </w:p>
    <w:p w14:paraId="6E47BAB8">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绩效评价的目的</w:t>
      </w:r>
    </w:p>
    <w:p w14:paraId="4A05E6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（1）评估项目实施效果</w:t>
      </w:r>
    </w:p>
    <w:p w14:paraId="3187A1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通过对项目预算执行情况及各项绩效目标达成程度的系统性分析，全面、客观地评估项目在预定周期内的实施效果，包括社会效益维度指标，为项目后续的改进与优化提供科学依据。</w:t>
      </w:r>
    </w:p>
    <w:p w14:paraId="2F4473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（2）提升资源利用效率</w:t>
      </w:r>
    </w:p>
    <w:p w14:paraId="753B1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（3）强化项目管理责任</w:t>
      </w:r>
    </w:p>
    <w:p w14:paraId="4D9115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（4）为决策提供支持</w:t>
      </w:r>
    </w:p>
    <w:p w14:paraId="6E434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（5）促进项目持续改进</w:t>
      </w:r>
    </w:p>
    <w:p w14:paraId="211041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val="en-US" w:eastAsia="zh-CN"/>
        </w:rPr>
        <w:t>3</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绩效评价的对象</w:t>
      </w:r>
    </w:p>
    <w:p w14:paraId="64E69A45">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本项目预算绩效评价报告的评价对象是新疆人才发展基金2024年第一批支持资金及其预算执行情况。该项目由[</w:t>
      </w:r>
      <w:r>
        <w:rPr>
          <w:rFonts w:hint="eastAsia" w:ascii="Times New Roman" w:hAnsi="Times New Roman" w:eastAsia="仿宋_GB2312" w:cs="Times New Roman"/>
          <w:b w:val="0"/>
          <w:bCs w:val="0"/>
          <w:highlight w:val="none"/>
          <w:lang w:val="en-US" w:eastAsia="zh-CN"/>
        </w:rPr>
        <w:t>乌鲁木齐市第四十一中学</w:t>
      </w:r>
      <w:r>
        <w:rPr>
          <w:rFonts w:hint="default" w:ascii="Times New Roman" w:hAnsi="Times New Roman" w:eastAsia="仿宋_GB2312" w:cs="Times New Roman"/>
          <w:b w:val="0"/>
          <w:bCs w:val="0"/>
          <w:highlight w:val="none"/>
        </w:rPr>
        <w:t>负责实施，旨在</w:t>
      </w:r>
      <w:r>
        <w:rPr>
          <w:rFonts w:hint="eastAsia" w:ascii="Times New Roman" w:hAnsi="Times New Roman" w:eastAsia="仿宋_GB2312" w:cs="Times New Roman"/>
          <w:b w:val="0"/>
          <w:bCs w:val="0"/>
          <w:highlight w:val="none"/>
          <w:lang w:val="en-US" w:eastAsia="zh-CN"/>
        </w:rPr>
        <w:t>支持我校天山英才教师的教学科研活动以及对达到考核标准的优秀教师进行奖励补助</w:t>
      </w:r>
      <w:r>
        <w:rPr>
          <w:rFonts w:hint="default" w:ascii="Times New Roman" w:hAnsi="Times New Roman" w:eastAsia="仿宋_GB2312" w:cs="Times New Roman"/>
          <w:b w:val="0"/>
          <w:bCs w:val="0"/>
          <w:highlight w:val="none"/>
        </w:rPr>
        <w:t>。项目预算涵盖从</w:t>
      </w:r>
      <w:r>
        <w:rPr>
          <w:rFonts w:hint="eastAsia" w:ascii="Times New Roman" w:hAnsi="Times New Roman" w:eastAsia="仿宋_GB2312" w:cs="Times New Roman"/>
          <w:b w:val="0"/>
          <w:bCs w:val="0"/>
          <w:highlight w:val="none"/>
          <w:lang w:val="en-US" w:eastAsia="zh-CN"/>
        </w:rPr>
        <w:t>2024年1月1日</w:t>
      </w:r>
      <w:r>
        <w:rPr>
          <w:rFonts w:hint="default" w:ascii="Times New Roman" w:hAnsi="Times New Roman" w:eastAsia="仿宋_GB2312" w:cs="Times New Roman"/>
          <w:b w:val="0"/>
          <w:bCs w:val="0"/>
          <w:highlight w:val="none"/>
        </w:rPr>
        <w:t>至</w:t>
      </w:r>
      <w:r>
        <w:rPr>
          <w:rFonts w:hint="eastAsia" w:ascii="Times New Roman" w:hAnsi="Times New Roman" w:eastAsia="仿宋_GB2312" w:cs="Times New Roman"/>
          <w:b w:val="0"/>
          <w:bCs w:val="0"/>
          <w:highlight w:val="none"/>
          <w:lang w:val="en-US" w:eastAsia="zh-CN"/>
        </w:rPr>
        <w:t>2024年12月31日</w:t>
      </w:r>
      <w:r>
        <w:rPr>
          <w:rFonts w:hint="default" w:ascii="Times New Roman" w:hAnsi="Times New Roman" w:eastAsia="仿宋_GB2312" w:cs="Times New Roman"/>
          <w:b w:val="0"/>
          <w:bCs w:val="0"/>
          <w:highlight w:val="none"/>
        </w:rPr>
        <w:t>的全部资金投入与支出，涉及资金总额为</w:t>
      </w:r>
      <w:r>
        <w:rPr>
          <w:rFonts w:hint="eastAsia" w:ascii="Times New Roman" w:hAnsi="Times New Roman" w:eastAsia="仿宋_GB2312" w:cs="Times New Roman"/>
          <w:b w:val="0"/>
          <w:bCs w:val="0"/>
          <w:highlight w:val="none"/>
          <w:lang w:val="en-US" w:eastAsia="zh-CN"/>
        </w:rPr>
        <w:t>28</w:t>
      </w:r>
      <w:r>
        <w:rPr>
          <w:rFonts w:hint="default" w:ascii="Times New Roman" w:hAnsi="Times New Roman" w:eastAsia="仿宋_GB2312" w:cs="Times New Roman"/>
          <w:b w:val="0"/>
          <w:bCs w:val="0"/>
          <w:highlight w:val="none"/>
          <w:lang w:val="en-US" w:eastAsia="zh-CN"/>
        </w:rPr>
        <w:t>万</w:t>
      </w:r>
      <w:r>
        <w:rPr>
          <w:rFonts w:hint="default" w:ascii="Times New Roman" w:hAnsi="Times New Roman" w:eastAsia="仿宋_GB2312" w:cs="Times New Roman"/>
          <w:b w:val="0"/>
          <w:bCs w:val="0"/>
          <w:highlight w:val="none"/>
        </w:rPr>
        <w:t>元。</w:t>
      </w:r>
    </w:p>
    <w:p w14:paraId="324B40BD">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val="en-US" w:eastAsia="zh-CN"/>
        </w:rPr>
        <w:t>4.</w:t>
      </w:r>
      <w:r>
        <w:rPr>
          <w:rFonts w:hint="default" w:ascii="Times New Roman" w:hAnsi="Times New Roman" w:eastAsia="仿宋_GB2312" w:cs="Times New Roman"/>
          <w:b w:val="0"/>
          <w:bCs w:val="0"/>
          <w:highlight w:val="none"/>
        </w:rPr>
        <w:t>绩效评价的范围</w:t>
      </w:r>
    </w:p>
    <w:p w14:paraId="3F83EA6E">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本项目预算绩效评价报告的评价范围广泛而全面，涵盖了从项目立项至评价时点期间的所有关键预算活动和财务流程。具体而言，评价范围包括但不限于以下几个方面：</w:t>
      </w:r>
    </w:p>
    <w:p w14:paraId="19EB23D8">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项目预算编制与执行：全面审视项目预算的编制依据、合理性、科学性以及实际执行情况，包括预算调整的原因和效果。</w:t>
      </w:r>
    </w:p>
    <w:p w14:paraId="267E8AEF">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资金管理：深入分析项目资金的分配、使用和监管情况，确保资金使用的合规性、高效性和透明度。</w:t>
      </w:r>
    </w:p>
    <w:p w14:paraId="19E01CD2">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项目实施进度与产出：评估项目是否按照既定计划顺利推进，各项任务是否按时完成，以及项目产出的数量、质量和时效性是否符合预期。</w:t>
      </w:r>
    </w:p>
    <w:p w14:paraId="1E59BB39">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社会影响：考察项目对社会方面的综合影响。</w:t>
      </w:r>
    </w:p>
    <w:p w14:paraId="07793574">
      <w:pPr>
        <w:spacing w:line="560" w:lineRule="exact"/>
        <w:ind w:firstLine="643" w:firstLineChars="200"/>
        <w:rPr>
          <w:rFonts w:hint="default" w:ascii="Times New Roman" w:hAnsi="Times New Roman" w:cs="Times New Roman"/>
          <w:highlight w:val="none"/>
        </w:rPr>
      </w:pPr>
      <w:r>
        <w:rPr>
          <w:rFonts w:hint="default" w:ascii="Times New Roman" w:hAnsi="Times New Roman" w:eastAsia="楷体_GB2312" w:cs="Times New Roman"/>
          <w:b/>
          <w:bCs/>
          <w:sz w:val="32"/>
          <w:szCs w:val="32"/>
          <w:highlight w:val="none"/>
        </w:rPr>
        <w:t>（二）绩效评价原则、评价指标体系（详情见表1）、评价方法、评价标准。</w:t>
      </w:r>
    </w:p>
    <w:p w14:paraId="48E398F4">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1</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绩效评价原则</w:t>
      </w:r>
    </w:p>
    <w:p w14:paraId="5AC985B3">
      <w:pPr>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本次项目绩效评价遵循以下基本原则：</w:t>
      </w:r>
    </w:p>
    <w:p w14:paraId="3321091D">
      <w:pPr>
        <w:pStyle w:val="1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（1）科学公正。绩效评价应当运用科学合理的方法，按照规范的程序，对项目绩效进行客观、公正的反映。</w:t>
      </w:r>
    </w:p>
    <w:p w14:paraId="6E20F725">
      <w:pPr>
        <w:pStyle w:val="1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（2）统筹兼顾。单位自评、部门评价和财政评价应职责明确，各有侧重，相互衔接。单位自评应由项目单位自主实施，即“谁支出、谁自评”。部门评价和财政评价应在单位自评的基础上开展。</w:t>
      </w:r>
    </w:p>
    <w:p w14:paraId="16346F89">
      <w:pPr>
        <w:pStyle w:val="1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（3）激励约束。绩效评价结果应与预算安排、政策调整、改进管理实质性挂钩，体现奖优罚劣和激励相容导向，有效要安排、低效要压减、无效要问责。</w:t>
      </w:r>
    </w:p>
    <w:p w14:paraId="5CDA7C09">
      <w:pPr>
        <w:pStyle w:val="1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（4）公开透明。绩效评价结果应依法依规公开，并自觉接受社会监督。</w:t>
      </w:r>
    </w:p>
    <w:p w14:paraId="34D246A9">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2</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评价指标体系</w:t>
      </w:r>
    </w:p>
    <w:p w14:paraId="3AE91BB1">
      <w:pPr>
        <w:spacing w:line="560" w:lineRule="exact"/>
        <w:ind w:firstLine="708" w:firstLineChars="200"/>
        <w:rPr>
          <w:rFonts w:hint="default" w:ascii="Times New Roman" w:hAnsi="Times New Roman"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绩效评价框架是开展绩效评价的核心。绩效评价框架包括评价准则、关键评价问题、评价指标、数据来源、数据收集方法等。指标体系建立过程如下：</w:t>
      </w:r>
    </w:p>
    <w:p w14:paraId="1D02F596">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（1）确定评价指标</w:t>
      </w:r>
    </w:p>
    <w:p w14:paraId="3EC09052">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采用层次分析法，建立评价指标体系。绩效评价将指标分为项目决策指标、项目过程指标、项目产出指标、项目效益指标四个维度，最终形成一个由多个相互联系的指标组成的多层次指标体系。</w:t>
      </w:r>
    </w:p>
    <w:p w14:paraId="4ADEEF27">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（2）确定权重</w:t>
      </w:r>
    </w:p>
    <w:p w14:paraId="74E07D02">
      <w:pPr>
        <w:spacing w:line="560" w:lineRule="exact"/>
        <w:ind w:firstLine="708" w:firstLineChars="200"/>
        <w:rPr>
          <w:rFonts w:hint="default" w:ascii="Times New Roman" w:hAnsi="Times New Roman" w:eastAsia="仿宋_GB2312" w:cs="Times New Roman"/>
          <w:color w:val="FF0000"/>
          <w:spacing w:val="17"/>
          <w:sz w:val="32"/>
          <w:szCs w:val="32"/>
          <w:highlight w:val="none"/>
          <w:lang w:eastAsia="zh-CN"/>
        </w:rPr>
      </w:pPr>
      <w:r>
        <w:rPr>
          <w:rFonts w:hint="default" w:ascii="Times New Roman" w:hAnsi="Times New Roman" w:eastAsia="仿宋_GB2312" w:cs="Times New Roman"/>
          <w:color w:val="000000"/>
          <w:spacing w:val="17"/>
          <w:sz w:val="32"/>
          <w:szCs w:val="32"/>
          <w:highlight w:val="none"/>
        </w:rPr>
        <w:t>确定各个指标相对于项目总体绩效的权重分值。在绩效评价指标体系中，项目决策权重为20分，项目过程权重为20分，项目产出权重为40分，项目效益权重为20分。</w:t>
      </w:r>
    </w:p>
    <w:p w14:paraId="6FA1C4A1">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（3）确定指标标准值</w:t>
      </w:r>
    </w:p>
    <w:p w14:paraId="7CBC3BBF">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指标标准值是绩效评价指标的尺度，既要反映同类项目的先进水平，又要符合项目的实际绩效水平。具体采用计划标准等确定此次绩效评价指标标准值。</w:t>
      </w:r>
    </w:p>
    <w:p w14:paraId="23FDC03B">
      <w:pPr>
        <w:pStyle w:val="10"/>
        <w:spacing w:before="0" w:after="0" w:line="560" w:lineRule="exact"/>
        <w:ind w:firstLine="708" w:firstLineChars="200"/>
        <w:jc w:val="both"/>
        <w:rPr>
          <w:rFonts w:hint="default" w:ascii="Times New Roman" w:hAnsi="Times New Roman" w:eastAsia="仿宋_GB2312" w:cs="Times New Roman"/>
          <w:b w:val="0"/>
          <w:bCs w:val="0"/>
          <w:color w:val="000000"/>
          <w:spacing w:val="17"/>
          <w:kern w:val="2"/>
          <w:highlight w:val="none"/>
        </w:rPr>
      </w:pPr>
      <w:r>
        <w:rPr>
          <w:rFonts w:hint="default" w:ascii="Times New Roman" w:hAnsi="Times New Roman" w:eastAsia="仿宋_GB2312" w:cs="Times New Roman"/>
          <w:b w:val="0"/>
          <w:bCs w:val="0"/>
          <w:color w:val="000000"/>
          <w:spacing w:val="17"/>
          <w:kern w:val="2"/>
          <w:highlight w:val="none"/>
        </w:rPr>
        <w:t>绩效评价总分值100分，根据综合评分结果，90（含）-100分为优、80（含）-90分为良、60（含）-80分为中、60分以下为差。</w:t>
      </w:r>
    </w:p>
    <w:p w14:paraId="18CE842B">
      <w:pPr>
        <w:pStyle w:val="10"/>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000000"/>
          <w:spacing w:val="17"/>
          <w:highlight w:val="none"/>
        </w:rPr>
      </w:pPr>
      <w:r>
        <w:rPr>
          <w:rFonts w:hint="default" w:ascii="Times New Roman" w:hAnsi="Times New Roman" w:eastAsia="仿宋_GB2312" w:cs="Times New Roman"/>
          <w:b w:val="0"/>
          <w:bCs w:val="0"/>
          <w:color w:val="000000"/>
          <w:spacing w:val="17"/>
          <w:highlight w:val="none"/>
        </w:rPr>
        <w:t>具体评价指标体系详情见附件1</w:t>
      </w:r>
    </w:p>
    <w:p w14:paraId="2C736C5E">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3</w:t>
      </w:r>
      <w:r>
        <w:rPr>
          <w:rFonts w:hint="default" w:ascii="Times New Roman" w:hAnsi="Times New Roman" w:eastAsia="仿宋_GB2312" w:cs="Times New Roman"/>
          <w:b w:val="0"/>
          <w:bCs w:val="0"/>
          <w:highlight w:val="none"/>
          <w:lang w:val="en-US" w:eastAsia="zh-CN"/>
        </w:rPr>
        <w:t>.</w:t>
      </w:r>
      <w:r>
        <w:rPr>
          <w:rFonts w:hint="default" w:ascii="Times New Roman" w:hAnsi="Times New Roman" w:eastAsia="仿宋_GB2312" w:cs="Times New Roman"/>
          <w:b w:val="0"/>
          <w:bCs w:val="0"/>
          <w:highlight w:val="none"/>
        </w:rPr>
        <w:t>绩效评价方法</w:t>
      </w:r>
    </w:p>
    <w:p w14:paraId="4EF86CD3">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绩效评价从项目决策、项目过程、项目产出、项目效益四个维度进行评价。评价对象为项目目标实施情况，评价核心为资金的支出完成情况和项目的产出效益。</w:t>
      </w:r>
    </w:p>
    <w:p w14:paraId="4D549DA7">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本次评价指标中，既有定性指标又有定量指标，各类指标因考核内容不同和客观标准不同存在较大差异，因此核定具体指标时采用了不同方法，具体评价方法如下：</w:t>
      </w:r>
    </w:p>
    <w:p w14:paraId="192B2D6E">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 xml:space="preserve">（一）成本效益分析法。是指将投入与产出、效益进行关联性分析的方法。 </w:t>
      </w:r>
    </w:p>
    <w:p w14:paraId="4440403D">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（二）比较法。是指将实施情况与绩效目标、历史情况、不同部门和地区同类支出情况进行比较的方法。</w:t>
      </w:r>
    </w:p>
    <w:p w14:paraId="6AFCA546">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（三）因素分析法。是指综合分析影响绩效目标实现、实施效果的内外部因素的方法。</w:t>
      </w:r>
    </w:p>
    <w:p w14:paraId="60584C02">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w:t>
      </w:r>
      <w:r>
        <w:rPr>
          <w:rFonts w:hint="eastAsia" w:eastAsia="仿宋_GB2312" w:cs="Times New Roman"/>
          <w:color w:val="000000"/>
          <w:spacing w:val="17"/>
          <w:sz w:val="32"/>
          <w:szCs w:val="32"/>
          <w:highlight w:val="none"/>
          <w:lang w:val="en-US" w:eastAsia="zh-CN"/>
        </w:rPr>
        <w:t>四</w:t>
      </w:r>
      <w:r>
        <w:rPr>
          <w:rFonts w:hint="default" w:ascii="Times New Roman" w:hAnsi="Times New Roman" w:eastAsia="仿宋_GB2312" w:cs="Times New Roman"/>
          <w:color w:val="000000"/>
          <w:spacing w:val="17"/>
          <w:sz w:val="32"/>
          <w:szCs w:val="32"/>
          <w:highlight w:val="none"/>
        </w:rPr>
        <w:t>）公众评判法。是指通过专家评估、公众问卷及抽样调查等方式进行评判的方法。</w:t>
      </w:r>
    </w:p>
    <w:p w14:paraId="57286475">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4</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评价标准</w:t>
      </w:r>
    </w:p>
    <w:p w14:paraId="7355B2F0">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绩效评价标准通常包括计划标准、行业标准、历史标准等，用于对绩效指标完成情况进行比较、分析、评价。本次评价主要采用了</w:t>
      </w:r>
      <w:r>
        <w:rPr>
          <w:rFonts w:hint="default" w:ascii="Times New Roman" w:hAnsi="Times New Roman" w:eastAsia="仿宋_GB2312" w:cs="Times New Roman"/>
          <w:b w:val="0"/>
          <w:bCs w:val="0"/>
          <w:highlight w:val="none"/>
          <w:lang w:val="en-US" w:eastAsia="zh-CN"/>
        </w:rPr>
        <w:t>计划</w:t>
      </w:r>
      <w:r>
        <w:rPr>
          <w:rFonts w:hint="default" w:ascii="Times New Roman" w:hAnsi="Times New Roman" w:eastAsia="仿宋_GB2312" w:cs="Times New Roman"/>
          <w:b w:val="0"/>
          <w:bCs w:val="0"/>
          <w:highlight w:val="none"/>
        </w:rPr>
        <w:t>标准。</w:t>
      </w:r>
    </w:p>
    <w:p w14:paraId="22653DC3">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lang w:val="en-US" w:eastAsia="zh-CN"/>
        </w:rPr>
        <w:t>1</w:t>
      </w:r>
      <w:r>
        <w:rPr>
          <w:rFonts w:hint="default"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rPr>
        <w:t>计划标准。指以预先制定的目标、计划、预算、定额等作为评价标准。</w:t>
      </w:r>
    </w:p>
    <w:p w14:paraId="16A6311D">
      <w:pPr>
        <w:pStyle w:val="10"/>
        <w:numPr>
          <w:ilvl w:val="0"/>
          <w:numId w:val="2"/>
        </w:numPr>
        <w:spacing w:before="0" w:after="0" w:line="560" w:lineRule="exact"/>
        <w:ind w:firstLine="711" w:firstLineChars="200"/>
        <w:jc w:val="both"/>
        <w:rPr>
          <w:rFonts w:hint="default" w:ascii="Times New Roman" w:hAnsi="Times New Roman" w:eastAsia="楷体" w:cs="Times New Roman"/>
          <w:color w:val="000000"/>
          <w:spacing w:val="17"/>
          <w:highlight w:val="none"/>
        </w:rPr>
      </w:pPr>
      <w:r>
        <w:rPr>
          <w:rFonts w:hint="default" w:ascii="Times New Roman" w:hAnsi="Times New Roman" w:eastAsia="楷体" w:cs="Times New Roman"/>
          <w:color w:val="000000"/>
          <w:spacing w:val="17"/>
          <w:highlight w:val="none"/>
        </w:rPr>
        <w:t>绩效评价工作过程</w:t>
      </w:r>
    </w:p>
    <w:p w14:paraId="5C2BE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前期准备与规划</w:t>
      </w:r>
    </w:p>
    <w:p w14:paraId="31FCA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在项目绩效评价工作启动之初，成立了专门的评价工作小组，小组成员由</w:t>
      </w:r>
      <w:r>
        <w:rPr>
          <w:rFonts w:hint="eastAsia" w:eastAsia="仿宋_GB2312" w:cs="Times New Roman"/>
          <w:sz w:val="32"/>
          <w:szCs w:val="32"/>
          <w:highlight w:val="none"/>
          <w:lang w:val="en-US" w:eastAsia="zh-CN"/>
        </w:rPr>
        <w:t>学校主要领导、主要教师代表以及纪检检查人员</w:t>
      </w:r>
      <w:r>
        <w:rPr>
          <w:rFonts w:hint="default" w:ascii="Times New Roman" w:hAnsi="Times New Roman" w:eastAsia="仿宋_GB2312" w:cs="Times New Roman"/>
          <w:sz w:val="32"/>
          <w:szCs w:val="32"/>
          <w:highlight w:val="none"/>
        </w:rPr>
        <w:t>组成，确保从多角度、全方位对项目绩效进行评价。同时，明确了评价工作的目标、范围、重点及时间安排，制定了详细的工作计划，为评价工作的顺利开展奠定了坚实基础。</w:t>
      </w:r>
    </w:p>
    <w:p w14:paraId="3AA1B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）指标体系构建</w:t>
      </w:r>
    </w:p>
    <w:p w14:paraId="42502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000000"/>
          <w:spacing w:val="17"/>
          <w:sz w:val="32"/>
          <w:szCs w:val="32"/>
          <w:highlight w:val="none"/>
        </w:rPr>
        <w:t>项目决策、项目过程、项目产出、项目效益四个维度</w:t>
      </w:r>
      <w:r>
        <w:rPr>
          <w:rFonts w:hint="default" w:ascii="Times New Roman" w:hAnsi="Times New Roman" w:eastAsia="仿宋_GB2312" w:cs="Times New Roman"/>
          <w:sz w:val="32"/>
          <w:szCs w:val="32"/>
          <w:highlight w:val="none"/>
          <w:lang w:eastAsia="zh-CN"/>
        </w:rPr>
        <w:t>，选取了具有代表性和可衡量性的关键指标，并为每个指标设定了明确的评价标准与权重，确保评价结果能够全面、准确地反映项目的绩效状况。</w:t>
      </w:r>
    </w:p>
    <w:p w14:paraId="10D600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）数据收集与整理</w:t>
      </w:r>
    </w:p>
    <w:p w14:paraId="5A220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广泛收集与项目相关的各类数据，包括财务报表、项目文档、业务数据、</w:t>
      </w:r>
      <w:r>
        <w:rPr>
          <w:rFonts w:hint="eastAsia" w:eastAsia="仿宋_GB2312" w:cs="Times New Roman"/>
          <w:sz w:val="32"/>
          <w:szCs w:val="32"/>
          <w:highlight w:val="none"/>
          <w:lang w:val="en-US" w:eastAsia="zh-CN"/>
        </w:rPr>
        <w:t>天山英才教师的</w:t>
      </w:r>
      <w:r>
        <w:rPr>
          <w:rFonts w:hint="default" w:ascii="Times New Roman" w:hAnsi="Times New Roman" w:eastAsia="仿宋_GB2312" w:cs="Times New Roman"/>
          <w:sz w:val="32"/>
          <w:szCs w:val="32"/>
          <w:highlight w:val="none"/>
          <w:lang w:eastAsia="zh-CN"/>
        </w:rPr>
        <w:t>反馈等。在数据收集过程中，注重数据的质量与完整性，对缺失或异常的数据进行了合理的处理和补充。随后，对收集到的数据进行了系统的整理与分类，为后续的数据分析提供了有力支持。</w:t>
      </w:r>
    </w:p>
    <w:p w14:paraId="26461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）数据分析与评估</w:t>
      </w:r>
    </w:p>
    <w:p w14:paraId="51CCA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）报告撰写与反馈</w:t>
      </w:r>
    </w:p>
    <w:p w14:paraId="68B78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）后续跟踪与改进</w:t>
      </w:r>
    </w:p>
    <w:p w14:paraId="5BD08F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pPr>
        <w:numPr>
          <w:ilvl w:val="0"/>
          <w:numId w:val="3"/>
        </w:num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综合评价情况及评价结论（附相关评分表）</w:t>
      </w:r>
    </w:p>
    <w:p w14:paraId="7B419597">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highlight w:val="none"/>
          <w:lang w:val="en-US" w:eastAsia="zh-CN"/>
        </w:rPr>
      </w:pP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一</w:t>
      </w: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评价情况</w:t>
      </w:r>
    </w:p>
    <w:p w14:paraId="7100052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本项目的综合评价基于对项目各方面绩效的深入分析与评估。从项目目标的达成情况来看，</w:t>
      </w:r>
      <w:r>
        <w:rPr>
          <w:rFonts w:hint="default" w:ascii="Times New Roman" w:hAnsi="Times New Roman" w:eastAsia="仿宋_GB2312" w:cs="Times New Roman"/>
          <w:color w:val="auto"/>
          <w:sz w:val="32"/>
          <w:szCs w:val="32"/>
          <w:highlight w:val="none"/>
        </w:rPr>
        <w:t>新疆人才发展基金2024年第一批支持资金</w:t>
      </w:r>
      <w:r>
        <w:rPr>
          <w:rFonts w:hint="default" w:ascii="Times New Roman" w:hAnsi="Times New Roman" w:eastAsia="仿宋_GB2312" w:cs="Times New Roman"/>
          <w:sz w:val="32"/>
          <w:szCs w:val="32"/>
          <w:highlight w:val="none"/>
        </w:rPr>
        <w:t>在</w:t>
      </w:r>
      <w:r>
        <w:rPr>
          <w:rFonts w:hint="eastAsia" w:eastAsia="仿宋_GB2312" w:cs="Times New Roman"/>
          <w:sz w:val="32"/>
          <w:szCs w:val="32"/>
          <w:highlight w:val="none"/>
          <w:lang w:val="en-US" w:eastAsia="zh-CN"/>
        </w:rPr>
        <w:t>支持和符合天山英才教师</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支持和协助教师</w:t>
      </w:r>
      <w:r>
        <w:rPr>
          <w:rFonts w:hint="default" w:ascii="Times New Roman" w:hAnsi="Times New Roman" w:eastAsia="仿宋_GB2312" w:cs="Times New Roman"/>
          <w:sz w:val="32"/>
          <w:szCs w:val="32"/>
          <w:highlight w:val="none"/>
        </w:rPr>
        <w:t>出版相关著作等方面表现出色，达到了预期的标准与要求。同时，项目也在</w:t>
      </w:r>
      <w:r>
        <w:rPr>
          <w:rFonts w:hint="eastAsia" w:eastAsia="仿宋_GB2312" w:cs="Times New Roman"/>
          <w:sz w:val="32"/>
          <w:szCs w:val="32"/>
          <w:highlight w:val="none"/>
          <w:lang w:val="en-US" w:eastAsia="zh-CN"/>
        </w:rPr>
        <w:t>教学科研成果</w:t>
      </w:r>
      <w:r>
        <w:rPr>
          <w:rFonts w:hint="default" w:ascii="Times New Roman" w:hAnsi="Times New Roman" w:eastAsia="仿宋_GB2312" w:cs="Times New Roman"/>
          <w:sz w:val="32"/>
          <w:szCs w:val="32"/>
          <w:highlight w:val="none"/>
        </w:rPr>
        <w:t>取得了显著的成效，如出版论文</w:t>
      </w:r>
      <w:r>
        <w:rPr>
          <w:rFonts w:hint="eastAsia" w:eastAsia="仿宋_GB2312" w:cs="Times New Roman"/>
          <w:sz w:val="32"/>
          <w:szCs w:val="32"/>
          <w:highlight w:val="none"/>
          <w:lang w:val="en-US" w:eastAsia="zh-CN"/>
        </w:rPr>
        <w:t>7篇</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出版著作2本</w:t>
      </w:r>
      <w:r>
        <w:rPr>
          <w:rFonts w:hint="default" w:ascii="Times New Roman" w:hAnsi="Times New Roman" w:eastAsia="仿宋_GB2312" w:cs="Times New Roman"/>
          <w:sz w:val="32"/>
          <w:szCs w:val="32"/>
          <w:highlight w:val="none"/>
        </w:rPr>
        <w:t>等。</w:t>
      </w:r>
    </w:p>
    <w:p w14:paraId="5D343ED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在项目管理方面，</w:t>
      </w:r>
      <w:r>
        <w:rPr>
          <w:rFonts w:hint="eastAsia" w:eastAsia="仿宋_GB2312" w:cs="Times New Roman"/>
          <w:sz w:val="32"/>
          <w:szCs w:val="32"/>
          <w:highlight w:val="none"/>
          <w:lang w:val="en-US" w:eastAsia="zh-CN"/>
        </w:rPr>
        <w:t>乌鲁木齐市第十一中学</w:t>
      </w:r>
      <w:r>
        <w:rPr>
          <w:rFonts w:hint="default" w:ascii="Times New Roman" w:hAnsi="Times New Roman" w:eastAsia="仿宋_GB2312" w:cs="Times New Roman"/>
          <w:sz w:val="32"/>
          <w:szCs w:val="32"/>
          <w:highlight w:val="none"/>
        </w:rPr>
        <w:t>通过有效的规划、组织与协调，项目得以顺利实施，并在预算与时间上保持了良好的控制。</w:t>
      </w:r>
    </w:p>
    <w:p w14:paraId="7AA1D55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从项目效益的角度来看，本项目不仅实现了预期的社会效益等方面产生了积极的影响。具体而言，</w:t>
      </w:r>
      <w:r>
        <w:rPr>
          <w:rFonts w:hint="eastAsia" w:eastAsia="仿宋_GB2312" w:cs="Times New Roman"/>
          <w:sz w:val="32"/>
          <w:szCs w:val="32"/>
          <w:highlight w:val="none"/>
          <w:lang w:val="en-US" w:eastAsia="zh-CN"/>
        </w:rPr>
        <w:t>天山英才工作室名师满意度</w:t>
      </w:r>
      <w:r>
        <w:rPr>
          <w:rFonts w:hint="default" w:ascii="Times New Roman" w:hAnsi="Times New Roman" w:eastAsia="仿宋_GB2312" w:cs="Times New Roman"/>
          <w:sz w:val="32"/>
          <w:szCs w:val="32"/>
          <w:highlight w:val="none"/>
        </w:rPr>
        <w:t>等方面的提升，为项目的利益相关者带来了实实在在的利益。</w:t>
      </w:r>
    </w:p>
    <w:p w14:paraId="6587123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综上所述，新疆人才发展基金2024年第一批支持资金在绩效评价中表现出色，达到了项目的预期目标，并在多个方面取得了显著的成效。</w:t>
      </w:r>
    </w:p>
    <w:p w14:paraId="54598732">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highlight w:val="none"/>
          <w:lang w:val="en-US" w:eastAsia="zh-CN"/>
        </w:rPr>
      </w:pP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二</w:t>
      </w: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评价结论</w:t>
      </w:r>
    </w:p>
    <w:p w14:paraId="0AD22873">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 xml:space="preserve">运用绩效评价组制定的评价指标体系以及财政部《项目支出绩效评价管理办法》（财预〔2020〕10号）文件的评分标准，通过数据采集、问卷调查及访谈等方式，对本项目进行客观评价，最终评分结果：总得分为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 xml:space="preserve">分，属于“优”。其中，项目决策类指标权重为20分，得分为 </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%。项目过程类指标权重为20分，得分为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%。项目产出类指标权重为40分，得分为</w:t>
      </w:r>
      <w:r>
        <w:rPr>
          <w:rFonts w:hint="eastAsia" w:ascii="Times New Roman" w:hAnsi="Times New Roman" w:eastAsia="仿宋_GB2312" w:cs="Times New Roman"/>
          <w:b w:val="0"/>
          <w:bCs w:val="0"/>
          <w:highlight w:val="none"/>
          <w:lang w:val="en-US" w:eastAsia="zh-CN"/>
        </w:rPr>
        <w:t>40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x%。项目效益类指标权重为20分，得分为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%。具体打分情况详见：附件1综合评分表</w:t>
      </w:r>
      <w:r>
        <w:rPr>
          <w:rFonts w:hint="default" w:ascii="Times New Roman" w:hAnsi="Times New Roman" w:eastAsia="仿宋_GB2312" w:cs="Times New Roman"/>
          <w:b w:val="0"/>
          <w:bCs w:val="0"/>
          <w:highlight w:val="none"/>
          <w:lang w:eastAsia="zh-CN"/>
        </w:rPr>
        <w:t>。</w:t>
      </w:r>
    </w:p>
    <w:p w14:paraId="0DA8308E">
      <w:pPr>
        <w:pStyle w:val="10"/>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表1综合评分表</w:t>
      </w:r>
    </w:p>
    <w:tbl>
      <w:tblPr>
        <w:tblStyle w:val="14"/>
        <w:tblW w:w="4998" w:type="pct"/>
        <w:jc w:val="center"/>
        <w:tblLayout w:type="autofit"/>
        <w:tblCellMar>
          <w:top w:w="0" w:type="dxa"/>
          <w:left w:w="108" w:type="dxa"/>
          <w:bottom w:w="0" w:type="dxa"/>
          <w:right w:w="108" w:type="dxa"/>
        </w:tblCellMar>
      </w:tblPr>
      <w:tblGrid>
        <w:gridCol w:w="2787"/>
        <w:gridCol w:w="1927"/>
        <w:gridCol w:w="2023"/>
        <w:gridCol w:w="2023"/>
      </w:tblGrid>
      <w:tr w14:paraId="28F9F1EC">
        <w:tblPrEx>
          <w:tblCellMar>
            <w:top w:w="0" w:type="dxa"/>
            <w:left w:w="108" w:type="dxa"/>
            <w:bottom w:w="0" w:type="dxa"/>
            <w:right w:w="108" w:type="dxa"/>
          </w:tblCellMar>
        </w:tblPrEx>
        <w:trPr>
          <w:trHeight w:val="90" w:hRule="atLeast"/>
          <w:tblHeader/>
          <w:jc w:val="center"/>
        </w:trPr>
        <w:tc>
          <w:tcPr>
            <w:tcW w:w="1590" w:type="pct"/>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3C69E152">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一级指标</w:t>
            </w:r>
          </w:p>
        </w:tc>
        <w:tc>
          <w:tcPr>
            <w:tcW w:w="1099"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2746797">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权重分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5E4DA57">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得分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96F2C81">
            <w:pPr>
              <w:jc w:val="center"/>
              <w:rPr>
                <w:rFonts w:hint="eastAsia" w:ascii="Times New Roman" w:hAnsi="Times New Roman" w:eastAsia="仿宋_GB2312" w:cs="Times New Roman"/>
                <w:b/>
                <w:bCs/>
                <w:color w:val="000000"/>
                <w:sz w:val="21"/>
                <w:szCs w:val="21"/>
                <w:highlight w:val="none"/>
                <w:lang w:val="en-US" w:eastAsia="zh-CN"/>
              </w:rPr>
            </w:pPr>
            <w:r>
              <w:rPr>
                <w:rFonts w:hint="eastAsia" w:eastAsia="仿宋_GB2312" w:cs="Times New Roman"/>
                <w:b/>
                <w:bCs/>
                <w:color w:val="000000"/>
                <w:sz w:val="21"/>
                <w:szCs w:val="21"/>
                <w:highlight w:val="none"/>
                <w:lang w:val="en-US" w:eastAsia="zh-CN"/>
              </w:rPr>
              <w:t>得分率</w:t>
            </w:r>
          </w:p>
        </w:tc>
      </w:tr>
      <w:tr w14:paraId="0F6F05CC">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7ECC2743">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项目决策</w:t>
            </w:r>
          </w:p>
        </w:tc>
        <w:tc>
          <w:tcPr>
            <w:tcW w:w="1099" w:type="pct"/>
            <w:tcBorders>
              <w:top w:val="nil"/>
              <w:left w:val="nil"/>
              <w:bottom w:val="single" w:color="auto" w:sz="4" w:space="0"/>
              <w:right w:val="single" w:color="auto" w:sz="4" w:space="0"/>
            </w:tcBorders>
            <w:shd w:val="clear" w:color="auto" w:fill="auto"/>
            <w:vAlign w:val="center"/>
          </w:tcPr>
          <w:p w14:paraId="2BE7F794">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7BBDC4C6">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4E0E0EDA">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100%</w:t>
            </w:r>
          </w:p>
        </w:tc>
      </w:tr>
      <w:tr w14:paraId="0F91EAEA">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2891ECBD">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项目过程</w:t>
            </w:r>
          </w:p>
        </w:tc>
        <w:tc>
          <w:tcPr>
            <w:tcW w:w="1099" w:type="pct"/>
            <w:tcBorders>
              <w:top w:val="nil"/>
              <w:left w:val="nil"/>
              <w:bottom w:val="single" w:color="auto" w:sz="4" w:space="0"/>
              <w:right w:val="single" w:color="auto" w:sz="4" w:space="0"/>
            </w:tcBorders>
            <w:shd w:val="clear" w:color="auto" w:fill="auto"/>
            <w:vAlign w:val="center"/>
          </w:tcPr>
          <w:p w14:paraId="6671F305">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4F78E977">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286F0E6B">
            <w:pPr>
              <w:jc w:val="center"/>
              <w:rPr>
                <w:rFonts w:hint="default" w:ascii="Times New Roman" w:hAnsi="Times New Roman" w:eastAsia="仿宋_GB2312" w:cs="Times New Roman"/>
                <w:color w:val="000000"/>
                <w:sz w:val="21"/>
                <w:szCs w:val="21"/>
                <w:highlight w:val="none"/>
              </w:rPr>
            </w:pPr>
            <w:r>
              <w:rPr>
                <w:rFonts w:hint="eastAsia" w:eastAsia="仿宋_GB2312" w:cs="Times New Roman"/>
                <w:color w:val="000000"/>
                <w:sz w:val="21"/>
                <w:szCs w:val="21"/>
                <w:highlight w:val="none"/>
                <w:lang w:val="en-US" w:eastAsia="zh-CN"/>
              </w:rPr>
              <w:t>100%</w:t>
            </w:r>
          </w:p>
        </w:tc>
      </w:tr>
      <w:tr w14:paraId="1C5E97E9">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5B6ACF1C">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项目产出</w:t>
            </w:r>
          </w:p>
        </w:tc>
        <w:tc>
          <w:tcPr>
            <w:tcW w:w="1099" w:type="pct"/>
            <w:tcBorders>
              <w:top w:val="nil"/>
              <w:left w:val="nil"/>
              <w:bottom w:val="single" w:color="auto" w:sz="4" w:space="0"/>
              <w:right w:val="single" w:color="auto" w:sz="4" w:space="0"/>
            </w:tcBorders>
            <w:shd w:val="clear" w:color="auto" w:fill="auto"/>
            <w:vAlign w:val="center"/>
          </w:tcPr>
          <w:p w14:paraId="41CBF47B">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40</w:t>
            </w:r>
          </w:p>
        </w:tc>
        <w:tc>
          <w:tcPr>
            <w:tcW w:w="1154" w:type="pct"/>
            <w:tcBorders>
              <w:top w:val="nil"/>
              <w:left w:val="nil"/>
              <w:bottom w:val="single" w:color="auto" w:sz="4" w:space="0"/>
              <w:right w:val="single" w:color="auto" w:sz="4" w:space="0"/>
            </w:tcBorders>
            <w:shd w:val="clear" w:color="auto" w:fill="auto"/>
            <w:vAlign w:val="center"/>
          </w:tcPr>
          <w:p w14:paraId="6F3CC7FC">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40</w:t>
            </w:r>
          </w:p>
        </w:tc>
        <w:tc>
          <w:tcPr>
            <w:tcW w:w="1154" w:type="pct"/>
            <w:tcBorders>
              <w:top w:val="nil"/>
              <w:left w:val="nil"/>
              <w:bottom w:val="single" w:color="auto" w:sz="4" w:space="0"/>
              <w:right w:val="single" w:color="auto" w:sz="4" w:space="0"/>
            </w:tcBorders>
            <w:shd w:val="clear" w:color="auto" w:fill="auto"/>
            <w:vAlign w:val="center"/>
          </w:tcPr>
          <w:p w14:paraId="60AC4EC6">
            <w:pPr>
              <w:jc w:val="center"/>
              <w:rPr>
                <w:rFonts w:hint="default" w:ascii="Times New Roman" w:hAnsi="Times New Roman" w:eastAsia="仿宋_GB2312" w:cs="Times New Roman"/>
                <w:color w:val="000000"/>
                <w:sz w:val="21"/>
                <w:szCs w:val="21"/>
                <w:highlight w:val="none"/>
              </w:rPr>
            </w:pPr>
            <w:r>
              <w:rPr>
                <w:rFonts w:hint="eastAsia" w:eastAsia="仿宋_GB2312" w:cs="Times New Roman"/>
                <w:color w:val="000000"/>
                <w:sz w:val="21"/>
                <w:szCs w:val="21"/>
                <w:highlight w:val="none"/>
                <w:lang w:val="en-US" w:eastAsia="zh-CN"/>
              </w:rPr>
              <w:t>100%</w:t>
            </w:r>
          </w:p>
        </w:tc>
      </w:tr>
      <w:tr w14:paraId="1AF0D2B7">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45C36318">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项目效益</w:t>
            </w:r>
          </w:p>
        </w:tc>
        <w:tc>
          <w:tcPr>
            <w:tcW w:w="1099" w:type="pct"/>
            <w:tcBorders>
              <w:top w:val="nil"/>
              <w:left w:val="nil"/>
              <w:bottom w:val="single" w:color="auto" w:sz="4" w:space="0"/>
              <w:right w:val="single" w:color="auto" w:sz="4" w:space="0"/>
            </w:tcBorders>
            <w:shd w:val="clear" w:color="auto" w:fill="auto"/>
            <w:vAlign w:val="center"/>
          </w:tcPr>
          <w:p w14:paraId="2F0F35F0">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1776DF05">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1F715460">
            <w:pPr>
              <w:jc w:val="center"/>
              <w:rPr>
                <w:rFonts w:hint="default" w:ascii="Times New Roman" w:hAnsi="Times New Roman" w:eastAsia="仿宋_GB2312" w:cs="Times New Roman"/>
                <w:color w:val="000000"/>
                <w:sz w:val="21"/>
                <w:szCs w:val="21"/>
                <w:highlight w:val="none"/>
              </w:rPr>
            </w:pPr>
            <w:r>
              <w:rPr>
                <w:rFonts w:hint="eastAsia" w:eastAsia="仿宋_GB2312" w:cs="Times New Roman"/>
                <w:color w:val="000000"/>
                <w:sz w:val="21"/>
                <w:szCs w:val="21"/>
                <w:highlight w:val="none"/>
                <w:lang w:val="en-US" w:eastAsia="zh-CN"/>
              </w:rPr>
              <w:t>100%</w:t>
            </w:r>
          </w:p>
        </w:tc>
      </w:tr>
      <w:tr w14:paraId="1E117260">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334A823A">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合计</w:t>
            </w:r>
          </w:p>
        </w:tc>
        <w:tc>
          <w:tcPr>
            <w:tcW w:w="1099" w:type="pct"/>
            <w:tcBorders>
              <w:top w:val="nil"/>
              <w:left w:val="nil"/>
              <w:bottom w:val="single" w:color="auto" w:sz="4" w:space="0"/>
              <w:right w:val="single" w:color="auto" w:sz="4" w:space="0"/>
            </w:tcBorders>
            <w:shd w:val="clear" w:color="auto" w:fill="auto"/>
            <w:vAlign w:val="center"/>
          </w:tcPr>
          <w:p w14:paraId="672AFE79">
            <w:pPr>
              <w:jc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仿宋_GB2312" w:cs="Times New Roman"/>
                <w:b/>
                <w:bCs/>
                <w:color w:val="000000"/>
                <w:sz w:val="21"/>
                <w:szCs w:val="21"/>
                <w:highlight w:val="none"/>
                <w:lang w:val="en-US" w:eastAsia="zh-CN"/>
              </w:rPr>
              <w:t>100</w:t>
            </w:r>
          </w:p>
        </w:tc>
        <w:tc>
          <w:tcPr>
            <w:tcW w:w="1154" w:type="pct"/>
            <w:tcBorders>
              <w:top w:val="nil"/>
              <w:left w:val="nil"/>
              <w:bottom w:val="single" w:color="auto" w:sz="4" w:space="0"/>
              <w:right w:val="single" w:color="auto" w:sz="4" w:space="0"/>
            </w:tcBorders>
            <w:shd w:val="clear" w:color="auto" w:fill="auto"/>
            <w:vAlign w:val="center"/>
          </w:tcPr>
          <w:p w14:paraId="49441720">
            <w:pPr>
              <w:jc w:val="center"/>
              <w:rPr>
                <w:rFonts w:hint="default" w:ascii="Times New Roman" w:hAnsi="Times New Roman" w:eastAsia="仿宋_GB2312" w:cs="Times New Roman"/>
                <w:b/>
                <w:bCs/>
                <w:color w:val="000000"/>
                <w:sz w:val="21"/>
                <w:szCs w:val="21"/>
                <w:highlight w:val="none"/>
                <w:lang w:val="en-US" w:eastAsia="zh-CN"/>
              </w:rPr>
            </w:pPr>
            <w:r>
              <w:rPr>
                <w:rFonts w:hint="eastAsia" w:eastAsia="仿宋_GB2312" w:cs="Times New Roman"/>
                <w:b/>
                <w:bCs/>
                <w:color w:val="000000"/>
                <w:sz w:val="21"/>
                <w:szCs w:val="21"/>
                <w:highlight w:val="none"/>
                <w:lang w:val="en-US" w:eastAsia="zh-CN"/>
              </w:rPr>
              <w:t>100</w:t>
            </w:r>
          </w:p>
        </w:tc>
        <w:tc>
          <w:tcPr>
            <w:tcW w:w="1154" w:type="pct"/>
            <w:tcBorders>
              <w:top w:val="nil"/>
              <w:left w:val="nil"/>
              <w:bottom w:val="single" w:color="auto" w:sz="4" w:space="0"/>
              <w:right w:val="single" w:color="auto" w:sz="4" w:space="0"/>
            </w:tcBorders>
            <w:shd w:val="clear" w:color="auto" w:fill="auto"/>
            <w:vAlign w:val="center"/>
          </w:tcPr>
          <w:p w14:paraId="69B1C941">
            <w:pPr>
              <w:jc w:val="center"/>
              <w:rPr>
                <w:rFonts w:hint="default" w:ascii="Times New Roman" w:hAnsi="Times New Roman" w:eastAsia="仿宋_GB2312" w:cs="Times New Roman"/>
                <w:b/>
                <w:bCs/>
                <w:color w:val="000000"/>
                <w:sz w:val="21"/>
                <w:szCs w:val="21"/>
                <w:highlight w:val="none"/>
              </w:rPr>
            </w:pPr>
            <w:r>
              <w:rPr>
                <w:rFonts w:hint="eastAsia" w:eastAsia="仿宋_GB2312" w:cs="Times New Roman"/>
                <w:color w:val="000000"/>
                <w:sz w:val="21"/>
                <w:szCs w:val="21"/>
                <w:highlight w:val="none"/>
                <w:lang w:val="en-US" w:eastAsia="zh-CN"/>
              </w:rPr>
              <w:t>100%</w:t>
            </w:r>
          </w:p>
        </w:tc>
      </w:tr>
    </w:tbl>
    <w:p w14:paraId="70F62D1C">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四、绩效评价指标分析</w:t>
      </w:r>
    </w:p>
    <w:p w14:paraId="50E41E5C">
      <w:pPr>
        <w:pStyle w:val="10"/>
        <w:spacing w:before="0" w:after="0" w:line="560" w:lineRule="exact"/>
        <w:ind w:firstLine="643" w:firstLineChars="200"/>
        <w:jc w:val="both"/>
        <w:rPr>
          <w:rFonts w:hint="default" w:ascii="Times New Roman" w:hAnsi="Times New Roman" w:eastAsia="楷体_GB2312" w:cs="Times New Roman"/>
          <w:highlight w:val="none"/>
        </w:rPr>
      </w:pPr>
      <w:r>
        <w:rPr>
          <w:rFonts w:hint="default" w:ascii="Times New Roman" w:hAnsi="Times New Roman" w:eastAsia="楷体_GB2312" w:cs="Times New Roman"/>
          <w:highlight w:val="none"/>
        </w:rPr>
        <w:t>（一）项目决策情况</w:t>
      </w:r>
    </w:p>
    <w:p w14:paraId="587CC5E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0D3B82D2">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1.项目立项</w:t>
      </w:r>
    </w:p>
    <w:p w14:paraId="546A8D9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（1）立项依据充分性</w:t>
      </w:r>
    </w:p>
    <w:p w14:paraId="497764CA">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（2）立项程序规范性</w:t>
      </w:r>
    </w:p>
    <w:p w14:paraId="6F9EC0D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项目申请、设立过程符合相关要求，</w:t>
      </w:r>
      <w:r>
        <w:rPr>
          <w:rFonts w:hint="default" w:ascii="Times New Roman" w:hAnsi="Times New Roman" w:eastAsia="仿宋_GB2312" w:cs="Times New Roman"/>
          <w:sz w:val="32"/>
          <w:szCs w:val="32"/>
          <w:highlight w:val="none"/>
          <w:lang w:eastAsia="zh-Hans"/>
        </w:rPr>
        <w:t>严格按照审批流程准备符合要求的文件、材料；</w:t>
      </w:r>
      <w:r>
        <w:rPr>
          <w:rFonts w:hint="default" w:ascii="Times New Roman" w:hAnsi="Times New Roman" w:eastAsia="仿宋_GB2312" w:cs="Times New Roman"/>
          <w:sz w:val="32"/>
          <w:szCs w:val="32"/>
          <w:highlight w:val="none"/>
          <w:lang w:val="en-US" w:eastAsia="zh-CN"/>
        </w:rPr>
        <w:t>根据决算依据编制工作计划和经费预算，经过与部门项目分管领导沟通、筛选确定经费预算计划，确定最终预算方案。项目的审批文件、材料符合相关要求，项目事前经过必要的绩效评估、集体决策，保障了程序的规范性。</w:t>
      </w:r>
    </w:p>
    <w:p w14:paraId="5A9CF6C0">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2.绩效目标</w:t>
      </w:r>
    </w:p>
    <w:p w14:paraId="7050F070">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（1）绩效目标合理性</w:t>
      </w:r>
    </w:p>
    <w:p w14:paraId="1B562BB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Hans"/>
        </w:rPr>
        <w:t>年初结合实际工作内容</w:t>
      </w:r>
      <w:r>
        <w:rPr>
          <w:rFonts w:hint="default" w:ascii="Times New Roman" w:hAnsi="Times New Roman" w:eastAsia="仿宋_GB2312" w:cs="Times New Roman"/>
          <w:sz w:val="32"/>
          <w:szCs w:val="32"/>
          <w:highlight w:val="none"/>
          <w:lang w:val="en-US" w:eastAsia="zh-CN"/>
        </w:rPr>
        <w:t>设定绩效目标</w:t>
      </w:r>
      <w:r>
        <w:rPr>
          <w:rFonts w:hint="default" w:ascii="Times New Roman" w:hAnsi="Times New Roman" w:eastAsia="仿宋_GB2312" w:cs="Times New Roman"/>
          <w:sz w:val="32"/>
          <w:szCs w:val="32"/>
          <w:highlight w:val="none"/>
          <w:lang w:val="en-US" w:eastAsia="zh-Hans"/>
        </w:rPr>
        <w:t>，绩效目标</w:t>
      </w:r>
      <w:r>
        <w:rPr>
          <w:rFonts w:hint="default" w:ascii="Times New Roman" w:hAnsi="Times New Roman" w:eastAsia="仿宋_GB2312" w:cs="Times New Roman"/>
          <w:sz w:val="32"/>
          <w:szCs w:val="32"/>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88B39CA">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（2）绩效指标明确性</w:t>
      </w:r>
    </w:p>
    <w:p w14:paraId="71062036">
      <w:pPr>
        <w:shd w:val="clear"/>
        <w:spacing w:line="600" w:lineRule="exact"/>
        <w:ind w:firstLine="640" w:firstLineChars="200"/>
        <w:outlineLvl w:val="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项目设置了明确的预期产出效益和效果，将绩效目标细化分解为具体的绩效指标</w:t>
      </w:r>
      <w:r>
        <w:rPr>
          <w:rFonts w:hint="eastAsia" w:eastAsia="仿宋_GB2312" w:cs="Times New Roman"/>
          <w:sz w:val="32"/>
          <w:szCs w:val="32"/>
          <w:highlight w:val="none"/>
          <w:lang w:val="en-US" w:eastAsia="zh-CN"/>
        </w:rPr>
        <w:t>：</w:t>
      </w:r>
    </w:p>
    <w:p w14:paraId="691C11C5">
      <w:pPr>
        <w:shd w:val="clear"/>
        <w:spacing w:line="600" w:lineRule="exact"/>
        <w:ind w:firstLine="640" w:firstLineChars="200"/>
        <w:outlineLvl w:val="0"/>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1、数量指标：天山英才培养人才，年度指标值&gt;=1人；出版相关著作，年度指标值&gt;=2本；发表论文，年度指标值&gt;=7篇。</w:t>
      </w:r>
    </w:p>
    <w:p w14:paraId="2F582E35">
      <w:pPr>
        <w:shd w:val="clear"/>
        <w:spacing w:line="600" w:lineRule="exact"/>
        <w:ind w:firstLine="640" w:firstLineChars="200"/>
        <w:outlineLvl w:val="0"/>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2、质量指标：名师绩效考核合格率，年度指标值&gt;=95%；</w:t>
      </w:r>
    </w:p>
    <w:p w14:paraId="597B11B7">
      <w:pPr>
        <w:shd w:val="clear"/>
        <w:spacing w:line="600" w:lineRule="exact"/>
        <w:ind w:firstLine="640" w:firstLineChars="200"/>
        <w:outlineLvl w:val="0"/>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3、时效指标：资金付款及时率，年度指标值&gt;=95%；</w:t>
      </w:r>
    </w:p>
    <w:p w14:paraId="5D6380BA">
      <w:pPr>
        <w:shd w:val="clear"/>
        <w:spacing w:line="600" w:lineRule="exact"/>
        <w:ind w:firstLine="640" w:firstLineChars="200"/>
        <w:outlineLvl w:val="0"/>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4、经济成本指标：天山英才名师人选补助标准，年度指标值&lt;=9万元/人；出版论文成本，年度指标值&lt;=14万元；发表论文相关成本，年度指标值&lt;=5万元</w:t>
      </w:r>
    </w:p>
    <w:p w14:paraId="1462000A">
      <w:pPr>
        <w:shd w:val="clear"/>
        <w:spacing w:line="600" w:lineRule="exact"/>
        <w:ind w:firstLine="640" w:firstLineChars="200"/>
        <w:outlineLvl w:val="0"/>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5、社会效益指标：提高教育教学名师引领作用，年度指标值有效提高</w:t>
      </w:r>
    </w:p>
    <w:p w14:paraId="4BD4A126">
      <w:pPr>
        <w:shd w:val="clear"/>
        <w:spacing w:line="600" w:lineRule="exact"/>
        <w:ind w:firstLine="640" w:firstLineChars="200"/>
        <w:outlineLvl w:val="0"/>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6、满意度指标：天山英才工作室名师满意度， 年度指标值&gt;=90%</w:t>
      </w:r>
    </w:p>
    <w:p w14:paraId="5B123CD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绩效目标与项目目标任务数相对应，绩效目标设定的绩效指标清晰、细化、可衡量。</w:t>
      </w:r>
    </w:p>
    <w:p w14:paraId="33A11470">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3.资金投入</w:t>
      </w:r>
    </w:p>
    <w:p w14:paraId="1C019F43">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（1）预算编制科学性</w:t>
      </w:r>
    </w:p>
    <w:p w14:paraId="626E1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在预算编制过程中，</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（2）资金分配合理性</w:t>
      </w:r>
    </w:p>
    <w:p w14:paraId="09A0F4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pPr>
        <w:pStyle w:val="10"/>
        <w:numPr>
          <w:ilvl w:val="0"/>
          <w:numId w:val="4"/>
        </w:numPr>
        <w:spacing w:before="0" w:after="0" w:line="560" w:lineRule="exact"/>
        <w:ind w:left="-13" w:leftChars="0" w:firstLine="643" w:firstLineChars="0"/>
        <w:jc w:val="both"/>
        <w:rPr>
          <w:rFonts w:hint="default" w:ascii="Times New Roman" w:hAnsi="Times New Roman" w:eastAsia="楷体" w:cs="Times New Roman"/>
          <w:highlight w:val="none"/>
        </w:rPr>
      </w:pPr>
      <w:r>
        <w:rPr>
          <w:rFonts w:hint="default" w:ascii="Times New Roman" w:hAnsi="Times New Roman" w:eastAsia="楷体" w:cs="Times New Roman"/>
          <w:highlight w:val="none"/>
        </w:rPr>
        <w:t>项目过程情况</w:t>
      </w:r>
    </w:p>
    <w:p w14:paraId="217CF8C0">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项目过程类指标包括资金管理和组织实施两方面的内容，由5个三级指标构成，权重分值为20分，实际得分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348574CD">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1.资金管理</w:t>
      </w:r>
    </w:p>
    <w:p w14:paraId="290DB0E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（1）资金到位率</w:t>
      </w:r>
    </w:p>
    <w:p w14:paraId="7BEFCB0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本项目总投资28万元，2024年7月份支付个人补助资金9万元、8月支付发表论文经费5万元以及11月支付出版经费14万元，共计28万元的财政资金及时足额到位，到位率100%，预算资金按计划进度执行。</w:t>
      </w:r>
    </w:p>
    <w:p w14:paraId="2DFB907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（2）预算执行率</w:t>
      </w:r>
    </w:p>
    <w:p w14:paraId="79A1A39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预算编制较为详细，项目资金支出总体能够按照预算执行，预算资金支出28万元，预算执行率为100%。2024年7月份支付个人补助资金9万元、8月支付发表论文经费5万元以及11月支付出版经费14万元，共计28万元。</w:t>
      </w:r>
    </w:p>
    <w:p w14:paraId="68A681F4">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（3）资金使用合规性</w:t>
      </w:r>
    </w:p>
    <w:p w14:paraId="7F3A7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718A7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A02A652">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2.组织实施</w:t>
      </w:r>
    </w:p>
    <w:p w14:paraId="2644966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（1）管理制度健全性</w:t>
      </w:r>
    </w:p>
    <w:p w14:paraId="60CF81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在制度设计上，我们注重了制度的科学性与可操作性，确保制度能够切实指导项目的执行与管理。</w:t>
      </w:r>
    </w:p>
    <w:p w14:paraId="7AB0C4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（2）制度执行有效性</w:t>
      </w:r>
    </w:p>
    <w:p w14:paraId="3C68E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lang w:eastAsia="zh-CN"/>
        </w:rPr>
        <w:t>重视制度执行的重要性，通过明确责任分工、制定详细执行计划、加强监督考核等措施，确保了各项管理制度能够得到有效执行。</w:t>
      </w:r>
    </w:p>
    <w:p w14:paraId="336D5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综上所述，本项目的管理制度在执行过程中表现出了高度的有效性，既确保了项目的顺利进行，又实现了项目目标的有效达成。</w:t>
      </w:r>
    </w:p>
    <w:p w14:paraId="76389D37">
      <w:pPr>
        <w:pStyle w:val="12"/>
        <w:numPr>
          <w:ilvl w:val="0"/>
          <w:numId w:val="4"/>
        </w:numPr>
        <w:spacing w:line="560" w:lineRule="exact"/>
        <w:ind w:left="-13" w:leftChars="0" w:firstLine="643" w:firstLineChars="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项目产出</w:t>
      </w:r>
      <w:r>
        <w:rPr>
          <w:rFonts w:hint="default" w:ascii="Times New Roman" w:hAnsi="Times New Roman" w:eastAsia="楷体_GB2312" w:cs="Times New Roman"/>
          <w:b/>
          <w:bCs/>
          <w:sz w:val="32"/>
          <w:szCs w:val="32"/>
          <w:highlight w:val="none"/>
          <w:lang w:val="en-US" w:eastAsia="zh-CN"/>
        </w:rPr>
        <w:t>情况</w:t>
      </w:r>
    </w:p>
    <w:p w14:paraId="10DDFCB0">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项目产出类指标包括产出数量、产出质量、产出时效、产出成本四方面的内容，由</w:t>
      </w:r>
      <w:r>
        <w:rPr>
          <w:rFonts w:hint="eastAsia"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个三级指标构成，权重分为40分，实际得分</w:t>
      </w:r>
      <w:r>
        <w:rPr>
          <w:rFonts w:hint="eastAsia"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%。具体产出指标完成情况如下：</w:t>
      </w:r>
    </w:p>
    <w:p w14:paraId="29958EE4">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1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①</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数量指标：</w:t>
      </w:r>
    </w:p>
    <w:p w14:paraId="76ECD6A0">
      <w:pPr>
        <w:shd w:val="clear"/>
        <w:spacing w:line="600" w:lineRule="exact"/>
        <w:ind w:firstLine="640" w:firstLineChars="200"/>
        <w:outlineLvl w:val="0"/>
        <w:rPr>
          <w:rFonts w:hint="default" w:ascii="Times New Roman" w:hAnsi="Times New Roman" w:cs="Times New Roman"/>
          <w:highlight w:val="none"/>
          <w:lang w:val="en-US"/>
        </w:rPr>
      </w:pPr>
      <w:r>
        <w:rPr>
          <w:rFonts w:hint="default" w:ascii="Times New Roman" w:hAnsi="Times New Roman" w:eastAsia="仿宋_GB2312" w:cs="Times New Roman"/>
          <w:sz w:val="32"/>
          <w:szCs w:val="32"/>
          <w:highlight w:val="none"/>
        </w:rPr>
        <w:t>指标1：天山英才培养人才 ，指标值：</w:t>
      </w:r>
      <w:r>
        <w:rPr>
          <w:rFonts w:hint="eastAsia" w:eastAsia="仿宋_GB2312" w:cs="Times New Roman"/>
          <w:sz w:val="32"/>
          <w:szCs w:val="32"/>
          <w:highlight w:val="none"/>
          <w:lang w:val="en-US" w:eastAsia="zh-CN"/>
        </w:rPr>
        <w:t>大于等于</w:t>
      </w:r>
      <w:r>
        <w:rPr>
          <w:rFonts w:hint="default" w:ascii="Times New Roman" w:hAnsi="Times New Roman" w:eastAsia="仿宋_GB2312" w:cs="Times New Roman"/>
          <w:sz w:val="32"/>
          <w:szCs w:val="32"/>
          <w:highlight w:val="none"/>
        </w:rPr>
        <w:t>1人 ，实际完成值：</w:t>
      </w:r>
      <w:r>
        <w:rPr>
          <w:rFonts w:hint="eastAsia" w:eastAsia="仿宋_GB2312" w:cs="Times New Roman"/>
          <w:sz w:val="32"/>
          <w:szCs w:val="32"/>
          <w:highlight w:val="none"/>
          <w:lang w:val="en-US" w:eastAsia="zh-CN"/>
        </w:rPr>
        <w:t>等于1人</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无偏差</w:t>
      </w:r>
      <w:r>
        <w:rPr>
          <w:rFonts w:hint="default" w:ascii="Times New Roman" w:hAnsi="Times New Roman" w:eastAsia="仿宋_GB2312" w:cs="Times New Roman"/>
          <w:sz w:val="32"/>
          <w:szCs w:val="32"/>
          <w:highlight w:val="none"/>
          <w:lang w:eastAsia="zh-CN"/>
        </w:rPr>
        <w:t>。本校</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名教师获得了天山英才教育教学名师的称号，并获得相关的补助</w:t>
      </w:r>
      <w:r>
        <w:rPr>
          <w:rFonts w:hint="eastAsia" w:eastAsia="仿宋_GB2312" w:cs="Times New Roman"/>
          <w:sz w:val="32"/>
          <w:szCs w:val="32"/>
          <w:highlight w:val="none"/>
          <w:lang w:val="en-US" w:eastAsia="zh-CN"/>
        </w:rPr>
        <w:t>.</w:t>
      </w:r>
    </w:p>
    <w:p w14:paraId="0F601A9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：出版相关著作，指标值：</w:t>
      </w:r>
      <w:r>
        <w:rPr>
          <w:rFonts w:hint="eastAsia" w:eastAsia="仿宋_GB2312" w:cs="Times New Roman"/>
          <w:sz w:val="32"/>
          <w:szCs w:val="32"/>
          <w:highlight w:val="none"/>
          <w:lang w:val="en-US" w:eastAsia="zh-CN"/>
        </w:rPr>
        <w:t>大于等于2</w:t>
      </w:r>
      <w:r>
        <w:rPr>
          <w:rFonts w:hint="default" w:ascii="Times New Roman" w:hAnsi="Times New Roman" w:eastAsia="仿宋_GB2312" w:cs="Times New Roman"/>
          <w:sz w:val="32"/>
          <w:szCs w:val="32"/>
          <w:highlight w:val="none"/>
          <w:lang w:val="en-US" w:eastAsia="zh-CN"/>
        </w:rPr>
        <w:t>本，实际完成值：</w:t>
      </w:r>
      <w:r>
        <w:rPr>
          <w:rFonts w:hint="eastAsia" w:eastAsia="仿宋_GB2312" w:cs="Times New Roman"/>
          <w:sz w:val="32"/>
          <w:szCs w:val="32"/>
          <w:highlight w:val="none"/>
          <w:lang w:val="en-US" w:eastAsia="zh-CN"/>
        </w:rPr>
        <w:t>2本</w:t>
      </w:r>
      <w:r>
        <w:rPr>
          <w:rFonts w:hint="default" w:ascii="Times New Roman" w:hAnsi="Times New Roman" w:eastAsia="仿宋_GB2312" w:cs="Times New Roman"/>
          <w:sz w:val="32"/>
          <w:szCs w:val="32"/>
          <w:highlight w:val="none"/>
          <w:lang w:val="en-US" w:eastAsia="zh-CN"/>
        </w:rPr>
        <w:t xml:space="preserve"> ，指标完成率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 xml:space="preserve"> %，偏差原因：</w:t>
      </w:r>
      <w:r>
        <w:rPr>
          <w:rFonts w:hint="eastAsia" w:eastAsia="仿宋_GB2312" w:cs="Times New Roman"/>
          <w:sz w:val="32"/>
          <w:szCs w:val="32"/>
          <w:highlight w:val="none"/>
          <w:lang w:val="en-US" w:eastAsia="zh-CN"/>
        </w:rPr>
        <w:t>无偏差</w:t>
      </w:r>
      <w:r>
        <w:rPr>
          <w:rFonts w:hint="default" w:ascii="Times New Roman" w:hAnsi="Times New Roman" w:eastAsia="仿宋_GB2312" w:cs="Times New Roman"/>
          <w:sz w:val="32"/>
          <w:szCs w:val="32"/>
          <w:highlight w:val="none"/>
          <w:lang w:val="en-US" w:eastAsia="zh-CN"/>
        </w:rPr>
        <w:t>。我校优秀教师在吉林教育出版社出版相关著作2本</w:t>
      </w:r>
      <w:r>
        <w:rPr>
          <w:rFonts w:hint="eastAsia" w:eastAsia="仿宋_GB2312" w:cs="Times New Roman"/>
          <w:sz w:val="32"/>
          <w:szCs w:val="32"/>
          <w:highlight w:val="none"/>
          <w:lang w:val="en-US" w:eastAsia="zh-CN"/>
        </w:rPr>
        <w:t>。</w:t>
      </w:r>
    </w:p>
    <w:p w14:paraId="37F179E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指标</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：发表论文</w:t>
      </w:r>
      <w:r>
        <w:rPr>
          <w:rFonts w:hint="eastAsia" w:eastAsia="仿宋_GB2312" w:cs="Times New Roman"/>
          <w:sz w:val="32"/>
          <w:szCs w:val="32"/>
          <w:highlight w:val="none"/>
          <w:lang w:val="en-US" w:eastAsia="zh-CN"/>
        </w:rPr>
        <w:t>数量</w:t>
      </w:r>
      <w:r>
        <w:rPr>
          <w:rFonts w:hint="default" w:ascii="Times New Roman" w:hAnsi="Times New Roman" w:eastAsia="仿宋_GB2312" w:cs="Times New Roman"/>
          <w:sz w:val="32"/>
          <w:szCs w:val="32"/>
          <w:highlight w:val="none"/>
          <w:lang w:val="en-US" w:eastAsia="zh-CN"/>
        </w:rPr>
        <w:t>，指标值：大于等于7篇，实际完成值：7篇 ，指标完成率100 %，偏差原因：无偏差。我校教师在《理科爱好者》等著名教育专刊发表了7篇初中物理教学论文</w:t>
      </w:r>
      <w:r>
        <w:rPr>
          <w:rFonts w:hint="eastAsia" w:eastAsia="仿宋_GB2312" w:cs="Times New Roman"/>
          <w:sz w:val="32"/>
          <w:szCs w:val="32"/>
          <w:highlight w:val="none"/>
          <w:lang w:val="en-US" w:eastAsia="zh-CN"/>
        </w:rPr>
        <w:t>。</w:t>
      </w:r>
    </w:p>
    <w:p w14:paraId="1694FCFB">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2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②</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质量指标：</w:t>
      </w:r>
    </w:p>
    <w:p w14:paraId="589CAB1E">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指标</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：名师绩效考核合格率，指标值：大于等于95%，实际完成值：95% ，指标完成率100 %，偏差原因：无偏差。我校天山英才教师获得了自治区教育厅审核通过，绩效考核合格率为100%</w:t>
      </w:r>
      <w:r>
        <w:rPr>
          <w:rFonts w:hint="eastAsia" w:eastAsia="仿宋_GB2312" w:cs="Times New Roman"/>
          <w:sz w:val="32"/>
          <w:szCs w:val="32"/>
          <w:highlight w:val="none"/>
          <w:lang w:val="en-US" w:eastAsia="zh-CN"/>
        </w:rPr>
        <w:t>。</w:t>
      </w:r>
    </w:p>
    <w:p w14:paraId="31FEA19F">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3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③</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时效指标：</w:t>
      </w:r>
    </w:p>
    <w:p w14:paraId="2710E2A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指标</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：资金付款及时率，指标值：大于等于95%，实际完成值：95% ，指标完成率100 %，偏差原因：无偏差。我校及时向区财政申请相关专项资金，国库批复后，当天对各个款项进行了支付，资金付款及时率为100%</w:t>
      </w:r>
      <w:r>
        <w:rPr>
          <w:rFonts w:hint="eastAsia" w:eastAsia="仿宋_GB2312" w:cs="Times New Roman"/>
          <w:sz w:val="32"/>
          <w:szCs w:val="32"/>
          <w:highlight w:val="none"/>
          <w:lang w:val="en-US" w:eastAsia="zh-CN"/>
        </w:rPr>
        <w:t>。</w:t>
      </w:r>
    </w:p>
    <w:p w14:paraId="64355250">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4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④</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成本指标：</w:t>
      </w:r>
    </w:p>
    <w:p w14:paraId="218248B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指标</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天山英才名师人选补助标准，指标值：小于等于9万元，实际完成值：9万元/人，指标完成率100 %，偏差原因：无偏差。根据自治区教育厅新教函【2023】470号文件要求，2024年7月份向我校优秀教师发放了个人补助经费9万元</w:t>
      </w:r>
    </w:p>
    <w:p w14:paraId="03017E7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：出版论文成本，指标值：小于等于14万元，实际完成值：14万元，指标完成率100 %，偏差原因：无偏差。024年11月份支付吉林教育出版社出版教学论文2本</w:t>
      </w:r>
      <w:r>
        <w:rPr>
          <w:rFonts w:hint="eastAsia" w:eastAsia="仿宋_GB2312" w:cs="Times New Roman"/>
          <w:sz w:val="32"/>
          <w:szCs w:val="32"/>
          <w:highlight w:val="none"/>
          <w:lang w:val="en-US" w:eastAsia="zh-CN"/>
        </w:rPr>
        <w:t>，共计支出14万元。</w:t>
      </w:r>
    </w:p>
    <w:p w14:paraId="5B38B47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指标</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：发表论文相关成本，指标值：小于等于5万元，实际完成值：5万元，指标完成率100 %，偏差原因：无偏差。2024年11月份支付论文2次，共计3万元。开展新疆人才发展基金讲座2万元，共计5万元</w:t>
      </w:r>
      <w:r>
        <w:rPr>
          <w:rFonts w:hint="eastAsia" w:eastAsia="仿宋_GB2312" w:cs="Times New Roman"/>
          <w:sz w:val="32"/>
          <w:szCs w:val="32"/>
          <w:highlight w:val="none"/>
          <w:lang w:val="en-US" w:eastAsia="zh-CN"/>
        </w:rPr>
        <w:t>。</w:t>
      </w:r>
    </w:p>
    <w:p w14:paraId="030F6C36">
      <w:pPr>
        <w:pStyle w:val="12"/>
        <w:numPr>
          <w:ilvl w:val="0"/>
          <w:numId w:val="4"/>
        </w:numPr>
        <w:spacing w:line="560" w:lineRule="exact"/>
        <w:ind w:left="-13" w:leftChars="0" w:firstLine="643" w:firstLineChars="0"/>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项目效益情况</w:t>
      </w:r>
    </w:p>
    <w:p w14:paraId="1F3F1CD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项目效益类指标包括项目实施效益和满意度两方面的内容，由</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个三级指标构成，权重分为20分，实际得分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%。具体效益指标及满意度指标完成情况如下：</w:t>
      </w:r>
    </w:p>
    <w:p w14:paraId="537DBCA3">
      <w:pPr>
        <w:shd w:val="clear"/>
        <w:spacing w:line="600" w:lineRule="exact"/>
        <w:ind w:firstLine="640" w:firstLineChars="200"/>
        <w:outlineLvl w:val="0"/>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1.实施效益</w:t>
      </w:r>
    </w:p>
    <w:p w14:paraId="1AC459B2">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①</w:t>
      </w:r>
      <w:r>
        <w:rPr>
          <w:rFonts w:hint="default" w:ascii="Times New Roman" w:hAnsi="Times New Roman" w:eastAsia="仿宋_GB2312" w:cs="Times New Roman"/>
          <w:sz w:val="32"/>
          <w:szCs w:val="32"/>
          <w:highlight w:val="none"/>
        </w:rPr>
        <w:t>经济效益指标：</w:t>
      </w:r>
    </w:p>
    <w:p w14:paraId="7DAD0506">
      <w:pPr>
        <w:shd w:val="clear"/>
        <w:spacing w:line="600" w:lineRule="exact"/>
        <w:ind w:firstLine="640" w:firstLineChars="200"/>
        <w:outlineLvl w:val="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2024年该项目不涉及此条指标</w:t>
      </w:r>
      <w:r>
        <w:rPr>
          <w:rFonts w:hint="eastAsia" w:eastAsia="仿宋_GB2312" w:cs="Times New Roman"/>
          <w:sz w:val="32"/>
          <w:szCs w:val="32"/>
          <w:highlight w:val="none"/>
          <w:lang w:val="en-US" w:eastAsia="zh-CN"/>
        </w:rPr>
        <w:t>。</w:t>
      </w:r>
    </w:p>
    <w:p w14:paraId="7AE7C806">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2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②</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社会效益指标：</w:t>
      </w:r>
    </w:p>
    <w:p w14:paraId="4A75B42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指标</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：提高教育教学名师引领作用，指标值：有效提高，实际完成值：</w:t>
      </w:r>
      <w:r>
        <w:rPr>
          <w:rFonts w:hint="eastAsia" w:eastAsia="仿宋_GB2312" w:cs="Times New Roman"/>
          <w:sz w:val="32"/>
          <w:szCs w:val="32"/>
          <w:highlight w:val="none"/>
          <w:lang w:val="en-US" w:eastAsia="zh-CN"/>
        </w:rPr>
        <w:t>完全达到预期</w:t>
      </w:r>
      <w:r>
        <w:rPr>
          <w:rFonts w:hint="default" w:ascii="Times New Roman" w:hAnsi="Times New Roman" w:eastAsia="仿宋_GB2312" w:cs="Times New Roman"/>
          <w:sz w:val="32"/>
          <w:szCs w:val="32"/>
          <w:highlight w:val="none"/>
          <w:lang w:val="en-US" w:eastAsia="zh-CN"/>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 xml:space="preserve"> %，偏差原因：无偏差。通过项目的实施支持老师继续提供开展教育科研活动，支持老师发表了论文和出版了著作，实现了我校优秀人才的表率作用，提高了我校的教学质量以及学生的学习积极性</w:t>
      </w:r>
      <w:r>
        <w:rPr>
          <w:rFonts w:hint="eastAsia" w:eastAsia="仿宋_GB2312" w:cs="Times New Roman"/>
          <w:sz w:val="32"/>
          <w:szCs w:val="32"/>
          <w:highlight w:val="none"/>
          <w:lang w:val="en-US" w:eastAsia="zh-CN"/>
        </w:rPr>
        <w:t>。</w:t>
      </w:r>
    </w:p>
    <w:p w14:paraId="5D9BE4A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③生态效益指标</w:t>
      </w:r>
    </w:p>
    <w:p w14:paraId="2ACD27FF">
      <w:pPr>
        <w:shd w:val="clear"/>
        <w:spacing w:line="600" w:lineRule="exact"/>
        <w:ind w:firstLine="640" w:firstLineChars="200"/>
        <w:outlineLvl w:val="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2024年该项目不涉及此条指标</w:t>
      </w:r>
      <w:r>
        <w:rPr>
          <w:rFonts w:hint="eastAsia" w:eastAsia="仿宋_GB2312" w:cs="Times New Roman"/>
          <w:sz w:val="32"/>
          <w:szCs w:val="32"/>
          <w:highlight w:val="none"/>
          <w:lang w:val="en-US" w:eastAsia="zh-CN"/>
        </w:rPr>
        <w:t>。</w:t>
      </w:r>
    </w:p>
    <w:p w14:paraId="2B0F775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p>
    <w:p w14:paraId="7CC00B0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2.满意度</w:t>
      </w:r>
    </w:p>
    <w:p w14:paraId="543336D0">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指标1：天山英才工作室名师满意度，指标值：</w:t>
      </w:r>
      <w:r>
        <w:rPr>
          <w:rFonts w:hint="eastAsia" w:eastAsia="仿宋_GB2312" w:cs="Times New Roman"/>
          <w:sz w:val="32"/>
          <w:szCs w:val="32"/>
          <w:highlight w:val="none"/>
          <w:lang w:val="en-US" w:eastAsia="zh-CN"/>
        </w:rPr>
        <w:t>大于等于90%</w:t>
      </w:r>
      <w:r>
        <w:rPr>
          <w:rFonts w:hint="default" w:ascii="Times New Roman" w:hAnsi="Times New Roman" w:eastAsia="仿宋_GB2312" w:cs="Times New Roman"/>
          <w:sz w:val="32"/>
          <w:szCs w:val="32"/>
          <w:highlight w:val="none"/>
          <w:lang w:val="en-US" w:eastAsia="zh-CN"/>
        </w:rPr>
        <w:t>，实际完成值：</w:t>
      </w:r>
      <w:r>
        <w:rPr>
          <w:rFonts w:hint="eastAsia" w:eastAsia="仿宋_GB2312" w:cs="Times New Roman"/>
          <w:sz w:val="32"/>
          <w:szCs w:val="32"/>
          <w:highlight w:val="none"/>
          <w:lang w:val="en-US" w:eastAsia="zh-CN"/>
        </w:rPr>
        <w:t>90%</w:t>
      </w:r>
      <w:r>
        <w:rPr>
          <w:rFonts w:hint="default" w:ascii="Times New Roman" w:hAnsi="Times New Roman" w:eastAsia="仿宋_GB2312" w:cs="Times New Roman"/>
          <w:sz w:val="32"/>
          <w:szCs w:val="32"/>
          <w:highlight w:val="none"/>
          <w:lang w:val="en-US" w:eastAsia="zh-CN"/>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%，偏差原因：无偏差。通过访谈的方式进行考评评价，天山英才工作室名师对项目的实施带来的效益满意度为100%</w:t>
      </w:r>
      <w:r>
        <w:rPr>
          <w:rFonts w:hint="eastAsia" w:eastAsia="仿宋_GB2312" w:cs="Times New Roman"/>
          <w:sz w:val="32"/>
          <w:szCs w:val="32"/>
          <w:highlight w:val="none"/>
          <w:lang w:val="en-US" w:eastAsia="zh-CN"/>
        </w:rPr>
        <w:t>。</w:t>
      </w:r>
    </w:p>
    <w:p w14:paraId="4E8E84AD">
      <w:pPr>
        <w:spacing w:line="560" w:lineRule="exact"/>
        <w:ind w:firstLine="643" w:firstLineChars="200"/>
        <w:rPr>
          <w:rFonts w:hint="default" w:ascii="Times New Roman" w:hAnsi="Times New Roman" w:eastAsia="楷体_GB2312" w:cs="Times New Roman"/>
          <w:b/>
          <w:bCs/>
          <w:sz w:val="32"/>
          <w:szCs w:val="32"/>
          <w:highlight w:val="none"/>
          <w:lang w:val="en-US" w:eastAsia="zh-Hans"/>
        </w:rPr>
      </w:pPr>
      <w:r>
        <w:rPr>
          <w:rFonts w:hint="default" w:ascii="Times New Roman" w:hAnsi="Times New Roman" w:eastAsia="楷体_GB2312" w:cs="Times New Roman"/>
          <w:b/>
          <w:bCs/>
          <w:sz w:val="32"/>
          <w:szCs w:val="32"/>
          <w:highlight w:val="none"/>
          <w:lang w:val="en-US" w:eastAsia="zh-CN"/>
        </w:rPr>
        <w:t>（五）</w:t>
      </w:r>
      <w:r>
        <w:rPr>
          <w:rFonts w:hint="default" w:ascii="Times New Roman" w:hAnsi="Times New Roman" w:eastAsia="楷体_GB2312" w:cs="Times New Roman"/>
          <w:b/>
          <w:bCs/>
          <w:sz w:val="32"/>
          <w:szCs w:val="32"/>
          <w:highlight w:val="none"/>
          <w:lang w:val="en-US" w:eastAsia="zh-Hans"/>
        </w:rPr>
        <w:t>预算执行进度与绩效指标总体完成率偏差</w:t>
      </w:r>
    </w:p>
    <w:p w14:paraId="57CD9149">
      <w:pPr>
        <w:pStyle w:val="19"/>
        <w:spacing w:line="560" w:lineRule="exact"/>
        <w:ind w:firstLine="64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新疆人才发展基金2024年第一批支持资金</w:t>
      </w:r>
      <w:r>
        <w:rPr>
          <w:rFonts w:hint="default" w:ascii="Times New Roman" w:hAnsi="Times New Roman" w:eastAsia="方正仿宋_GBK" w:cs="Times New Roman"/>
          <w:sz w:val="32"/>
          <w:szCs w:val="32"/>
          <w:highlight w:val="none"/>
        </w:rPr>
        <w:t>项目年初预算</w:t>
      </w:r>
      <w:r>
        <w:rPr>
          <w:rFonts w:hint="eastAsia" w:eastAsia="方正仿宋_GBK" w:cs="Times New Roman"/>
          <w:sz w:val="32"/>
          <w:szCs w:val="32"/>
          <w:highlight w:val="none"/>
          <w:lang w:val="en-US" w:eastAsia="zh-CN"/>
        </w:rPr>
        <w:t>30</w:t>
      </w:r>
      <w:r>
        <w:rPr>
          <w:rFonts w:hint="default" w:ascii="Times New Roman" w:hAnsi="Times New Roman" w:eastAsia="方正仿宋_GBK" w:cs="Times New Roman"/>
          <w:sz w:val="32"/>
          <w:szCs w:val="32"/>
          <w:highlight w:val="none"/>
        </w:rPr>
        <w:t>万元，全年预算</w:t>
      </w:r>
      <w:r>
        <w:rPr>
          <w:rFonts w:hint="eastAsia" w:eastAsia="方正仿宋_GBK" w:cs="Times New Roman"/>
          <w:sz w:val="32"/>
          <w:szCs w:val="32"/>
          <w:highlight w:val="none"/>
          <w:lang w:val="en-US" w:eastAsia="zh-CN"/>
        </w:rPr>
        <w:t>28</w:t>
      </w:r>
      <w:r>
        <w:rPr>
          <w:rFonts w:hint="default" w:ascii="Times New Roman" w:hAnsi="Times New Roman" w:eastAsia="方正仿宋_GBK" w:cs="Times New Roman"/>
          <w:sz w:val="32"/>
          <w:szCs w:val="32"/>
          <w:highlight w:val="none"/>
        </w:rPr>
        <w:t>万元，实际支出</w:t>
      </w:r>
      <w:r>
        <w:rPr>
          <w:rFonts w:hint="eastAsia" w:eastAsia="方正仿宋_GBK" w:cs="Times New Roman"/>
          <w:sz w:val="32"/>
          <w:szCs w:val="32"/>
          <w:highlight w:val="none"/>
          <w:lang w:val="en-US" w:eastAsia="zh-CN"/>
        </w:rPr>
        <w:t>28</w:t>
      </w:r>
      <w:r>
        <w:rPr>
          <w:rFonts w:hint="default" w:ascii="Times New Roman" w:hAnsi="Times New Roman" w:eastAsia="方正仿宋_GBK" w:cs="Times New Roman"/>
          <w:sz w:val="32"/>
          <w:szCs w:val="32"/>
          <w:highlight w:val="none"/>
        </w:rPr>
        <w:t>万元，预算执行率为</w:t>
      </w:r>
      <w:r>
        <w:rPr>
          <w:rFonts w:hint="eastAsia" w:eastAsia="方正仿宋_GBK" w:cs="Times New Roman"/>
          <w:sz w:val="32"/>
          <w:szCs w:val="32"/>
          <w:highlight w:val="none"/>
          <w:lang w:val="en-US" w:eastAsia="zh-CN"/>
        </w:rPr>
        <w:t>100</w:t>
      </w:r>
      <w:r>
        <w:rPr>
          <w:rFonts w:hint="default" w:ascii="Times New Roman" w:hAnsi="Times New Roman" w:eastAsia="方正仿宋_GBK" w:cs="Times New Roman"/>
          <w:sz w:val="32"/>
          <w:szCs w:val="32"/>
          <w:highlight w:val="none"/>
        </w:rPr>
        <w:t>%，项目绩效指标总体完成率为</w:t>
      </w:r>
      <w:r>
        <w:rPr>
          <w:rFonts w:hint="eastAsia" w:eastAsia="方正仿宋_GBK" w:cs="Times New Roman"/>
          <w:sz w:val="32"/>
          <w:szCs w:val="32"/>
          <w:highlight w:val="none"/>
          <w:lang w:val="en-US" w:eastAsia="zh-CN"/>
        </w:rPr>
        <w:t>100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Hans"/>
        </w:rPr>
        <w:t>总体</w:t>
      </w:r>
      <w:r>
        <w:rPr>
          <w:rFonts w:hint="default" w:ascii="Times New Roman" w:hAnsi="Times New Roman" w:eastAsia="方正仿宋_GBK" w:cs="Times New Roman"/>
          <w:sz w:val="32"/>
          <w:szCs w:val="32"/>
          <w:highlight w:val="none"/>
        </w:rPr>
        <w:t>偏差率为</w:t>
      </w:r>
      <w:r>
        <w:rPr>
          <w:rFonts w:hint="eastAsia" w:eastAsia="方正仿宋_GBK" w:cs="Times New Roman"/>
          <w:sz w:val="32"/>
          <w:szCs w:val="32"/>
          <w:highlight w:val="none"/>
          <w:lang w:val="en-US" w:eastAsia="zh-CN"/>
        </w:rPr>
        <w:t>0</w:t>
      </w:r>
      <w:r>
        <w:rPr>
          <w:rFonts w:hint="default" w:ascii="Times New Roman" w:hAnsi="Times New Roman" w:eastAsia="方正仿宋_GBK" w:cs="Times New Roman"/>
          <w:sz w:val="32"/>
          <w:szCs w:val="32"/>
          <w:highlight w:val="none"/>
        </w:rPr>
        <w:t>%。</w:t>
      </w:r>
    </w:p>
    <w:p w14:paraId="5DED8768">
      <w:pPr>
        <w:spacing w:line="560" w:lineRule="exact"/>
        <w:ind w:firstLine="640" w:firstLineChars="200"/>
        <w:rPr>
          <w:rStyle w:val="18"/>
          <w:rFonts w:hint="default" w:ascii="Times New Roman" w:hAnsi="Times New Roman" w:cs="Times New Roman"/>
          <w:color w:val="auto"/>
          <w:highlight w:val="none"/>
        </w:rPr>
      </w:pPr>
      <w:r>
        <w:rPr>
          <w:rFonts w:hint="eastAsia"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主要经验及做法、存在的问题及原因分析</w:t>
      </w:r>
    </w:p>
    <w:p w14:paraId="5F9FADCA">
      <w:pPr>
        <w:spacing w:line="560" w:lineRule="exact"/>
        <w:ind w:firstLine="627" w:firstLineChars="200"/>
        <w:rPr>
          <w:rFonts w:hint="default" w:ascii="Times New Roman" w:hAnsi="Times New Roman" w:eastAsia="楷体" w:cs="Times New Roman"/>
          <w:b/>
          <w:spacing w:val="-4"/>
          <w:sz w:val="32"/>
          <w:szCs w:val="32"/>
          <w:highlight w:val="none"/>
        </w:rPr>
      </w:pPr>
      <w:r>
        <w:rPr>
          <w:rFonts w:hint="default" w:ascii="Times New Roman" w:hAnsi="Times New Roman" w:eastAsia="楷体" w:cs="Times New Roman"/>
          <w:b/>
          <w:spacing w:val="-4"/>
          <w:sz w:val="32"/>
          <w:szCs w:val="32"/>
          <w:highlight w:val="none"/>
        </w:rPr>
        <w:t>（一）主要经验及做法</w:t>
      </w:r>
    </w:p>
    <w:p w14:paraId="5A952AA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pPr>
        <w:pStyle w:val="10"/>
        <w:spacing w:before="0" w:after="0" w:line="560" w:lineRule="exact"/>
        <w:ind w:firstLine="640" w:firstLineChars="200"/>
        <w:jc w:val="left"/>
        <w:rPr>
          <w:rFonts w:hint="default" w:ascii="Times New Roman" w:hAnsi="Times New Roman" w:eastAsia="仿宋_GB2312" w:cs="Times New Roman"/>
          <w:b w:val="0"/>
          <w:bCs w:val="0"/>
          <w:kern w:val="2"/>
          <w:highlight w:val="none"/>
        </w:rPr>
      </w:pPr>
      <w:r>
        <w:rPr>
          <w:rFonts w:hint="default" w:ascii="Times New Roman" w:hAnsi="Times New Roman" w:eastAsia="仿宋_GB2312" w:cs="Times New Roman"/>
          <w:b w:val="0"/>
          <w:bCs w:val="0"/>
          <w:kern w:val="2"/>
          <w:highlight w:val="none"/>
        </w:rPr>
        <w:t>严格坚持先做事、后验收、再拨付的原则，</w:t>
      </w:r>
      <w:r>
        <w:rPr>
          <w:rFonts w:hint="eastAsia" w:ascii="Times New Roman" w:hAnsi="Times New Roman" w:eastAsia="仿宋_GB2312" w:cs="Times New Roman"/>
          <w:b w:val="0"/>
          <w:bCs w:val="0"/>
          <w:kern w:val="2"/>
          <w:highlight w:val="none"/>
          <w:lang w:eastAsia="zh-CN"/>
        </w:rPr>
        <w:t>杜绝</w:t>
      </w:r>
      <w:r>
        <w:rPr>
          <w:rFonts w:hint="default" w:ascii="Times New Roman" w:hAnsi="Times New Roman" w:eastAsia="仿宋_GB2312" w:cs="Times New Roman"/>
          <w:b w:val="0"/>
          <w:bCs w:val="0"/>
          <w:kern w:val="2"/>
          <w:highlight w:val="none"/>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pPr>
        <w:keepNext/>
        <w:keepLines/>
        <w:numPr>
          <w:ilvl w:val="0"/>
          <w:numId w:val="5"/>
        </w:numPr>
        <w:spacing w:line="56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存在的问题及原因分析</w:t>
      </w:r>
    </w:p>
    <w:p w14:paraId="47643AFE">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28BEBD6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2.因轮岗、调动</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因素使我单位绩效工作人员流动频繁，</w:t>
      </w:r>
      <w:r>
        <w:rPr>
          <w:rFonts w:hint="eastAsia" w:ascii="Times New Roman" w:hAnsi="Times New Roman" w:eastAsia="仿宋_GB2312" w:cs="Times New Roman"/>
          <w:sz w:val="32"/>
          <w:szCs w:val="32"/>
          <w:highlight w:val="none"/>
          <w:lang w:val="en-US" w:eastAsia="zh-CN"/>
        </w:rPr>
        <w:t>造成</w:t>
      </w:r>
      <w:r>
        <w:rPr>
          <w:rFonts w:hint="default" w:ascii="Times New Roman" w:hAnsi="Times New Roman" w:eastAsia="仿宋_GB2312" w:cs="Times New Roman"/>
          <w:sz w:val="32"/>
          <w:szCs w:val="32"/>
          <w:highlight w:val="none"/>
          <w:lang w:val="en-US" w:eastAsia="zh-CN"/>
        </w:rPr>
        <w:t>工作衔接不到位的情况。</w:t>
      </w:r>
    </w:p>
    <w:p w14:paraId="581D1A14">
      <w:pPr>
        <w:spacing w:line="560" w:lineRule="exact"/>
        <w:ind w:firstLine="640" w:firstLineChars="200"/>
        <w:rPr>
          <w:rFonts w:hint="default" w:ascii="Times New Roman" w:hAnsi="Times New Roman" w:eastAsia="黑体" w:cs="Times New Roman"/>
          <w:sz w:val="32"/>
          <w:szCs w:val="32"/>
          <w:highlight w:val="none"/>
        </w:rPr>
      </w:pPr>
      <w:r>
        <w:rPr>
          <w:rFonts w:hint="eastAsia"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有关建议</w:t>
      </w:r>
    </w:p>
    <w:p w14:paraId="5E3DE754">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1.多进行有关绩效管理工作方面的培训。积极组织第三方开展绩效管理工作培训，进一步夯实业务基础，提高我单位绩效人员水平。</w:t>
      </w:r>
    </w:p>
    <w:p w14:paraId="1697160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2.专门设定对绩效工作人员定职、定岗、定责等相关制度措施，进一步提升我单位绩效管理工作业务水平，扎实做好绩效管理工作。</w:t>
      </w:r>
    </w:p>
    <w:p w14:paraId="387A772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79A3C2B0">
      <w:pPr>
        <w:shd w:val="clear"/>
        <w:spacing w:line="600" w:lineRule="exact"/>
        <w:ind w:firstLine="640" w:firstLineChars="200"/>
        <w:outlineLvl w:val="0"/>
        <w:rPr>
          <w:rFonts w:hint="default" w:ascii="Times New Roman" w:hAnsi="Times New Roman" w:cs="Times New Roman"/>
          <w:sz w:val="22"/>
          <w:szCs w:val="28"/>
          <w:highlight w:val="none"/>
        </w:rPr>
      </w:pPr>
      <w:r>
        <w:rPr>
          <w:rFonts w:hint="default" w:ascii="Times New Roman" w:hAnsi="Times New Roman" w:eastAsia="仿宋_GB2312" w:cs="Times New Roman"/>
          <w:sz w:val="32"/>
          <w:szCs w:val="32"/>
          <w:highlight w:val="none"/>
          <w:lang w:val="en-US" w:eastAsia="zh-CN"/>
        </w:rPr>
        <w:t>4.进一步完善项目评价过程中有关数据和资料的收集、整理、审核及分析。项目启动时同步做好档案的归纳与整理，及时整理、收集、汇总，健全档案资料。项目后续管理有待进一步加强和跟踪</w:t>
      </w:r>
      <w:r>
        <w:rPr>
          <w:rFonts w:hint="default" w:ascii="Times New Roman" w:hAnsi="Times New Roman" w:eastAsia="仿宋_GB2312" w:cs="Times New Roman"/>
          <w:sz w:val="36"/>
          <w:szCs w:val="32"/>
          <w:highlight w:val="none"/>
        </w:rPr>
        <w:t>。</w:t>
      </w:r>
    </w:p>
    <w:p w14:paraId="3AB05DC2">
      <w:pPr>
        <w:spacing w:line="560" w:lineRule="exact"/>
        <w:ind w:firstLine="640" w:firstLineChars="200"/>
        <w:rPr>
          <w:rFonts w:hint="default" w:ascii="Times New Roman" w:hAnsi="Times New Roman" w:eastAsia="黑体" w:cs="Times New Roman"/>
          <w:sz w:val="32"/>
          <w:szCs w:val="32"/>
          <w:highlight w:val="none"/>
        </w:rPr>
      </w:pPr>
      <w:r>
        <w:rPr>
          <w:rFonts w:hint="eastAsia" w:eastAsia="黑体" w:cs="Times New Roman"/>
          <w:sz w:val="32"/>
          <w:szCs w:val="32"/>
          <w:highlight w:val="none"/>
          <w:lang w:val="en-US" w:eastAsia="zh-CN"/>
        </w:rPr>
        <w:t>七、</w:t>
      </w:r>
      <w:r>
        <w:rPr>
          <w:rFonts w:hint="default" w:ascii="Times New Roman" w:hAnsi="Times New Roman" w:eastAsia="黑体" w:cs="Times New Roman"/>
          <w:sz w:val="32"/>
          <w:szCs w:val="32"/>
          <w:highlight w:val="none"/>
        </w:rPr>
        <w:t>其他需要说</w:t>
      </w:r>
      <w:bookmarkStart w:id="0" w:name="page8"/>
      <w:bookmarkEnd w:id="0"/>
      <w:r>
        <w:rPr>
          <w:rFonts w:hint="default" w:ascii="Times New Roman" w:hAnsi="Times New Roman" w:eastAsia="黑体" w:cs="Times New Roman"/>
          <w:sz w:val="32"/>
          <w:szCs w:val="32"/>
          <w:highlight w:val="none"/>
        </w:rPr>
        <w:t>明的问题</w:t>
      </w:r>
    </w:p>
    <w:p w14:paraId="31CFF51A">
      <w:pPr>
        <w:pStyle w:val="13"/>
        <w:spacing w:after="0" w:line="560" w:lineRule="exact"/>
        <w:ind w:left="0" w:leftChars="0" w:firstLine="640"/>
        <w:rPr>
          <w:rFonts w:hint="default" w:ascii="Times New Roman" w:hAnsi="Times New Roman" w:eastAsia="仿宋_GB2312" w:cs="Times New Roman"/>
          <w:sz w:val="32"/>
          <w:szCs w:val="32"/>
          <w:highlight w:val="none"/>
          <w:lang w:eastAsia="zh-Hans"/>
        </w:rPr>
      </w:pPr>
      <w:r>
        <w:rPr>
          <w:rFonts w:hint="default" w:ascii="Times New Roman" w:hAnsi="Times New Roman" w:eastAsia="仿宋_GB2312" w:cs="Times New Roman"/>
          <w:sz w:val="32"/>
          <w:szCs w:val="32"/>
          <w:highlight w:val="none"/>
          <w:lang w:eastAsia="zh-Hans"/>
        </w:rPr>
        <w:t>1.项目支出政策和路径设计科学，符合实际需要；</w:t>
      </w:r>
    </w:p>
    <w:p w14:paraId="0F128B7B">
      <w:pPr>
        <w:pStyle w:val="13"/>
        <w:spacing w:after="0" w:line="560" w:lineRule="exact"/>
        <w:ind w:left="0" w:leftChars="0" w:firstLine="640"/>
        <w:rPr>
          <w:rFonts w:hint="default" w:ascii="Times New Roman" w:hAnsi="Times New Roman" w:eastAsia="仿宋_GB2312" w:cs="Times New Roman"/>
          <w:sz w:val="32"/>
          <w:szCs w:val="32"/>
          <w:highlight w:val="none"/>
          <w:lang w:eastAsia="zh-Hans"/>
        </w:rPr>
      </w:pPr>
      <w:r>
        <w:rPr>
          <w:rFonts w:hint="default" w:ascii="Times New Roman" w:hAnsi="Times New Roman" w:eastAsia="仿宋_GB2312" w:cs="Times New Roman"/>
          <w:sz w:val="32"/>
          <w:szCs w:val="32"/>
          <w:highlight w:val="none"/>
          <w:lang w:eastAsia="zh-Hans"/>
        </w:rPr>
        <w:t>2.项目安排准确，未发现背离项目立项初衷的情况；</w:t>
      </w:r>
    </w:p>
    <w:p w14:paraId="42C1B1B1">
      <w:pPr>
        <w:pStyle w:val="13"/>
        <w:spacing w:after="0" w:line="560" w:lineRule="exact"/>
        <w:ind w:left="0" w:leftChars="0" w:firstLine="640"/>
        <w:rPr>
          <w:rFonts w:hint="default" w:ascii="Times New Roman" w:hAnsi="Times New Roman" w:eastAsia="仿宋_GB2312" w:cs="Times New Roman"/>
          <w:sz w:val="32"/>
          <w:szCs w:val="32"/>
          <w:highlight w:val="none"/>
          <w:lang w:eastAsia="zh-Hans"/>
        </w:rPr>
      </w:pPr>
      <w:r>
        <w:rPr>
          <w:rFonts w:hint="default" w:ascii="Times New Roman" w:hAnsi="Times New Roman" w:eastAsia="仿宋_GB2312" w:cs="Times New Roman"/>
          <w:sz w:val="32"/>
          <w:szCs w:val="32"/>
          <w:highlight w:val="none"/>
          <w:lang w:eastAsia="zh-Hans"/>
        </w:rPr>
        <w:t>3.项目的申报、审核机制完善；</w:t>
      </w:r>
    </w:p>
    <w:p w14:paraId="51002044">
      <w:pPr>
        <w:pStyle w:val="13"/>
        <w:spacing w:after="0" w:line="560" w:lineRule="exact"/>
        <w:ind w:left="0" w:leftChars="0" w:firstLine="640"/>
        <w:rPr>
          <w:rFonts w:hint="eastAsia"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32"/>
          <w:szCs w:val="32"/>
          <w:highlight w:val="none"/>
          <w:lang w:eastAsia="zh-Hans"/>
        </w:rPr>
        <w:t>4.未发现虚假行为和骗取财政资金的问题。</w:t>
      </w:r>
    </w:p>
    <w:p w14:paraId="67AB5291">
      <w:pPr>
        <w:spacing w:line="600" w:lineRule="exact"/>
        <w:rPr>
          <w:rFonts w:hint="eastAsia" w:ascii="Times New Roman" w:hAnsi="Times New Roman" w:eastAsia="黑体" w:cs="Times New Roman"/>
          <w:sz w:val="32"/>
          <w:szCs w:val="32"/>
          <w:highlight w:val="none"/>
          <w:lang w:val="en-US" w:eastAsia="zh-CN"/>
        </w:rPr>
      </w:pPr>
    </w:p>
    <w:p w14:paraId="292579EE">
      <w:pPr>
        <w:spacing w:line="600" w:lineRule="exact"/>
        <w:rPr>
          <w:rFonts w:hint="eastAsia" w:ascii="Times New Roman" w:hAnsi="Times New Roman" w:eastAsia="黑体" w:cs="Times New Roman"/>
          <w:sz w:val="32"/>
          <w:szCs w:val="32"/>
          <w:highlight w:val="none"/>
          <w:lang w:val="en-US" w:eastAsia="zh-CN"/>
        </w:rPr>
      </w:pPr>
    </w:p>
    <w:p w14:paraId="09F81192">
      <w:pPr>
        <w:spacing w:line="600" w:lineRule="exact"/>
        <w:rPr>
          <w:rFonts w:hint="eastAsia" w:ascii="Times New Roman" w:hAnsi="Times New Roman" w:eastAsia="黑体" w:cs="Times New Roman"/>
          <w:sz w:val="32"/>
          <w:szCs w:val="32"/>
          <w:highlight w:val="none"/>
          <w:lang w:val="en-US" w:eastAsia="zh-CN"/>
        </w:rPr>
      </w:pPr>
    </w:p>
    <w:p w14:paraId="68B2E8CF">
      <w:pPr>
        <w:spacing w:line="600" w:lineRule="exact"/>
        <w:rPr>
          <w:rFonts w:hint="eastAsia" w:ascii="Times New Roman" w:hAnsi="Times New Roman" w:eastAsia="黑体" w:cs="Times New Roman"/>
          <w:sz w:val="32"/>
          <w:szCs w:val="32"/>
          <w:highlight w:val="none"/>
          <w:lang w:val="en-US" w:eastAsia="zh-CN"/>
        </w:rPr>
      </w:pPr>
    </w:p>
    <w:p w14:paraId="5E20494B">
      <w:pPr>
        <w:spacing w:line="600" w:lineRule="exact"/>
        <w:rPr>
          <w:rFonts w:hint="eastAsia" w:ascii="Times New Roman" w:hAnsi="Times New Roman" w:eastAsia="黑体" w:cs="Times New Roman"/>
          <w:sz w:val="32"/>
          <w:szCs w:val="32"/>
          <w:highlight w:val="none"/>
          <w:lang w:val="en-US" w:eastAsia="zh-CN"/>
        </w:rPr>
      </w:pPr>
    </w:p>
    <w:p w14:paraId="762EFCA0">
      <w:pPr>
        <w:spacing w:line="600" w:lineRule="exact"/>
        <w:rPr>
          <w:rFonts w:hint="eastAsia" w:ascii="Times New Roman" w:hAnsi="Times New Roman" w:eastAsia="黑体" w:cs="Times New Roman"/>
          <w:sz w:val="32"/>
          <w:szCs w:val="32"/>
          <w:highlight w:val="none"/>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3B939547">
      <w:pPr>
        <w:spacing w:line="600" w:lineRule="exact"/>
        <w:rPr>
          <w:rFonts w:hint="eastAsia"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附件</w:t>
      </w:r>
      <w:r>
        <w:rPr>
          <w:rFonts w:hint="eastAsia" w:eastAsia="黑体" w:cs="Times New Roman"/>
          <w:sz w:val="32"/>
          <w:szCs w:val="32"/>
          <w:highlight w:val="none"/>
          <w:lang w:val="en-US" w:eastAsia="zh-CN"/>
        </w:rPr>
        <w:t>1</w:t>
      </w:r>
    </w:p>
    <w:p w14:paraId="4F6B37B4">
      <w:pPr>
        <w:pStyle w:val="19"/>
        <w:ind w:firstLine="562"/>
        <w:jc w:val="center"/>
        <w:rPr>
          <w:rFonts w:hint="eastAsia" w:ascii="仿宋_GB2312" w:hAnsi="仿宋_GB2312" w:eastAsia="仿宋_GB2312" w:cs="仿宋_GB2312"/>
          <w:sz w:val="28"/>
          <w:szCs w:val="40"/>
          <w:highlight w:val="none"/>
        </w:rPr>
      </w:pPr>
      <w:bookmarkStart w:id="1" w:name="_Toc30064_WPSOffice_Level1"/>
      <w:bookmarkStart w:id="2" w:name="_Toc26499_WPSOffice_Level2"/>
      <w:r>
        <w:rPr>
          <w:rFonts w:hint="eastAsia" w:ascii="仿宋_GB2312" w:hAnsi="仿宋_GB2312" w:eastAsia="仿宋_GB2312" w:cs="仿宋_GB2312"/>
          <w:b/>
          <w:bCs/>
          <w:sz w:val="28"/>
          <w:szCs w:val="40"/>
          <w:highlight w:val="none"/>
          <w:lang w:val="en-US" w:eastAsia="zh-CN"/>
        </w:rPr>
        <w:t>新疆人才发展基金2024年第一批支持资金</w:t>
      </w:r>
      <w:r>
        <w:rPr>
          <w:rFonts w:hint="eastAsia" w:ascii="仿宋_GB2312" w:hAnsi="仿宋_GB2312" w:eastAsia="仿宋_GB2312" w:cs="仿宋_GB2312"/>
          <w:b/>
          <w:bCs/>
          <w:sz w:val="28"/>
          <w:szCs w:val="40"/>
          <w:highlight w:val="none"/>
        </w:rPr>
        <w:t>项目绩效评价指标体系及综合评分表</w:t>
      </w:r>
      <w:bookmarkEnd w:id="1"/>
      <w:bookmarkEnd w:id="2"/>
    </w:p>
    <w:tbl>
      <w:tblPr>
        <w:tblStyle w:val="14"/>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02"/>
        <w:gridCol w:w="1000"/>
        <w:gridCol w:w="1071"/>
        <w:gridCol w:w="1725"/>
        <w:gridCol w:w="5216"/>
        <w:gridCol w:w="5"/>
        <w:gridCol w:w="1299"/>
        <w:gridCol w:w="1365"/>
      </w:tblGrid>
      <w:tr w14:paraId="4F107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395" w:type="pct"/>
            <w:shd w:val="clear" w:color="auto" w:fill="FFFFFF"/>
            <w:vAlign w:val="center"/>
          </w:tcPr>
          <w:p w14:paraId="61AA652F">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一级指标</w:t>
            </w:r>
          </w:p>
        </w:tc>
        <w:tc>
          <w:tcPr>
            <w:tcW w:w="394" w:type="pct"/>
            <w:shd w:val="clear" w:color="auto" w:fill="FFFFFF"/>
            <w:vAlign w:val="center"/>
          </w:tcPr>
          <w:p w14:paraId="3CCC7E8D">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二级指标</w:t>
            </w:r>
          </w:p>
        </w:tc>
        <w:tc>
          <w:tcPr>
            <w:tcW w:w="422" w:type="pct"/>
            <w:shd w:val="clear" w:color="auto" w:fill="FFFFFF"/>
            <w:vAlign w:val="center"/>
          </w:tcPr>
          <w:p w14:paraId="5EABFBA4">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三级指标</w:t>
            </w:r>
          </w:p>
        </w:tc>
        <w:tc>
          <w:tcPr>
            <w:tcW w:w="680" w:type="pct"/>
            <w:shd w:val="clear" w:color="auto" w:fill="FFFFFF"/>
            <w:vAlign w:val="center"/>
          </w:tcPr>
          <w:p w14:paraId="5175A39E">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指标解释</w:t>
            </w:r>
          </w:p>
        </w:tc>
        <w:tc>
          <w:tcPr>
            <w:tcW w:w="2056" w:type="pct"/>
            <w:shd w:val="clear" w:color="auto" w:fill="FFFFFF"/>
            <w:vAlign w:val="center"/>
          </w:tcPr>
          <w:p w14:paraId="130905C5">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指标说明</w:t>
            </w:r>
          </w:p>
        </w:tc>
        <w:tc>
          <w:tcPr>
            <w:tcW w:w="514" w:type="pct"/>
            <w:gridSpan w:val="2"/>
            <w:shd w:val="clear" w:color="auto" w:fill="FFFFFF"/>
            <w:vAlign w:val="center"/>
          </w:tcPr>
          <w:p w14:paraId="43943279">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权重</w:t>
            </w:r>
          </w:p>
        </w:tc>
        <w:tc>
          <w:tcPr>
            <w:tcW w:w="538" w:type="pct"/>
            <w:shd w:val="clear" w:color="auto" w:fill="FFFFFF"/>
            <w:vAlign w:val="center"/>
          </w:tcPr>
          <w:p w14:paraId="47675841">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得分</w:t>
            </w:r>
          </w:p>
        </w:tc>
      </w:tr>
      <w:tr w14:paraId="507B5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95" w:type="pct"/>
            <w:vMerge w:val="restart"/>
            <w:shd w:val="clear" w:color="auto" w:fill="FFFFFF"/>
            <w:vAlign w:val="center"/>
          </w:tcPr>
          <w:p w14:paraId="30DD2841">
            <w:pPr>
              <w:widowControl/>
              <w:spacing w:line="0" w:lineRule="atLeast"/>
              <w:jc w:val="center"/>
              <w:rPr>
                <w:rFonts w:hint="default" w:ascii="Times New Roman" w:hAnsi="Times New Roman" w:eastAsia="仿宋_GB2312" w:cs="Times New Roman"/>
                <w:color w:val="000000"/>
                <w:kern w:val="0"/>
                <w:sz w:val="18"/>
                <w:szCs w:val="18"/>
                <w:highlight w:val="none"/>
              </w:rPr>
            </w:pPr>
          </w:p>
          <w:p w14:paraId="5C999CB4">
            <w:pPr>
              <w:widowControl/>
              <w:spacing w:line="0" w:lineRule="atLeast"/>
              <w:jc w:val="center"/>
              <w:rPr>
                <w:rFonts w:hint="default" w:ascii="Times New Roman" w:hAnsi="Times New Roman" w:eastAsia="仿宋_GB2312" w:cs="Times New Roman"/>
                <w:color w:val="000000"/>
                <w:kern w:val="0"/>
                <w:sz w:val="18"/>
                <w:szCs w:val="18"/>
                <w:highlight w:val="none"/>
              </w:rPr>
            </w:pPr>
          </w:p>
          <w:p w14:paraId="5F6B9081">
            <w:pPr>
              <w:widowControl/>
              <w:spacing w:line="0" w:lineRule="atLeast"/>
              <w:jc w:val="center"/>
              <w:rPr>
                <w:rFonts w:hint="default" w:ascii="Times New Roman" w:hAnsi="Times New Roman" w:eastAsia="仿宋_GB2312" w:cs="Times New Roman"/>
                <w:color w:val="000000"/>
                <w:kern w:val="0"/>
                <w:sz w:val="18"/>
                <w:szCs w:val="18"/>
                <w:highlight w:val="none"/>
              </w:rPr>
            </w:pPr>
          </w:p>
          <w:p w14:paraId="2928D8E8">
            <w:pPr>
              <w:widowControl/>
              <w:spacing w:line="0" w:lineRule="atLeast"/>
              <w:jc w:val="center"/>
              <w:rPr>
                <w:rFonts w:hint="default" w:ascii="Times New Roman" w:hAnsi="Times New Roman" w:eastAsia="仿宋_GB2312" w:cs="Times New Roman"/>
                <w:color w:val="000000"/>
                <w:kern w:val="0"/>
                <w:sz w:val="18"/>
                <w:szCs w:val="18"/>
                <w:highlight w:val="none"/>
              </w:rPr>
            </w:pPr>
          </w:p>
          <w:p w14:paraId="5B7A878C">
            <w:pPr>
              <w:widowControl/>
              <w:spacing w:line="0" w:lineRule="atLeast"/>
              <w:jc w:val="center"/>
              <w:rPr>
                <w:rFonts w:hint="default" w:ascii="Times New Roman" w:hAnsi="Times New Roman" w:eastAsia="仿宋_GB2312" w:cs="Times New Roman"/>
                <w:color w:val="000000"/>
                <w:kern w:val="0"/>
                <w:sz w:val="18"/>
                <w:szCs w:val="18"/>
                <w:highlight w:val="none"/>
              </w:rPr>
            </w:pPr>
          </w:p>
          <w:p w14:paraId="785F3821">
            <w:pPr>
              <w:widowControl/>
              <w:spacing w:line="0" w:lineRule="atLeast"/>
              <w:jc w:val="center"/>
              <w:rPr>
                <w:rFonts w:hint="default" w:ascii="Times New Roman" w:hAnsi="Times New Roman" w:eastAsia="仿宋_GB2312" w:cs="Times New Roman"/>
                <w:color w:val="000000"/>
                <w:kern w:val="0"/>
                <w:sz w:val="18"/>
                <w:szCs w:val="18"/>
                <w:highlight w:val="none"/>
              </w:rPr>
            </w:pPr>
          </w:p>
          <w:p w14:paraId="59E640C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决策　</w:t>
            </w:r>
          </w:p>
        </w:tc>
        <w:tc>
          <w:tcPr>
            <w:tcW w:w="394" w:type="pct"/>
            <w:vMerge w:val="restart"/>
            <w:shd w:val="clear" w:color="auto" w:fill="FFFFFF"/>
            <w:vAlign w:val="center"/>
          </w:tcPr>
          <w:p w14:paraId="2D23D204">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项目立项　</w:t>
            </w:r>
          </w:p>
        </w:tc>
        <w:tc>
          <w:tcPr>
            <w:tcW w:w="422" w:type="pct"/>
            <w:shd w:val="clear" w:color="auto" w:fill="FFFFFF"/>
            <w:vAlign w:val="center"/>
          </w:tcPr>
          <w:p w14:paraId="2B8C2283">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立项依据</w:t>
            </w:r>
          </w:p>
          <w:p w14:paraId="7ECB52F3">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充分性</w:t>
            </w:r>
          </w:p>
        </w:tc>
        <w:tc>
          <w:tcPr>
            <w:tcW w:w="680" w:type="pct"/>
            <w:shd w:val="clear" w:color="auto" w:fill="FFFFFF"/>
            <w:vAlign w:val="center"/>
          </w:tcPr>
          <w:p w14:paraId="6F22700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项目立项是否符合法律法规、相关政策、发展规划以及部门职责，用以反映和考核项目立项依据情况。</w:t>
            </w:r>
          </w:p>
        </w:tc>
        <w:tc>
          <w:tcPr>
            <w:tcW w:w="2056" w:type="pct"/>
            <w:shd w:val="clear" w:color="auto" w:fill="FFFFFF"/>
            <w:vAlign w:val="center"/>
          </w:tcPr>
          <w:p w14:paraId="7CA15DF2">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①项目立项是否符合国家法律法规、国民经济发展规划和相关政策；</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②项目立项是否符合行业发展规划和政策要求；</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③项目立项是否与部门职责范围相符，属于部门履职所需；</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④项目是否属于公共财政支持范围，是否符合中央、地方事权支出责任划分原则；</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⑤项目是否与相关部门同类项目或部门内部相关项目重复。</w:t>
            </w:r>
          </w:p>
        </w:tc>
        <w:tc>
          <w:tcPr>
            <w:tcW w:w="514" w:type="pct"/>
            <w:gridSpan w:val="2"/>
            <w:shd w:val="clear" w:color="auto" w:fill="FFFFFF"/>
            <w:vAlign w:val="center"/>
          </w:tcPr>
          <w:p w14:paraId="5BD2F436">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538" w:type="pct"/>
            <w:shd w:val="clear" w:color="auto" w:fill="FFFFFF"/>
            <w:vAlign w:val="center"/>
          </w:tcPr>
          <w:p w14:paraId="10DEA741">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2EDD1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6DAC2A7E">
            <w:pPr>
              <w:spacing w:line="0" w:lineRule="atLeast"/>
              <w:jc w:val="center"/>
              <w:rPr>
                <w:rFonts w:hint="default" w:ascii="Times New Roman" w:hAnsi="Times New Roman" w:eastAsia="仿宋_GB2312" w:cs="Times New Roman"/>
                <w:color w:val="000000"/>
                <w:kern w:val="0"/>
                <w:sz w:val="18"/>
                <w:szCs w:val="18"/>
                <w:highlight w:val="none"/>
              </w:rPr>
            </w:pPr>
          </w:p>
        </w:tc>
        <w:tc>
          <w:tcPr>
            <w:tcW w:w="394" w:type="pct"/>
            <w:vMerge w:val="continue"/>
            <w:shd w:val="clear" w:color="auto" w:fill="FFFFFF"/>
            <w:vAlign w:val="center"/>
          </w:tcPr>
          <w:p w14:paraId="751F725A">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422" w:type="pct"/>
            <w:shd w:val="clear" w:color="auto" w:fill="FFFFFF"/>
            <w:vAlign w:val="center"/>
          </w:tcPr>
          <w:p w14:paraId="3969873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立项程序</w:t>
            </w:r>
          </w:p>
          <w:p w14:paraId="5D3E465B">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规范性</w:t>
            </w:r>
          </w:p>
        </w:tc>
        <w:tc>
          <w:tcPr>
            <w:tcW w:w="680" w:type="pct"/>
            <w:shd w:val="clear" w:color="auto" w:fill="FFFFFF"/>
            <w:vAlign w:val="center"/>
          </w:tcPr>
          <w:p w14:paraId="7724E69D">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项目申请、设立过程是否符合相关要求，用以反映和考核项目立项的规范情况。</w:t>
            </w:r>
          </w:p>
        </w:tc>
        <w:tc>
          <w:tcPr>
            <w:tcW w:w="2056" w:type="pct"/>
            <w:shd w:val="clear" w:color="auto" w:fill="FFFFFF"/>
            <w:vAlign w:val="center"/>
          </w:tcPr>
          <w:p w14:paraId="53E8B962">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①项目是否按照规定的程序申请设立；</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②审批文件、材料是否符合相关要求；</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③事前是否已经过必要的可行性研究、专家论证、风险评估、绩效评估、集体决策。</w:t>
            </w:r>
          </w:p>
        </w:tc>
        <w:tc>
          <w:tcPr>
            <w:tcW w:w="514" w:type="pct"/>
            <w:gridSpan w:val="2"/>
            <w:shd w:val="clear" w:color="auto" w:fill="FFFFFF"/>
            <w:vAlign w:val="center"/>
          </w:tcPr>
          <w:p w14:paraId="72414527">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538" w:type="pct"/>
            <w:shd w:val="clear" w:color="auto" w:fill="FFFFFF"/>
            <w:vAlign w:val="center"/>
          </w:tcPr>
          <w:p w14:paraId="46BCF098">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73B3B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1ACA9E2A">
            <w:pPr>
              <w:spacing w:line="0" w:lineRule="atLeast"/>
              <w:jc w:val="center"/>
              <w:rPr>
                <w:rFonts w:hint="default" w:ascii="Times New Roman" w:hAnsi="Times New Roman" w:eastAsia="仿宋_GB2312" w:cs="Times New Roman"/>
                <w:color w:val="000000"/>
                <w:kern w:val="0"/>
                <w:sz w:val="18"/>
                <w:szCs w:val="18"/>
                <w:highlight w:val="none"/>
              </w:rPr>
            </w:pPr>
          </w:p>
        </w:tc>
        <w:tc>
          <w:tcPr>
            <w:tcW w:w="394" w:type="pct"/>
            <w:vMerge w:val="restart"/>
            <w:shd w:val="clear" w:color="auto" w:fill="FFFFFF"/>
            <w:vAlign w:val="center"/>
          </w:tcPr>
          <w:p w14:paraId="75FA35D5">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绩效目标　</w:t>
            </w:r>
          </w:p>
        </w:tc>
        <w:tc>
          <w:tcPr>
            <w:tcW w:w="422" w:type="pct"/>
            <w:shd w:val="clear" w:color="auto" w:fill="FFFFFF"/>
            <w:vAlign w:val="center"/>
          </w:tcPr>
          <w:p w14:paraId="5F69D0F0">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绩效目标</w:t>
            </w:r>
          </w:p>
          <w:p w14:paraId="25AD37D1">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合理性</w:t>
            </w:r>
          </w:p>
        </w:tc>
        <w:tc>
          <w:tcPr>
            <w:tcW w:w="680" w:type="pct"/>
            <w:shd w:val="clear" w:color="000000" w:fill="FFFFFF"/>
            <w:vAlign w:val="center"/>
          </w:tcPr>
          <w:p w14:paraId="123B6686">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（如未设定预算绩效目标，也可考核其他工作任务目标）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①项目是否有绩效目标；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②项目绩效目标与实际工作内容是否具有相关性；</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③项目预期产出效益和效果是否符合正常的业绩水平；</w:t>
            </w:r>
          </w:p>
          <w:p w14:paraId="57C3E388">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④是否与预算确定的项目投资额或资金量相匹配。</w:t>
            </w:r>
          </w:p>
        </w:tc>
        <w:tc>
          <w:tcPr>
            <w:tcW w:w="514" w:type="pct"/>
            <w:gridSpan w:val="2"/>
            <w:shd w:val="clear" w:color="000000" w:fill="FFFFFF"/>
            <w:vAlign w:val="center"/>
          </w:tcPr>
          <w:p w14:paraId="1B7DE25B">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538" w:type="pct"/>
            <w:shd w:val="clear" w:color="000000" w:fill="FFFFFF"/>
            <w:vAlign w:val="center"/>
          </w:tcPr>
          <w:p w14:paraId="170418A3">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1FED1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95" w:type="pct"/>
            <w:vMerge w:val="continue"/>
            <w:shd w:val="clear" w:color="auto" w:fill="FFFFFF"/>
            <w:vAlign w:val="center"/>
          </w:tcPr>
          <w:p w14:paraId="2ED24D4D">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394" w:type="pct"/>
            <w:vMerge w:val="continue"/>
            <w:shd w:val="clear" w:color="auto" w:fill="FFFFFF"/>
            <w:vAlign w:val="center"/>
          </w:tcPr>
          <w:p w14:paraId="61109314">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422" w:type="pct"/>
            <w:shd w:val="clear" w:color="auto" w:fill="FFFFFF"/>
            <w:vAlign w:val="center"/>
          </w:tcPr>
          <w:p w14:paraId="4EECA303">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绩效指标</w:t>
            </w:r>
          </w:p>
          <w:p w14:paraId="5BD192D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明确性</w:t>
            </w:r>
          </w:p>
        </w:tc>
        <w:tc>
          <w:tcPr>
            <w:tcW w:w="680" w:type="pct"/>
            <w:shd w:val="clear" w:color="000000" w:fill="FFFFFF"/>
            <w:vAlign w:val="center"/>
          </w:tcPr>
          <w:p w14:paraId="791318B0">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依据绩效目标设定的绩效指标是否清晰、细化、可衡量等，用以反映和考核项目绩效目标的明细化情况。</w:t>
            </w:r>
          </w:p>
        </w:tc>
        <w:tc>
          <w:tcPr>
            <w:tcW w:w="2056" w:type="pct"/>
            <w:shd w:val="clear" w:color="000000" w:fill="FFFFFF"/>
            <w:vAlign w:val="center"/>
          </w:tcPr>
          <w:p w14:paraId="56DCA368">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①是否将项目绩效目标细化分解为具体的绩效指标；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②是否通过清晰、可衡量的指标值予以体现；</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③是否与项目目标任务数或计划数相对应。</w:t>
            </w:r>
            <w:r>
              <w:rPr>
                <w:rFonts w:hint="default" w:ascii="Times New Roman" w:hAnsi="Times New Roman" w:eastAsia="仿宋_GB2312" w:cs="Times New Roman"/>
                <w:color w:val="000000"/>
                <w:kern w:val="0"/>
                <w:sz w:val="18"/>
                <w:szCs w:val="18"/>
                <w:highlight w:val="none"/>
              </w:rPr>
              <w:br w:type="textWrapping"/>
            </w:r>
          </w:p>
        </w:tc>
        <w:tc>
          <w:tcPr>
            <w:tcW w:w="514" w:type="pct"/>
            <w:gridSpan w:val="2"/>
            <w:shd w:val="clear" w:color="000000" w:fill="FFFFFF"/>
            <w:vAlign w:val="center"/>
          </w:tcPr>
          <w:p w14:paraId="1FF2814D">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538" w:type="pct"/>
            <w:shd w:val="clear" w:color="000000" w:fill="FFFFFF"/>
            <w:vAlign w:val="center"/>
          </w:tcPr>
          <w:p w14:paraId="51C95082">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43B06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95" w:type="pct"/>
            <w:vMerge w:val="continue"/>
            <w:shd w:val="clear" w:color="auto" w:fill="FFFFFF"/>
            <w:vAlign w:val="center"/>
          </w:tcPr>
          <w:p w14:paraId="1D1B8680">
            <w:pPr>
              <w:spacing w:line="0" w:lineRule="atLeast"/>
              <w:jc w:val="center"/>
              <w:rPr>
                <w:rFonts w:hint="default" w:ascii="Times New Roman" w:hAnsi="Times New Roman" w:eastAsia="仿宋_GB2312" w:cs="Times New Roman"/>
                <w:color w:val="000000"/>
                <w:kern w:val="0"/>
                <w:sz w:val="18"/>
                <w:szCs w:val="18"/>
                <w:highlight w:val="none"/>
              </w:rPr>
            </w:pPr>
          </w:p>
        </w:tc>
        <w:tc>
          <w:tcPr>
            <w:tcW w:w="394" w:type="pct"/>
            <w:vMerge w:val="restart"/>
            <w:shd w:val="clear" w:color="auto" w:fill="FFFFFF"/>
            <w:vAlign w:val="center"/>
          </w:tcPr>
          <w:p w14:paraId="785CDAD6">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资金投入</w:t>
            </w:r>
          </w:p>
          <w:p w14:paraId="01B842D7">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　</w:t>
            </w:r>
          </w:p>
        </w:tc>
        <w:tc>
          <w:tcPr>
            <w:tcW w:w="422" w:type="pct"/>
            <w:shd w:val="clear" w:color="auto" w:fill="FFFFFF"/>
            <w:vAlign w:val="center"/>
          </w:tcPr>
          <w:p w14:paraId="38345BA2">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预算编制</w:t>
            </w:r>
          </w:p>
          <w:p w14:paraId="523FA000">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科学性</w:t>
            </w:r>
          </w:p>
        </w:tc>
        <w:tc>
          <w:tcPr>
            <w:tcW w:w="680" w:type="pct"/>
            <w:shd w:val="clear" w:color="auto" w:fill="FFFFFF"/>
            <w:vAlign w:val="center"/>
          </w:tcPr>
          <w:p w14:paraId="21B04E7E">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①预算编制是否经过科学论证；</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②预算内容与项目内容是否匹配；</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③预算额度测算依据是否充分，是否按照标准编制；</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④预算确定的项目投资额或资金量是否与工作任务相匹配。</w:t>
            </w:r>
          </w:p>
        </w:tc>
        <w:tc>
          <w:tcPr>
            <w:tcW w:w="514" w:type="pct"/>
            <w:gridSpan w:val="2"/>
            <w:shd w:val="clear" w:color="auto" w:fill="FFFFFF"/>
            <w:vAlign w:val="center"/>
          </w:tcPr>
          <w:p w14:paraId="53DE22F6">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538" w:type="pct"/>
            <w:shd w:val="clear" w:color="auto" w:fill="FFFFFF"/>
            <w:vAlign w:val="center"/>
          </w:tcPr>
          <w:p w14:paraId="667F1ABA">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450C7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95" w:type="pct"/>
            <w:vMerge w:val="continue"/>
            <w:shd w:val="clear" w:color="auto" w:fill="FFFFFF"/>
            <w:vAlign w:val="center"/>
          </w:tcPr>
          <w:p w14:paraId="20E93017">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394" w:type="pct"/>
            <w:vMerge w:val="continue"/>
            <w:shd w:val="clear" w:color="auto" w:fill="FFFFFF"/>
            <w:vAlign w:val="center"/>
          </w:tcPr>
          <w:p w14:paraId="138AC310">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422" w:type="pct"/>
            <w:shd w:val="clear" w:color="auto" w:fill="FFFFFF"/>
            <w:vAlign w:val="center"/>
          </w:tcPr>
          <w:p w14:paraId="6566EAEB">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资金分配</w:t>
            </w:r>
          </w:p>
          <w:p w14:paraId="154FEC3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合理性</w:t>
            </w:r>
          </w:p>
        </w:tc>
        <w:tc>
          <w:tcPr>
            <w:tcW w:w="680" w:type="pct"/>
            <w:shd w:val="clear" w:color="auto" w:fill="FFFFFF"/>
            <w:vAlign w:val="center"/>
          </w:tcPr>
          <w:p w14:paraId="7C209FC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①预算资金分配依据是否充分；</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②资金分配额度是否合理，与项目单位或地方实际是否相适应。</w:t>
            </w:r>
          </w:p>
        </w:tc>
        <w:tc>
          <w:tcPr>
            <w:tcW w:w="514" w:type="pct"/>
            <w:gridSpan w:val="2"/>
            <w:shd w:val="clear" w:color="auto" w:fill="FFFFFF"/>
            <w:vAlign w:val="center"/>
          </w:tcPr>
          <w:p w14:paraId="352AC61C">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538" w:type="pct"/>
            <w:shd w:val="clear" w:color="auto" w:fill="FFFFFF"/>
            <w:vAlign w:val="center"/>
          </w:tcPr>
          <w:p w14:paraId="631E537E">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1B653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95" w:type="pct"/>
            <w:vMerge w:val="restart"/>
            <w:shd w:val="clear" w:color="auto" w:fill="FFFFFF"/>
            <w:vAlign w:val="center"/>
          </w:tcPr>
          <w:p w14:paraId="5086FA89">
            <w:pPr>
              <w:spacing w:line="0" w:lineRule="atLeast"/>
              <w:jc w:val="center"/>
              <w:rPr>
                <w:rFonts w:hint="default" w:ascii="Times New Roman" w:hAnsi="Times New Roman" w:eastAsia="仿宋_GB2312" w:cs="Times New Roman"/>
                <w:color w:val="000000"/>
                <w:kern w:val="0"/>
                <w:sz w:val="18"/>
                <w:szCs w:val="18"/>
                <w:highlight w:val="none"/>
              </w:rPr>
            </w:pPr>
          </w:p>
          <w:p w14:paraId="0EFFCD01">
            <w:pPr>
              <w:spacing w:line="0" w:lineRule="atLeast"/>
              <w:jc w:val="center"/>
              <w:rPr>
                <w:rFonts w:hint="default" w:ascii="Times New Roman" w:hAnsi="Times New Roman" w:eastAsia="仿宋_GB2312" w:cs="Times New Roman"/>
                <w:color w:val="000000"/>
                <w:kern w:val="0"/>
                <w:sz w:val="18"/>
                <w:szCs w:val="18"/>
                <w:highlight w:val="none"/>
              </w:rPr>
            </w:pPr>
          </w:p>
          <w:p w14:paraId="351B0E10">
            <w:pPr>
              <w:spacing w:line="0" w:lineRule="atLeast"/>
              <w:jc w:val="center"/>
              <w:rPr>
                <w:rFonts w:hint="default" w:ascii="Times New Roman" w:hAnsi="Times New Roman" w:eastAsia="仿宋_GB2312" w:cs="Times New Roman"/>
                <w:color w:val="000000"/>
                <w:kern w:val="0"/>
                <w:sz w:val="18"/>
                <w:szCs w:val="18"/>
                <w:highlight w:val="none"/>
              </w:rPr>
            </w:pPr>
          </w:p>
          <w:p w14:paraId="5CE21D6B">
            <w:pPr>
              <w:spacing w:line="0" w:lineRule="atLeast"/>
              <w:jc w:val="center"/>
              <w:rPr>
                <w:rFonts w:hint="default" w:ascii="Times New Roman" w:hAnsi="Times New Roman" w:eastAsia="仿宋_GB2312" w:cs="Times New Roman"/>
                <w:color w:val="000000"/>
                <w:kern w:val="0"/>
                <w:sz w:val="18"/>
                <w:szCs w:val="18"/>
                <w:highlight w:val="none"/>
              </w:rPr>
            </w:pPr>
          </w:p>
          <w:p w14:paraId="12D7E55D">
            <w:pPr>
              <w:spacing w:line="0" w:lineRule="atLeast"/>
              <w:jc w:val="center"/>
              <w:rPr>
                <w:rFonts w:hint="default" w:ascii="Times New Roman" w:hAnsi="Times New Roman" w:eastAsia="仿宋_GB2312" w:cs="Times New Roman"/>
                <w:color w:val="000000"/>
                <w:kern w:val="0"/>
                <w:sz w:val="18"/>
                <w:szCs w:val="18"/>
                <w:highlight w:val="none"/>
              </w:rPr>
            </w:pPr>
          </w:p>
          <w:p w14:paraId="696A75A9">
            <w:pPr>
              <w:spacing w:line="0" w:lineRule="atLeast"/>
              <w:jc w:val="center"/>
              <w:rPr>
                <w:rFonts w:hint="default" w:ascii="Times New Roman" w:hAnsi="Times New Roman" w:eastAsia="仿宋_GB2312" w:cs="Times New Roman"/>
                <w:color w:val="000000"/>
                <w:kern w:val="0"/>
                <w:sz w:val="18"/>
                <w:szCs w:val="18"/>
                <w:highlight w:val="none"/>
              </w:rPr>
            </w:pPr>
          </w:p>
          <w:p w14:paraId="3E92393A">
            <w:pPr>
              <w:spacing w:line="0" w:lineRule="atLeast"/>
              <w:jc w:val="center"/>
              <w:rPr>
                <w:rFonts w:hint="default" w:ascii="Times New Roman" w:hAnsi="Times New Roman" w:eastAsia="仿宋_GB2312" w:cs="Times New Roman"/>
                <w:color w:val="000000"/>
                <w:kern w:val="0"/>
                <w:sz w:val="18"/>
                <w:szCs w:val="18"/>
                <w:highlight w:val="none"/>
              </w:rPr>
            </w:pPr>
          </w:p>
          <w:p w14:paraId="73153ECE">
            <w:pPr>
              <w:spacing w:line="0" w:lineRule="atLeast"/>
              <w:jc w:val="center"/>
              <w:rPr>
                <w:rFonts w:hint="default" w:ascii="Times New Roman" w:hAnsi="Times New Roman" w:eastAsia="仿宋_GB2312" w:cs="Times New Roman"/>
                <w:color w:val="000000"/>
                <w:kern w:val="0"/>
                <w:sz w:val="18"/>
                <w:szCs w:val="18"/>
                <w:highlight w:val="none"/>
              </w:rPr>
            </w:pPr>
          </w:p>
          <w:p w14:paraId="715295EE">
            <w:pPr>
              <w:spacing w:line="0" w:lineRule="atLeast"/>
              <w:jc w:val="center"/>
              <w:rPr>
                <w:rFonts w:hint="default" w:ascii="Times New Roman" w:hAnsi="Times New Roman" w:eastAsia="仿宋_GB2312" w:cs="Times New Roman"/>
                <w:color w:val="000000"/>
                <w:kern w:val="0"/>
                <w:sz w:val="18"/>
                <w:szCs w:val="18"/>
                <w:highlight w:val="none"/>
              </w:rPr>
            </w:pPr>
          </w:p>
          <w:p w14:paraId="57A1AECE">
            <w:pPr>
              <w:spacing w:line="0" w:lineRule="atLeast"/>
              <w:jc w:val="center"/>
              <w:rPr>
                <w:rFonts w:hint="default" w:ascii="Times New Roman" w:hAnsi="Times New Roman" w:eastAsia="仿宋_GB2312" w:cs="Times New Roman"/>
                <w:color w:val="000000"/>
                <w:kern w:val="0"/>
                <w:sz w:val="18"/>
                <w:szCs w:val="18"/>
                <w:highlight w:val="none"/>
              </w:rPr>
            </w:pPr>
          </w:p>
          <w:p w14:paraId="0BC307E9">
            <w:pPr>
              <w:spacing w:line="0" w:lineRule="atLeast"/>
              <w:jc w:val="center"/>
              <w:rPr>
                <w:rFonts w:hint="default" w:ascii="Times New Roman" w:hAnsi="Times New Roman" w:eastAsia="仿宋_GB2312" w:cs="Times New Roman"/>
                <w:color w:val="000000"/>
                <w:kern w:val="0"/>
                <w:sz w:val="18"/>
                <w:szCs w:val="18"/>
                <w:highlight w:val="none"/>
              </w:rPr>
            </w:pPr>
          </w:p>
          <w:p w14:paraId="307AE745">
            <w:pPr>
              <w:spacing w:line="0" w:lineRule="atLeast"/>
              <w:jc w:val="center"/>
              <w:rPr>
                <w:rFonts w:hint="default" w:ascii="Times New Roman" w:hAnsi="Times New Roman" w:eastAsia="仿宋_GB2312" w:cs="Times New Roman"/>
                <w:color w:val="000000"/>
                <w:kern w:val="0"/>
                <w:sz w:val="18"/>
                <w:szCs w:val="18"/>
                <w:highlight w:val="none"/>
              </w:rPr>
            </w:pPr>
          </w:p>
          <w:p w14:paraId="620C70B1">
            <w:pPr>
              <w:spacing w:line="0" w:lineRule="atLeast"/>
              <w:jc w:val="center"/>
              <w:rPr>
                <w:rFonts w:hint="default" w:ascii="Times New Roman" w:hAnsi="Times New Roman" w:eastAsia="仿宋_GB2312" w:cs="Times New Roman"/>
                <w:color w:val="000000"/>
                <w:kern w:val="0"/>
                <w:sz w:val="18"/>
                <w:szCs w:val="18"/>
                <w:highlight w:val="none"/>
              </w:rPr>
            </w:pPr>
          </w:p>
          <w:p w14:paraId="5945B673">
            <w:pPr>
              <w:spacing w:line="0" w:lineRule="atLeast"/>
              <w:jc w:val="center"/>
              <w:rPr>
                <w:rFonts w:hint="default" w:ascii="Times New Roman" w:hAnsi="Times New Roman" w:eastAsia="仿宋_GB2312" w:cs="Times New Roman"/>
                <w:color w:val="000000"/>
                <w:kern w:val="0"/>
                <w:sz w:val="18"/>
                <w:szCs w:val="18"/>
                <w:highlight w:val="none"/>
              </w:rPr>
            </w:pPr>
          </w:p>
          <w:p w14:paraId="6AC00744">
            <w:pPr>
              <w:spacing w:line="0" w:lineRule="atLeast"/>
              <w:jc w:val="center"/>
              <w:rPr>
                <w:rFonts w:hint="default" w:ascii="Times New Roman" w:hAnsi="Times New Roman" w:eastAsia="仿宋_GB2312" w:cs="Times New Roman"/>
                <w:color w:val="000000"/>
                <w:kern w:val="0"/>
                <w:sz w:val="18"/>
                <w:szCs w:val="18"/>
                <w:highlight w:val="none"/>
              </w:rPr>
            </w:pPr>
          </w:p>
          <w:p w14:paraId="4A359D7C">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过程</w:t>
            </w:r>
          </w:p>
          <w:p w14:paraId="6062CAA1">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　　</w:t>
            </w:r>
          </w:p>
        </w:tc>
        <w:tc>
          <w:tcPr>
            <w:tcW w:w="394" w:type="pct"/>
            <w:vMerge w:val="restart"/>
            <w:shd w:val="clear" w:color="auto" w:fill="FFFFFF"/>
            <w:vAlign w:val="center"/>
          </w:tcPr>
          <w:p w14:paraId="7892CED9">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资金管理</w:t>
            </w:r>
          </w:p>
        </w:tc>
        <w:tc>
          <w:tcPr>
            <w:tcW w:w="422" w:type="pct"/>
            <w:shd w:val="clear" w:color="auto" w:fill="FFFFFF"/>
            <w:vAlign w:val="center"/>
          </w:tcPr>
          <w:p w14:paraId="574EAE1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资金到位率</w:t>
            </w:r>
          </w:p>
        </w:tc>
        <w:tc>
          <w:tcPr>
            <w:tcW w:w="680" w:type="pct"/>
            <w:shd w:val="clear" w:color="000000" w:fill="FFFFFF"/>
            <w:vAlign w:val="center"/>
          </w:tcPr>
          <w:p w14:paraId="59E8DB5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实际到位资金与预算资金的比率，用以反映和考核资金落实情况对项目实施的总体保障程度。</w:t>
            </w:r>
          </w:p>
        </w:tc>
        <w:tc>
          <w:tcPr>
            <w:tcW w:w="2056" w:type="pct"/>
            <w:shd w:val="clear" w:color="000000" w:fill="FFFFFF"/>
            <w:vAlign w:val="center"/>
          </w:tcPr>
          <w:p w14:paraId="0B93489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资金到位率=（实际到位资金/预算资金）×100%。</w:t>
            </w:r>
          </w:p>
          <w:p w14:paraId="29283E9B">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实际到位资金：一定时期（本年度或项目期）内落实到具体项目的资金。</w:t>
            </w:r>
          </w:p>
          <w:p w14:paraId="7800605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预算资金：一定时期（本年度或项目期）内预算安排到具体项目的资金。</w:t>
            </w:r>
          </w:p>
        </w:tc>
        <w:tc>
          <w:tcPr>
            <w:tcW w:w="514" w:type="pct"/>
            <w:gridSpan w:val="2"/>
            <w:shd w:val="clear" w:color="000000" w:fill="FFFFFF"/>
            <w:vAlign w:val="center"/>
          </w:tcPr>
          <w:p w14:paraId="3228ACE3">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538" w:type="pct"/>
            <w:shd w:val="clear" w:color="000000" w:fill="FFFFFF"/>
            <w:vAlign w:val="center"/>
          </w:tcPr>
          <w:p w14:paraId="7217C38F">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53A45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95" w:type="pct"/>
            <w:vMerge w:val="continue"/>
            <w:shd w:val="clear" w:color="auto" w:fill="FFFFFF"/>
            <w:vAlign w:val="center"/>
          </w:tcPr>
          <w:p w14:paraId="402EF96D">
            <w:pPr>
              <w:spacing w:line="0" w:lineRule="atLeast"/>
              <w:jc w:val="center"/>
              <w:rPr>
                <w:rFonts w:hint="default" w:ascii="Times New Roman" w:hAnsi="Times New Roman" w:eastAsia="仿宋_GB2312" w:cs="Times New Roman"/>
                <w:color w:val="000000"/>
                <w:kern w:val="0"/>
                <w:sz w:val="18"/>
                <w:szCs w:val="18"/>
                <w:highlight w:val="none"/>
              </w:rPr>
            </w:pPr>
          </w:p>
        </w:tc>
        <w:tc>
          <w:tcPr>
            <w:tcW w:w="394" w:type="pct"/>
            <w:vMerge w:val="continue"/>
            <w:shd w:val="clear" w:color="auto" w:fill="FFFFFF"/>
            <w:vAlign w:val="center"/>
          </w:tcPr>
          <w:p w14:paraId="2BA5293B">
            <w:pPr>
              <w:spacing w:line="0" w:lineRule="atLeast"/>
              <w:jc w:val="center"/>
              <w:rPr>
                <w:rFonts w:hint="default" w:ascii="Times New Roman" w:hAnsi="Times New Roman" w:eastAsia="仿宋_GB2312" w:cs="Times New Roman"/>
                <w:color w:val="000000"/>
                <w:kern w:val="0"/>
                <w:sz w:val="18"/>
                <w:szCs w:val="18"/>
                <w:highlight w:val="none"/>
              </w:rPr>
            </w:pPr>
          </w:p>
        </w:tc>
        <w:tc>
          <w:tcPr>
            <w:tcW w:w="422" w:type="pct"/>
            <w:shd w:val="clear" w:color="auto" w:fill="FFFFFF"/>
            <w:vAlign w:val="center"/>
          </w:tcPr>
          <w:p w14:paraId="6D40755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预算执行率</w:t>
            </w:r>
          </w:p>
        </w:tc>
        <w:tc>
          <w:tcPr>
            <w:tcW w:w="680" w:type="pct"/>
            <w:shd w:val="clear" w:color="auto" w:fill="FFFFFF"/>
            <w:vAlign w:val="center"/>
          </w:tcPr>
          <w:p w14:paraId="6DF35DE4">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项目预算资金是否按照计划执行，用以反映或考核项目预算执行情况。</w:t>
            </w:r>
          </w:p>
        </w:tc>
        <w:tc>
          <w:tcPr>
            <w:tcW w:w="2056" w:type="pct"/>
            <w:shd w:val="clear" w:color="auto" w:fill="FFFFFF"/>
            <w:vAlign w:val="center"/>
          </w:tcPr>
          <w:p w14:paraId="35021E1A">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预算执行率=（实际支出资金/实际到位资金）×100%。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实际支出资金：一定时期（本年度或项目期）内项目实际拨付的资金。</w:t>
            </w:r>
          </w:p>
        </w:tc>
        <w:tc>
          <w:tcPr>
            <w:tcW w:w="514" w:type="pct"/>
            <w:gridSpan w:val="2"/>
            <w:shd w:val="clear" w:color="auto" w:fill="FFFFFF"/>
            <w:vAlign w:val="center"/>
          </w:tcPr>
          <w:p w14:paraId="52B8CC4A">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538" w:type="pct"/>
            <w:shd w:val="clear" w:color="auto" w:fill="FFFFFF"/>
            <w:vAlign w:val="center"/>
          </w:tcPr>
          <w:p w14:paraId="484B400F">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4B490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2869390A">
            <w:pPr>
              <w:spacing w:line="0" w:lineRule="atLeast"/>
              <w:jc w:val="center"/>
              <w:rPr>
                <w:rFonts w:hint="default" w:ascii="Times New Roman" w:hAnsi="Times New Roman" w:eastAsia="仿宋_GB2312" w:cs="Times New Roman"/>
                <w:color w:val="000000"/>
                <w:kern w:val="0"/>
                <w:sz w:val="18"/>
                <w:szCs w:val="18"/>
                <w:highlight w:val="none"/>
              </w:rPr>
            </w:pPr>
          </w:p>
        </w:tc>
        <w:tc>
          <w:tcPr>
            <w:tcW w:w="394" w:type="pct"/>
            <w:shd w:val="clear" w:color="auto" w:fill="FFFFFF"/>
            <w:vAlign w:val="center"/>
          </w:tcPr>
          <w:p w14:paraId="7CC51FF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资金管理</w:t>
            </w:r>
          </w:p>
        </w:tc>
        <w:tc>
          <w:tcPr>
            <w:tcW w:w="422" w:type="pct"/>
            <w:shd w:val="clear" w:color="auto" w:fill="FFFFFF"/>
            <w:vAlign w:val="center"/>
          </w:tcPr>
          <w:p w14:paraId="670AE4C4">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资金使用</w:t>
            </w:r>
          </w:p>
          <w:p w14:paraId="7975A129">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合规性</w:t>
            </w:r>
          </w:p>
        </w:tc>
        <w:tc>
          <w:tcPr>
            <w:tcW w:w="680" w:type="pct"/>
            <w:shd w:val="clear" w:color="000000" w:fill="FFFFFF"/>
            <w:vAlign w:val="center"/>
          </w:tcPr>
          <w:p w14:paraId="069274A3">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项目资金使用是否符合相关的财务管理制度规定，用以反映和考核项目资金的规范运行情况。</w:t>
            </w:r>
          </w:p>
        </w:tc>
        <w:tc>
          <w:tcPr>
            <w:tcW w:w="2056" w:type="pct"/>
            <w:shd w:val="clear" w:color="000000" w:fill="FFFFFF"/>
            <w:vAlign w:val="center"/>
          </w:tcPr>
          <w:p w14:paraId="49620DF8">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①是否符合国家财经法规和财务管理制度以及有关专项资金管理办法的规定；</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②资金的拨付是否有完整的审批程序和手续；</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③是否符合项目预算批复或合同规定的用途；</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④是否存在截留、挤占、挪用、虚列支出等情况。</w:t>
            </w:r>
          </w:p>
        </w:tc>
        <w:tc>
          <w:tcPr>
            <w:tcW w:w="514" w:type="pct"/>
            <w:gridSpan w:val="2"/>
            <w:shd w:val="clear" w:color="000000" w:fill="FFFFFF"/>
            <w:vAlign w:val="center"/>
          </w:tcPr>
          <w:p w14:paraId="0BA0E7BC">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538" w:type="pct"/>
            <w:shd w:val="clear" w:color="000000" w:fill="FFFFFF"/>
            <w:vAlign w:val="center"/>
          </w:tcPr>
          <w:p w14:paraId="5E002BF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26546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95" w:type="pct"/>
            <w:vMerge w:val="continue"/>
            <w:shd w:val="clear" w:color="auto" w:fill="FFFFFF"/>
            <w:vAlign w:val="center"/>
          </w:tcPr>
          <w:p w14:paraId="7F0405EC">
            <w:pPr>
              <w:spacing w:line="0" w:lineRule="atLeast"/>
              <w:jc w:val="center"/>
              <w:rPr>
                <w:rFonts w:hint="default" w:ascii="Times New Roman" w:hAnsi="Times New Roman" w:eastAsia="仿宋_GB2312" w:cs="Times New Roman"/>
                <w:color w:val="000000"/>
                <w:kern w:val="0"/>
                <w:sz w:val="18"/>
                <w:szCs w:val="18"/>
                <w:highlight w:val="none"/>
              </w:rPr>
            </w:pPr>
          </w:p>
        </w:tc>
        <w:tc>
          <w:tcPr>
            <w:tcW w:w="394" w:type="pct"/>
            <w:vMerge w:val="restart"/>
            <w:shd w:val="clear" w:color="auto" w:fill="FFFFFF"/>
            <w:vAlign w:val="center"/>
          </w:tcPr>
          <w:p w14:paraId="50D43772">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组织实施</w:t>
            </w:r>
          </w:p>
          <w:p w14:paraId="2C974B31">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　</w:t>
            </w:r>
          </w:p>
        </w:tc>
        <w:tc>
          <w:tcPr>
            <w:tcW w:w="422" w:type="pct"/>
            <w:shd w:val="clear" w:color="auto" w:fill="FFFFFF"/>
            <w:vAlign w:val="center"/>
          </w:tcPr>
          <w:p w14:paraId="085DC7D6">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管理制度</w:t>
            </w:r>
          </w:p>
          <w:p w14:paraId="103AEC3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健全性</w:t>
            </w:r>
          </w:p>
        </w:tc>
        <w:tc>
          <w:tcPr>
            <w:tcW w:w="680" w:type="pct"/>
            <w:shd w:val="clear" w:color="000000" w:fill="FFFFFF"/>
            <w:vAlign w:val="center"/>
          </w:tcPr>
          <w:p w14:paraId="412502E2">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①是否已制定或具有相应的财务和业务管理制度；</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②财务和业务管理制度是否合法、合规、完整。</w:t>
            </w:r>
          </w:p>
        </w:tc>
        <w:tc>
          <w:tcPr>
            <w:tcW w:w="514" w:type="pct"/>
            <w:gridSpan w:val="2"/>
            <w:shd w:val="clear" w:color="000000" w:fill="FFFFFF"/>
            <w:vAlign w:val="center"/>
          </w:tcPr>
          <w:p w14:paraId="1746194D">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538" w:type="pct"/>
            <w:shd w:val="clear" w:color="000000" w:fill="FFFFFF"/>
            <w:vAlign w:val="center"/>
          </w:tcPr>
          <w:p w14:paraId="44EE3A3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7FBD3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95" w:type="pct"/>
            <w:vMerge w:val="continue"/>
            <w:shd w:val="clear" w:color="auto" w:fill="FFFFFF"/>
            <w:vAlign w:val="center"/>
          </w:tcPr>
          <w:p w14:paraId="57B7FCD1">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394" w:type="pct"/>
            <w:vMerge w:val="continue"/>
            <w:shd w:val="clear" w:color="auto" w:fill="FFFFFF"/>
            <w:vAlign w:val="center"/>
          </w:tcPr>
          <w:p w14:paraId="213D0B13">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422" w:type="pct"/>
            <w:shd w:val="clear" w:color="auto" w:fill="FFFFFF"/>
            <w:vAlign w:val="center"/>
          </w:tcPr>
          <w:p w14:paraId="5A773C70">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制度执行</w:t>
            </w:r>
          </w:p>
          <w:p w14:paraId="2979A860">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有效性</w:t>
            </w:r>
          </w:p>
        </w:tc>
        <w:tc>
          <w:tcPr>
            <w:tcW w:w="680" w:type="pct"/>
            <w:shd w:val="clear" w:color="000000" w:fill="FFFFFF"/>
            <w:vAlign w:val="center"/>
          </w:tcPr>
          <w:p w14:paraId="433DAEBE">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项目实施是否符合相关管理规定，用以反映和考核相关管理制度的有效执行情况。</w:t>
            </w:r>
          </w:p>
        </w:tc>
        <w:tc>
          <w:tcPr>
            <w:tcW w:w="2056" w:type="pct"/>
            <w:shd w:val="clear" w:color="000000" w:fill="FFFFFF"/>
            <w:vAlign w:val="center"/>
          </w:tcPr>
          <w:p w14:paraId="100C31E3">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①是否遵守相关法律法规和相关管理规定；</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②项目调整及支出调整手续是否完备；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③项目合同书、验收报告、技术鉴定等资料是否齐全并及时归档；</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④项目实施的人员条件、场地设备、信息支撑等是否落实到位。</w:t>
            </w:r>
          </w:p>
        </w:tc>
        <w:tc>
          <w:tcPr>
            <w:tcW w:w="514" w:type="pct"/>
            <w:gridSpan w:val="2"/>
            <w:shd w:val="clear" w:color="000000" w:fill="FFFFFF"/>
            <w:vAlign w:val="center"/>
          </w:tcPr>
          <w:p w14:paraId="44473D5E">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538" w:type="pct"/>
            <w:shd w:val="clear" w:color="000000" w:fill="FFFFFF"/>
            <w:vAlign w:val="center"/>
          </w:tcPr>
          <w:p w14:paraId="60E30355">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2E647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95" w:type="pct"/>
            <w:vMerge w:val="restart"/>
            <w:shd w:val="clear" w:color="auto" w:fill="FFFFFF"/>
            <w:vAlign w:val="center"/>
          </w:tcPr>
          <w:p w14:paraId="776E2C59">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w:t>
            </w:r>
          </w:p>
        </w:tc>
        <w:tc>
          <w:tcPr>
            <w:tcW w:w="394" w:type="pct"/>
            <w:shd w:val="clear" w:color="auto" w:fill="FFFFFF"/>
            <w:vAlign w:val="center"/>
          </w:tcPr>
          <w:p w14:paraId="13C7B96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产出数量</w:t>
            </w:r>
          </w:p>
        </w:tc>
        <w:tc>
          <w:tcPr>
            <w:tcW w:w="422" w:type="pct"/>
            <w:shd w:val="clear" w:color="auto" w:fill="FFFFFF"/>
            <w:vAlign w:val="center"/>
          </w:tcPr>
          <w:p w14:paraId="17920434">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实际完成率</w:t>
            </w:r>
          </w:p>
        </w:tc>
        <w:tc>
          <w:tcPr>
            <w:tcW w:w="680" w:type="pct"/>
            <w:shd w:val="clear" w:color="000000" w:fill="FFFFFF"/>
            <w:vAlign w:val="center"/>
          </w:tcPr>
          <w:p w14:paraId="1A4BCC28">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项目实施的实际产出数与计划产出数的比率，用以反映和考核项目产出数量目标的实现程度。</w:t>
            </w:r>
          </w:p>
        </w:tc>
        <w:tc>
          <w:tcPr>
            <w:tcW w:w="2056" w:type="pct"/>
            <w:shd w:val="clear" w:color="000000" w:fill="FFFFFF"/>
            <w:vAlign w:val="center"/>
          </w:tcPr>
          <w:p w14:paraId="766B5F2D">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实际完成率=（实际产出数/计划产出数）×100%。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实际产出数：一定时期（本年度或项目期）内项目实际产出的产品或提供的服务数量。</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计划产出数：项目绩效目标确定的在一定时期（本年度或项目期）内计划产出的产品或提供的服务数量。</w:t>
            </w:r>
          </w:p>
        </w:tc>
        <w:tc>
          <w:tcPr>
            <w:tcW w:w="514" w:type="pct"/>
            <w:gridSpan w:val="2"/>
            <w:shd w:val="clear" w:color="000000" w:fill="FFFFFF"/>
            <w:vAlign w:val="center"/>
          </w:tcPr>
          <w:p w14:paraId="7A502BD0">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538" w:type="pct"/>
            <w:shd w:val="clear" w:color="000000" w:fill="FFFFFF"/>
            <w:vAlign w:val="center"/>
          </w:tcPr>
          <w:p w14:paraId="3205D485">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793EF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395" w:type="pct"/>
            <w:vMerge w:val="continue"/>
            <w:shd w:val="clear" w:color="auto" w:fill="FFFFFF"/>
            <w:vAlign w:val="center"/>
          </w:tcPr>
          <w:p w14:paraId="07FF60FF">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394" w:type="pct"/>
            <w:shd w:val="clear" w:color="auto" w:fill="FFFFFF"/>
            <w:vAlign w:val="center"/>
          </w:tcPr>
          <w:p w14:paraId="6C3B563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产出质量</w:t>
            </w:r>
          </w:p>
        </w:tc>
        <w:tc>
          <w:tcPr>
            <w:tcW w:w="422" w:type="pct"/>
            <w:shd w:val="clear" w:color="auto" w:fill="FFFFFF"/>
            <w:vAlign w:val="center"/>
          </w:tcPr>
          <w:p w14:paraId="6DC841ED">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质量达标率</w:t>
            </w:r>
          </w:p>
        </w:tc>
        <w:tc>
          <w:tcPr>
            <w:tcW w:w="680" w:type="pct"/>
            <w:shd w:val="clear" w:color="000000" w:fill="FFFFFF"/>
            <w:vAlign w:val="center"/>
          </w:tcPr>
          <w:p w14:paraId="61CF5FD6">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项目完成的质量达标产出数与实际产出数的比率，用以反映和考核项目产出质量目标的实现程度。</w:t>
            </w:r>
          </w:p>
        </w:tc>
        <w:tc>
          <w:tcPr>
            <w:tcW w:w="2056" w:type="pct"/>
            <w:shd w:val="clear" w:color="000000" w:fill="FFFFFF"/>
            <w:vAlign w:val="center"/>
          </w:tcPr>
          <w:p w14:paraId="5D596361">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质量达标率=（质量达标产出数/实际产出数）×100%。</w:t>
            </w:r>
          </w:p>
          <w:p w14:paraId="7C3CBBD8">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gridSpan w:val="2"/>
            <w:shd w:val="clear" w:color="000000" w:fill="FFFFFF"/>
            <w:vAlign w:val="center"/>
          </w:tcPr>
          <w:p w14:paraId="19C6B3B8">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538" w:type="pct"/>
            <w:shd w:val="clear" w:color="000000" w:fill="FFFFFF"/>
            <w:vAlign w:val="center"/>
          </w:tcPr>
          <w:p w14:paraId="76196158">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2B600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95" w:type="pct"/>
            <w:vMerge w:val="continue"/>
            <w:shd w:val="clear" w:color="auto" w:fill="FFFFFF"/>
            <w:vAlign w:val="center"/>
          </w:tcPr>
          <w:p w14:paraId="27B1A842">
            <w:pPr>
              <w:spacing w:line="0" w:lineRule="atLeast"/>
              <w:jc w:val="center"/>
              <w:rPr>
                <w:rFonts w:hint="default" w:ascii="Times New Roman" w:hAnsi="Times New Roman" w:eastAsia="仿宋_GB2312" w:cs="Times New Roman"/>
                <w:color w:val="000000"/>
                <w:kern w:val="0"/>
                <w:sz w:val="18"/>
                <w:szCs w:val="18"/>
                <w:highlight w:val="none"/>
              </w:rPr>
            </w:pPr>
          </w:p>
        </w:tc>
        <w:tc>
          <w:tcPr>
            <w:tcW w:w="394" w:type="pct"/>
            <w:shd w:val="clear" w:color="auto" w:fill="FFFFFF"/>
            <w:vAlign w:val="center"/>
          </w:tcPr>
          <w:p w14:paraId="27A049C5">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产出时效</w:t>
            </w:r>
          </w:p>
        </w:tc>
        <w:tc>
          <w:tcPr>
            <w:tcW w:w="422" w:type="pct"/>
            <w:shd w:val="clear" w:color="auto" w:fill="FFFFFF"/>
            <w:vAlign w:val="center"/>
          </w:tcPr>
          <w:p w14:paraId="5574CF40">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完成及时性</w:t>
            </w:r>
          </w:p>
        </w:tc>
        <w:tc>
          <w:tcPr>
            <w:tcW w:w="680" w:type="pct"/>
            <w:shd w:val="clear" w:color="000000" w:fill="FFFFFF"/>
            <w:vAlign w:val="center"/>
          </w:tcPr>
          <w:p w14:paraId="3B490CED">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项目实际完成时间与计划完成时间的比较，用以反映和考核项目产出时效目标的实现程度。</w:t>
            </w:r>
          </w:p>
        </w:tc>
        <w:tc>
          <w:tcPr>
            <w:tcW w:w="2056" w:type="pct"/>
            <w:shd w:val="clear" w:color="000000" w:fill="FFFFFF"/>
            <w:vAlign w:val="center"/>
          </w:tcPr>
          <w:p w14:paraId="31F6D272">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实际完成时间：项目实施单位完成该项目实际所耗用的时间。</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计划完成时间：按照项目实施计划或相关规定完成该项目所需的时间。</w:t>
            </w:r>
          </w:p>
        </w:tc>
        <w:tc>
          <w:tcPr>
            <w:tcW w:w="514" w:type="pct"/>
            <w:gridSpan w:val="2"/>
            <w:shd w:val="clear" w:color="000000" w:fill="FFFFFF"/>
            <w:vAlign w:val="center"/>
          </w:tcPr>
          <w:p w14:paraId="7CE7449B">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538" w:type="pct"/>
            <w:shd w:val="clear" w:color="000000" w:fill="FFFFFF"/>
            <w:vAlign w:val="center"/>
          </w:tcPr>
          <w:p w14:paraId="41DAC46F">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55C1B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79782184">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394" w:type="pct"/>
            <w:shd w:val="clear" w:color="auto" w:fill="FFFFFF"/>
            <w:vAlign w:val="center"/>
          </w:tcPr>
          <w:p w14:paraId="6333D6A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产出成本</w:t>
            </w:r>
          </w:p>
        </w:tc>
        <w:tc>
          <w:tcPr>
            <w:tcW w:w="422" w:type="pct"/>
            <w:shd w:val="clear" w:color="auto" w:fill="FFFFFF"/>
            <w:vAlign w:val="center"/>
          </w:tcPr>
          <w:p w14:paraId="617EB94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成本节约率</w:t>
            </w:r>
          </w:p>
        </w:tc>
        <w:tc>
          <w:tcPr>
            <w:tcW w:w="680" w:type="pct"/>
            <w:shd w:val="clear" w:color="000000" w:fill="FFFFFF"/>
            <w:vAlign w:val="center"/>
          </w:tcPr>
          <w:p w14:paraId="088B19F2">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完成项目计划工作目标的实际节约成本与计划成本的比率，用以反映和考核项目的成本节约程度。</w:t>
            </w:r>
          </w:p>
        </w:tc>
        <w:tc>
          <w:tcPr>
            <w:tcW w:w="2056" w:type="pct"/>
            <w:shd w:val="clear" w:color="000000" w:fill="FFFFFF"/>
            <w:vAlign w:val="center"/>
          </w:tcPr>
          <w:p w14:paraId="58A313F5">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成本节约率=[（计划成本-实际成本）/计划成本]×100%。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实际成本：项目实施单位如期、保质、保量完成既定工作目标实际所耗费的支出。</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计划成本：项目实施单位为完成工作目标计划安排的支出，一般以项目预算为参考。</w:t>
            </w:r>
          </w:p>
        </w:tc>
        <w:tc>
          <w:tcPr>
            <w:tcW w:w="514" w:type="pct"/>
            <w:gridSpan w:val="2"/>
            <w:shd w:val="clear" w:color="000000" w:fill="FFFFFF"/>
            <w:vAlign w:val="center"/>
          </w:tcPr>
          <w:p w14:paraId="1AA66710">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538" w:type="pct"/>
            <w:shd w:val="clear" w:color="000000" w:fill="FFFFFF"/>
            <w:vAlign w:val="center"/>
          </w:tcPr>
          <w:p w14:paraId="5AA989E3">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2D57D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95" w:type="pct"/>
            <w:vMerge w:val="restart"/>
            <w:shd w:val="clear" w:color="auto" w:fill="FFFFFF"/>
            <w:vAlign w:val="center"/>
          </w:tcPr>
          <w:p w14:paraId="407A8436">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效益　</w:t>
            </w:r>
          </w:p>
        </w:tc>
        <w:tc>
          <w:tcPr>
            <w:tcW w:w="394" w:type="pct"/>
            <w:vMerge w:val="restart"/>
            <w:shd w:val="clear" w:color="auto" w:fill="FFFFFF"/>
            <w:vAlign w:val="center"/>
          </w:tcPr>
          <w:p w14:paraId="21FCFCD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项目效益　</w:t>
            </w:r>
          </w:p>
        </w:tc>
        <w:tc>
          <w:tcPr>
            <w:tcW w:w="422" w:type="pct"/>
            <w:shd w:val="clear" w:color="auto" w:fill="FFFFFF"/>
            <w:vAlign w:val="center"/>
          </w:tcPr>
          <w:p w14:paraId="6E48256B">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实施效益</w:t>
            </w:r>
          </w:p>
        </w:tc>
        <w:tc>
          <w:tcPr>
            <w:tcW w:w="680" w:type="pct"/>
            <w:shd w:val="clear" w:color="auto" w:fill="FFFFFF"/>
            <w:vAlign w:val="center"/>
          </w:tcPr>
          <w:p w14:paraId="795E0B36">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项目实施所产生的效益。</w:t>
            </w:r>
          </w:p>
        </w:tc>
        <w:tc>
          <w:tcPr>
            <w:tcW w:w="2056" w:type="pct"/>
            <w:shd w:val="clear" w:color="auto" w:fill="FFFFFF"/>
            <w:vAlign w:val="center"/>
          </w:tcPr>
          <w:p w14:paraId="153D9E8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项目实施所产生的社会效益、经济效益、生态效益、可持续影响等。可根据项目实际情况有选择地设置和细化。</w:t>
            </w:r>
          </w:p>
        </w:tc>
        <w:tc>
          <w:tcPr>
            <w:tcW w:w="514" w:type="pct"/>
            <w:gridSpan w:val="2"/>
            <w:shd w:val="clear" w:color="auto" w:fill="FFFFFF"/>
            <w:vAlign w:val="center"/>
          </w:tcPr>
          <w:p w14:paraId="7EAE660F">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538" w:type="pct"/>
            <w:shd w:val="clear" w:color="auto" w:fill="FFFFFF"/>
            <w:vAlign w:val="center"/>
          </w:tcPr>
          <w:p w14:paraId="0267F851">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0CDD7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95" w:type="pct"/>
            <w:vMerge w:val="continue"/>
            <w:shd w:val="clear" w:color="auto" w:fill="FFFFFF"/>
            <w:vAlign w:val="center"/>
          </w:tcPr>
          <w:p w14:paraId="6122E626">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394" w:type="pct"/>
            <w:vMerge w:val="continue"/>
            <w:shd w:val="clear" w:color="auto" w:fill="FFFFFF"/>
            <w:vAlign w:val="center"/>
          </w:tcPr>
          <w:p w14:paraId="4981F3CC">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422" w:type="pct"/>
            <w:shd w:val="clear" w:color="auto" w:fill="FFFFFF"/>
            <w:vAlign w:val="center"/>
          </w:tcPr>
          <w:p w14:paraId="44F2D309">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满意度</w:t>
            </w:r>
          </w:p>
        </w:tc>
        <w:tc>
          <w:tcPr>
            <w:tcW w:w="680" w:type="pct"/>
            <w:shd w:val="clear" w:color="000000" w:fill="FFFFFF"/>
            <w:vAlign w:val="center"/>
          </w:tcPr>
          <w:p w14:paraId="47FAA55F">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社会公众或服务对象对项目实施效果的满意程度。</w:t>
            </w:r>
          </w:p>
        </w:tc>
        <w:tc>
          <w:tcPr>
            <w:tcW w:w="2056" w:type="pct"/>
            <w:shd w:val="clear" w:color="000000" w:fill="FFFFFF"/>
            <w:vAlign w:val="center"/>
          </w:tcPr>
          <w:p w14:paraId="00C88B8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社会公众或服务对象是指因该项目实施而受到影响的部门（单位）、群体或个人。一般采取社会调查的方式。</w:t>
            </w:r>
          </w:p>
        </w:tc>
        <w:tc>
          <w:tcPr>
            <w:tcW w:w="514" w:type="pct"/>
            <w:gridSpan w:val="2"/>
            <w:shd w:val="clear" w:color="000000" w:fill="FFFFFF"/>
            <w:vAlign w:val="center"/>
          </w:tcPr>
          <w:p w14:paraId="40EDE37F">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538" w:type="pct"/>
            <w:shd w:val="clear" w:color="000000" w:fill="FFFFFF"/>
            <w:vAlign w:val="center"/>
          </w:tcPr>
          <w:p w14:paraId="6EF7EC98">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2F2D7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3949" w:type="pct"/>
            <w:gridSpan w:val="6"/>
            <w:shd w:val="clear" w:color="auto" w:fill="FFFFFF"/>
            <w:vAlign w:val="center"/>
          </w:tcPr>
          <w:p w14:paraId="2B863E0F">
            <w:pPr>
              <w:widowControl/>
              <w:spacing w:line="0" w:lineRule="atLeast"/>
              <w:jc w:val="center"/>
              <w:rPr>
                <w:rFonts w:hint="eastAsia"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合计</w:t>
            </w:r>
          </w:p>
        </w:tc>
        <w:tc>
          <w:tcPr>
            <w:tcW w:w="512" w:type="pct"/>
            <w:shd w:val="clear" w:color="000000" w:fill="FFFFFF"/>
            <w:vAlign w:val="center"/>
          </w:tcPr>
          <w:p w14:paraId="4E95BD9D">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fldChar w:fldCharType="begin"/>
            </w:r>
            <w:r>
              <w:rPr>
                <w:rFonts w:hint="default" w:ascii="Times New Roman" w:hAnsi="Times New Roman" w:eastAsia="仿宋_GB2312" w:cs="Times New Roman"/>
                <w:b/>
                <w:bCs/>
                <w:color w:val="000000"/>
                <w:kern w:val="0"/>
                <w:sz w:val="18"/>
                <w:szCs w:val="18"/>
                <w:highlight w:val="none"/>
              </w:rPr>
              <w:instrText xml:space="preserve"> = sum(F2:F18) \* MERGEFORMAT </w:instrText>
            </w:r>
            <w:r>
              <w:rPr>
                <w:rFonts w:hint="default" w:ascii="Times New Roman" w:hAnsi="Times New Roman" w:eastAsia="仿宋_GB2312" w:cs="Times New Roman"/>
                <w:b/>
                <w:bCs/>
                <w:color w:val="000000"/>
                <w:kern w:val="0"/>
                <w:sz w:val="18"/>
                <w:szCs w:val="18"/>
                <w:highlight w:val="none"/>
              </w:rPr>
              <w:fldChar w:fldCharType="separate"/>
            </w:r>
            <w:r>
              <w:rPr>
                <w:rFonts w:hint="default" w:ascii="Times New Roman" w:hAnsi="Times New Roman" w:eastAsia="仿宋_GB2312" w:cs="Times New Roman"/>
                <w:b/>
                <w:bCs/>
                <w:color w:val="000000"/>
                <w:kern w:val="0"/>
                <w:sz w:val="18"/>
                <w:szCs w:val="18"/>
                <w:highlight w:val="none"/>
              </w:rPr>
              <w:t>100</w:t>
            </w:r>
            <w:r>
              <w:rPr>
                <w:rFonts w:hint="default" w:ascii="Times New Roman" w:hAnsi="Times New Roman" w:eastAsia="仿宋_GB2312" w:cs="Times New Roman"/>
                <w:b/>
                <w:bCs/>
                <w:color w:val="000000"/>
                <w:kern w:val="0"/>
                <w:sz w:val="18"/>
                <w:szCs w:val="18"/>
                <w:highlight w:val="none"/>
              </w:rPr>
              <w:fldChar w:fldCharType="end"/>
            </w:r>
          </w:p>
        </w:tc>
        <w:tc>
          <w:tcPr>
            <w:tcW w:w="538" w:type="pct"/>
            <w:shd w:val="clear" w:color="000000" w:fill="FFFFFF"/>
            <w:vAlign w:val="center"/>
          </w:tcPr>
          <w:p w14:paraId="33BB8A15">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100</w:t>
            </w:r>
          </w:p>
        </w:tc>
      </w:tr>
    </w:tbl>
    <w:p w14:paraId="22593E3A">
      <w:pPr>
        <w:rPr>
          <w:rFonts w:hint="default" w:ascii="Times New Roman" w:hAnsi="Times New Roman" w:cs="Times New Roman"/>
          <w:highlight w:val="none"/>
        </w:rPr>
        <w:sectPr>
          <w:pgSz w:w="16838" w:h="11906" w:orient="landscape"/>
          <w:pgMar w:top="1800" w:right="1440" w:bottom="1558" w:left="1440" w:header="851" w:footer="992" w:gutter="0"/>
          <w:cols w:space="425" w:num="1"/>
          <w:docGrid w:type="lines" w:linePitch="312" w:charSpace="0"/>
        </w:sect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55"/>
        <w:gridCol w:w="488"/>
        <w:gridCol w:w="733"/>
        <w:gridCol w:w="2755"/>
        <w:gridCol w:w="791"/>
        <w:gridCol w:w="840"/>
        <w:gridCol w:w="563"/>
        <w:gridCol w:w="847"/>
        <w:gridCol w:w="494"/>
        <w:gridCol w:w="798"/>
      </w:tblGrid>
      <w:tr w14:paraId="083C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13A19D04">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bookmarkStart w:id="3" w:name="_GoBack"/>
            <w:bookmarkEnd w:id="3"/>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004D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75FBA8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325D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9" w:type="pct"/>
            <w:gridSpan w:val="2"/>
            <w:tcBorders>
              <w:top w:val="single" w:color="000000" w:sz="4" w:space="0"/>
              <w:left w:val="single" w:color="000000" w:sz="4" w:space="0"/>
              <w:bottom w:val="single" w:color="000000" w:sz="4" w:space="0"/>
              <w:right w:val="single" w:color="000000" w:sz="4" w:space="0"/>
            </w:tcBorders>
            <w:shd w:val="clear"/>
            <w:vAlign w:val="center"/>
          </w:tcPr>
          <w:p w14:paraId="612560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4460" w:type="pct"/>
            <w:gridSpan w:val="8"/>
            <w:tcBorders>
              <w:top w:val="single" w:color="000000" w:sz="4" w:space="0"/>
              <w:left w:val="single" w:color="000000" w:sz="4" w:space="0"/>
              <w:bottom w:val="single" w:color="000000" w:sz="4" w:space="0"/>
              <w:right w:val="single" w:color="000000" w:sz="4" w:space="0"/>
            </w:tcBorders>
            <w:shd w:val="clear"/>
            <w:vAlign w:val="center"/>
          </w:tcPr>
          <w:p w14:paraId="0D7762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新疆人才发展基金2024年第一批支持资金</w:t>
            </w:r>
          </w:p>
        </w:tc>
      </w:tr>
      <w:tr w14:paraId="730B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39" w:type="pct"/>
            <w:gridSpan w:val="2"/>
            <w:tcBorders>
              <w:top w:val="single" w:color="000000" w:sz="4" w:space="0"/>
              <w:left w:val="single" w:color="000000" w:sz="4" w:space="0"/>
              <w:bottom w:val="single" w:color="000000" w:sz="4" w:space="0"/>
              <w:right w:val="single" w:color="000000" w:sz="4" w:space="0"/>
            </w:tcBorders>
            <w:shd w:val="clear"/>
            <w:vAlign w:val="center"/>
          </w:tcPr>
          <w:p w14:paraId="6C3E9B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1990" w:type="pct"/>
            <w:gridSpan w:val="2"/>
            <w:tcBorders>
              <w:top w:val="single" w:color="000000" w:sz="4" w:space="0"/>
              <w:left w:val="single" w:color="000000" w:sz="4" w:space="0"/>
              <w:bottom w:val="single" w:color="000000" w:sz="4" w:space="0"/>
              <w:right w:val="single" w:color="000000" w:sz="4" w:space="0"/>
            </w:tcBorders>
            <w:shd w:val="clear"/>
            <w:vAlign w:val="center"/>
          </w:tcPr>
          <w:p w14:paraId="38B715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乌鲁木齐市沙依巴克区教育局</w:t>
            </w:r>
          </w:p>
        </w:tc>
        <w:tc>
          <w:tcPr>
            <w:tcW w:w="450" w:type="pct"/>
            <w:tcBorders>
              <w:top w:val="single" w:color="000000" w:sz="4" w:space="0"/>
              <w:left w:val="single" w:color="000000" w:sz="4" w:space="0"/>
              <w:bottom w:val="single" w:color="000000" w:sz="4" w:space="0"/>
              <w:right w:val="single" w:color="000000" w:sz="4" w:space="0"/>
            </w:tcBorders>
            <w:shd w:val="clear"/>
            <w:vAlign w:val="center"/>
          </w:tcPr>
          <w:p w14:paraId="479048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2020" w:type="pct"/>
            <w:gridSpan w:val="5"/>
            <w:tcBorders>
              <w:top w:val="single" w:color="000000" w:sz="4" w:space="0"/>
              <w:left w:val="single" w:color="000000" w:sz="4" w:space="0"/>
              <w:bottom w:val="single" w:color="000000" w:sz="4" w:space="0"/>
              <w:right w:val="single" w:color="000000" w:sz="4" w:space="0"/>
            </w:tcBorders>
            <w:shd w:val="clear"/>
            <w:vAlign w:val="center"/>
          </w:tcPr>
          <w:p w14:paraId="7CE063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乌鲁木齐市第四十一中学</w:t>
            </w:r>
          </w:p>
        </w:tc>
      </w:tr>
      <w:tr w14:paraId="33EE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39"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13E1B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605694CE">
            <w:pPr>
              <w:snapToGrid w:val="0"/>
              <w:jc w:val="center"/>
              <w:rPr>
                <w:rFonts w:hint="eastAsia" w:ascii="宋体" w:hAnsi="宋体" w:eastAsia="宋体" w:cs="宋体"/>
                <w:i w:val="0"/>
                <w:iCs w:val="0"/>
                <w:color w:val="000000"/>
                <w:sz w:val="20"/>
                <w:szCs w:val="20"/>
                <w:u w:val="none"/>
              </w:rPr>
            </w:pP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6FD0CB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450" w:type="pct"/>
            <w:tcBorders>
              <w:top w:val="single" w:color="000000" w:sz="4" w:space="0"/>
              <w:left w:val="single" w:color="000000" w:sz="4" w:space="0"/>
              <w:bottom w:val="single" w:color="000000" w:sz="4" w:space="0"/>
              <w:right w:val="single" w:color="000000" w:sz="4" w:space="0"/>
            </w:tcBorders>
            <w:shd w:val="clear"/>
            <w:vAlign w:val="center"/>
          </w:tcPr>
          <w:p w14:paraId="350241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4B3B9D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20E71F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65" w:type="pct"/>
            <w:gridSpan w:val="2"/>
            <w:tcBorders>
              <w:top w:val="single" w:color="000000" w:sz="4" w:space="0"/>
              <w:left w:val="single" w:color="000000" w:sz="4" w:space="0"/>
              <w:bottom w:val="single" w:color="000000" w:sz="4" w:space="0"/>
              <w:right w:val="single" w:color="000000" w:sz="4" w:space="0"/>
            </w:tcBorders>
            <w:shd w:val="clear"/>
            <w:vAlign w:val="center"/>
          </w:tcPr>
          <w:p w14:paraId="3B16E0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4FD0A3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016E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3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4DA9F56">
            <w:pPr>
              <w:snapToGrid w:val="0"/>
              <w:jc w:val="center"/>
              <w:rPr>
                <w:rFonts w:hint="eastAsia" w:ascii="宋体" w:hAnsi="宋体" w:eastAsia="宋体" w:cs="宋体"/>
                <w:i w:val="0"/>
                <w:iCs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10A5B5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02BAD1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c>
          <w:tcPr>
            <w:tcW w:w="450" w:type="pct"/>
            <w:tcBorders>
              <w:top w:val="single" w:color="000000" w:sz="4" w:space="0"/>
              <w:left w:val="single" w:color="000000" w:sz="4" w:space="0"/>
              <w:bottom w:val="single" w:color="000000" w:sz="4" w:space="0"/>
              <w:right w:val="single" w:color="000000" w:sz="4" w:space="0"/>
            </w:tcBorders>
            <w:shd w:val="clear"/>
            <w:vAlign w:val="center"/>
          </w:tcPr>
          <w:p w14:paraId="026C96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28.00</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4DCF0C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28.00</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71EFCE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65" w:type="pct"/>
            <w:gridSpan w:val="2"/>
            <w:tcBorders>
              <w:top w:val="single" w:color="000000" w:sz="4" w:space="0"/>
              <w:left w:val="single" w:color="000000" w:sz="4" w:space="0"/>
              <w:bottom w:val="single" w:color="000000" w:sz="4" w:space="0"/>
              <w:right w:val="single" w:color="000000" w:sz="4" w:space="0"/>
            </w:tcBorders>
            <w:shd w:val="clear"/>
            <w:vAlign w:val="center"/>
          </w:tcPr>
          <w:p w14:paraId="6F471F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1FA2CF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58407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3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81645FE">
            <w:pPr>
              <w:snapToGrid w:val="0"/>
              <w:jc w:val="center"/>
              <w:rPr>
                <w:rFonts w:hint="eastAsia" w:ascii="宋体" w:hAnsi="宋体" w:eastAsia="宋体" w:cs="宋体"/>
                <w:i w:val="0"/>
                <w:iCs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488304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18E1F0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c>
          <w:tcPr>
            <w:tcW w:w="450" w:type="pct"/>
            <w:tcBorders>
              <w:top w:val="single" w:color="000000" w:sz="4" w:space="0"/>
              <w:left w:val="single" w:color="000000" w:sz="4" w:space="0"/>
              <w:bottom w:val="single" w:color="000000" w:sz="4" w:space="0"/>
              <w:right w:val="single" w:color="000000" w:sz="4" w:space="0"/>
            </w:tcBorders>
            <w:shd w:val="clear"/>
            <w:vAlign w:val="center"/>
          </w:tcPr>
          <w:p w14:paraId="475CFA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28.00</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195314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28.00</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170814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5" w:type="pct"/>
            <w:gridSpan w:val="2"/>
            <w:tcBorders>
              <w:top w:val="single" w:color="000000" w:sz="4" w:space="0"/>
              <w:left w:val="single" w:color="000000" w:sz="4" w:space="0"/>
              <w:bottom w:val="single" w:color="000000" w:sz="4" w:space="0"/>
              <w:right w:val="single" w:color="000000" w:sz="4" w:space="0"/>
            </w:tcBorders>
            <w:shd w:val="clear"/>
            <w:vAlign w:val="center"/>
          </w:tcPr>
          <w:p w14:paraId="527A66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293626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B1A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3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08CE4A2">
            <w:pPr>
              <w:snapToGrid w:val="0"/>
              <w:jc w:val="center"/>
              <w:rPr>
                <w:rFonts w:hint="eastAsia" w:ascii="宋体" w:hAnsi="宋体" w:eastAsia="宋体" w:cs="宋体"/>
                <w:i w:val="0"/>
                <w:iCs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766204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32744D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450" w:type="pct"/>
            <w:tcBorders>
              <w:top w:val="single" w:color="000000" w:sz="4" w:space="0"/>
              <w:left w:val="single" w:color="000000" w:sz="4" w:space="0"/>
              <w:bottom w:val="single" w:color="000000" w:sz="4" w:space="0"/>
              <w:right w:val="single" w:color="000000" w:sz="4" w:space="0"/>
            </w:tcBorders>
            <w:shd w:val="clear"/>
            <w:vAlign w:val="center"/>
          </w:tcPr>
          <w:p w14:paraId="61D7FB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7ACEB1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00AB4D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5" w:type="pct"/>
            <w:gridSpan w:val="2"/>
            <w:tcBorders>
              <w:top w:val="single" w:color="000000" w:sz="4" w:space="0"/>
              <w:left w:val="single" w:color="000000" w:sz="4" w:space="0"/>
              <w:bottom w:val="single" w:color="000000" w:sz="4" w:space="0"/>
              <w:right w:val="single" w:color="000000" w:sz="4" w:space="0"/>
            </w:tcBorders>
            <w:shd w:val="clear"/>
            <w:vAlign w:val="center"/>
          </w:tcPr>
          <w:p w14:paraId="455E05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0B0048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F99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732D7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2719" w:type="pct"/>
            <w:gridSpan w:val="4"/>
            <w:tcBorders>
              <w:top w:val="single" w:color="000000" w:sz="4" w:space="0"/>
              <w:left w:val="single" w:color="000000" w:sz="4" w:space="0"/>
              <w:bottom w:val="single" w:color="000000" w:sz="4" w:space="0"/>
              <w:right w:val="single" w:color="000000" w:sz="4" w:space="0"/>
            </w:tcBorders>
            <w:shd w:val="clear"/>
            <w:vAlign w:val="center"/>
          </w:tcPr>
          <w:p w14:paraId="455927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2020" w:type="pct"/>
            <w:gridSpan w:val="5"/>
            <w:tcBorders>
              <w:top w:val="single" w:color="000000" w:sz="4" w:space="0"/>
              <w:left w:val="single" w:color="000000" w:sz="4" w:space="0"/>
              <w:bottom w:val="single" w:color="000000" w:sz="4" w:space="0"/>
              <w:right w:val="single" w:color="000000" w:sz="4" w:space="0"/>
            </w:tcBorders>
            <w:shd w:val="clear"/>
            <w:vAlign w:val="center"/>
          </w:tcPr>
          <w:p w14:paraId="0C1C2E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7C5E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AE7209">
            <w:pPr>
              <w:snapToGrid w:val="0"/>
              <w:jc w:val="center"/>
              <w:rPr>
                <w:rFonts w:hint="eastAsia" w:ascii="宋体" w:hAnsi="宋体" w:eastAsia="宋体" w:cs="宋体"/>
                <w:i w:val="0"/>
                <w:iCs w:val="0"/>
                <w:color w:val="000000"/>
                <w:sz w:val="20"/>
                <w:szCs w:val="20"/>
                <w:u w:val="none"/>
              </w:rPr>
            </w:pPr>
          </w:p>
        </w:tc>
        <w:tc>
          <w:tcPr>
            <w:tcW w:w="2719" w:type="pct"/>
            <w:gridSpan w:val="4"/>
            <w:tcBorders>
              <w:top w:val="single" w:color="000000" w:sz="4" w:space="0"/>
              <w:left w:val="single" w:color="000000" w:sz="4" w:space="0"/>
              <w:bottom w:val="single" w:color="000000" w:sz="4" w:space="0"/>
              <w:right w:val="single" w:color="000000" w:sz="4" w:space="0"/>
            </w:tcBorders>
            <w:shd w:val="clear"/>
            <w:vAlign w:val="top"/>
          </w:tcPr>
          <w:p w14:paraId="799E06A7">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用于以工作室建设、课题研究、课程项目建设。2、进行教师培养、教师队伍建设培训，形成一项高水平的教育成果。3、培养造就一批有创造力、有影响力的教育家型名教师、名校长，引领全区教师队伍整体素质提升，支撑全区教育高质量发展。</w:t>
            </w:r>
          </w:p>
        </w:tc>
        <w:tc>
          <w:tcPr>
            <w:tcW w:w="2020" w:type="pct"/>
            <w:gridSpan w:val="5"/>
            <w:tcBorders>
              <w:top w:val="single" w:color="000000" w:sz="4" w:space="0"/>
              <w:left w:val="single" w:color="000000" w:sz="4" w:space="0"/>
              <w:bottom w:val="single" w:color="000000" w:sz="4" w:space="0"/>
              <w:right w:val="single" w:color="000000" w:sz="4" w:space="0"/>
            </w:tcBorders>
            <w:shd w:val="clear"/>
            <w:vAlign w:val="top"/>
          </w:tcPr>
          <w:p w14:paraId="1319021A">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通过对我单位天山英才教师的补助，取得了教学工作的巨大的进步，从而使得人才得到充分的发挥，提高了我校的教学质量和学科成绩。老师取得的主要成绩是发表了2本著作，发表了7篇文章。</w:t>
            </w:r>
          </w:p>
        </w:tc>
      </w:tr>
      <w:tr w14:paraId="6AE6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52758FB">
            <w:pPr>
              <w:snapToGrid w:val="0"/>
              <w:jc w:val="center"/>
              <w:rPr>
                <w:rFonts w:hint="eastAsia" w:ascii="宋体" w:hAnsi="宋体" w:eastAsia="宋体" w:cs="宋体"/>
                <w:i w:val="0"/>
                <w:iCs w:val="0"/>
                <w:color w:val="000000"/>
                <w:sz w:val="20"/>
                <w:szCs w:val="20"/>
                <w:u w:val="none"/>
              </w:rPr>
            </w:pPr>
          </w:p>
        </w:tc>
        <w:tc>
          <w:tcPr>
            <w:tcW w:w="2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BDF8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4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4CFA76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15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9638F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45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597FC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4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381236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32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3275E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483" w:type="pct"/>
            <w:vMerge w:val="restart"/>
            <w:tcBorders>
              <w:top w:val="single" w:color="000000" w:sz="4" w:space="0"/>
              <w:left w:val="single" w:color="000000" w:sz="4" w:space="0"/>
              <w:bottom w:val="single" w:color="000000" w:sz="4" w:space="0"/>
              <w:right w:val="single" w:color="000000" w:sz="4" w:space="0"/>
            </w:tcBorders>
            <w:shd w:val="clear"/>
            <w:vAlign w:val="center"/>
          </w:tcPr>
          <w:p w14:paraId="24B4C4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736"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19750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14527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0C477C">
            <w:pPr>
              <w:snapToGrid w:val="0"/>
              <w:jc w:val="center"/>
              <w:rPr>
                <w:rFonts w:hint="eastAsia" w:ascii="宋体" w:hAnsi="宋体" w:eastAsia="宋体" w:cs="宋体"/>
                <w:i w:val="0"/>
                <w:iCs w:val="0"/>
                <w:color w:val="000000"/>
                <w:sz w:val="20"/>
                <w:szCs w:val="20"/>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87C842">
            <w:pPr>
              <w:snapToGrid w:val="0"/>
              <w:jc w:val="center"/>
              <w:rPr>
                <w:rFonts w:hint="eastAsia" w:ascii="宋体" w:hAnsi="宋体" w:eastAsia="宋体" w:cs="宋体"/>
                <w:i w:val="0"/>
                <w:iCs w:val="0"/>
                <w:color w:val="000000"/>
                <w:sz w:val="20"/>
                <w:szCs w:val="20"/>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37E040">
            <w:pPr>
              <w:snapToGrid w:val="0"/>
              <w:jc w:val="center"/>
              <w:rPr>
                <w:rFonts w:hint="eastAsia" w:ascii="宋体" w:hAnsi="宋体" w:eastAsia="宋体" w:cs="宋体"/>
                <w:i w:val="0"/>
                <w:iCs w:val="0"/>
                <w:color w:val="000000"/>
                <w:sz w:val="20"/>
                <w:szCs w:val="20"/>
                <w:u w:val="none"/>
              </w:rPr>
            </w:pPr>
          </w:p>
        </w:tc>
        <w:tc>
          <w:tcPr>
            <w:tcW w:w="15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47FD35">
            <w:pPr>
              <w:snapToGrid w:val="0"/>
              <w:jc w:val="center"/>
              <w:rPr>
                <w:rFonts w:hint="eastAsia" w:ascii="宋体" w:hAnsi="宋体" w:eastAsia="宋体" w:cs="宋体"/>
                <w:i w:val="0"/>
                <w:iCs w:val="0"/>
                <w:color w:val="000000"/>
                <w:sz w:val="20"/>
                <w:szCs w:val="20"/>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7A5396">
            <w:pPr>
              <w:snapToGrid w:val="0"/>
              <w:jc w:val="center"/>
              <w:rPr>
                <w:rFonts w:hint="eastAsia" w:ascii="宋体" w:hAnsi="宋体" w:eastAsia="宋体" w:cs="宋体"/>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6F4B97">
            <w:pPr>
              <w:snapToGrid w:val="0"/>
              <w:jc w:val="center"/>
              <w:rPr>
                <w:rFonts w:hint="eastAsia" w:ascii="宋体" w:hAnsi="宋体" w:eastAsia="宋体" w:cs="宋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AA063E">
            <w:pPr>
              <w:snapToGrid w:val="0"/>
              <w:jc w:val="center"/>
              <w:rPr>
                <w:rFonts w:hint="eastAsia" w:ascii="宋体" w:hAnsi="宋体" w:eastAsia="宋体" w:cs="宋体"/>
                <w:i w:val="0"/>
                <w:iCs w:val="0"/>
                <w:color w:val="000000"/>
                <w:sz w:val="20"/>
                <w:szCs w:val="20"/>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AB318E">
            <w:pPr>
              <w:snapToGrid w:val="0"/>
              <w:jc w:val="center"/>
              <w:rPr>
                <w:rFonts w:hint="eastAsia" w:ascii="宋体" w:hAnsi="宋体" w:eastAsia="宋体" w:cs="宋体"/>
                <w:i w:val="0"/>
                <w:iCs w:val="0"/>
                <w:color w:val="000000"/>
                <w:sz w:val="20"/>
                <w:szCs w:val="20"/>
                <w:u w:val="none"/>
              </w:rPr>
            </w:pPr>
          </w:p>
        </w:tc>
        <w:tc>
          <w:tcPr>
            <w:tcW w:w="736"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41998E1">
            <w:pPr>
              <w:snapToGrid w:val="0"/>
              <w:jc w:val="center"/>
              <w:rPr>
                <w:rFonts w:hint="eastAsia" w:ascii="宋体" w:hAnsi="宋体" w:eastAsia="宋体" w:cs="宋体"/>
                <w:i w:val="0"/>
                <w:iCs w:val="0"/>
                <w:color w:val="000000"/>
                <w:sz w:val="20"/>
                <w:szCs w:val="20"/>
                <w:u w:val="none"/>
              </w:rPr>
            </w:pPr>
          </w:p>
        </w:tc>
      </w:tr>
      <w:tr w14:paraId="4027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D8FA3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2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F0589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4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3B5C1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1571" w:type="pct"/>
            <w:tcBorders>
              <w:top w:val="single" w:color="000000" w:sz="4" w:space="0"/>
              <w:left w:val="single" w:color="000000" w:sz="4" w:space="0"/>
              <w:bottom w:val="single" w:color="000000" w:sz="4" w:space="0"/>
              <w:right w:val="single" w:color="000000" w:sz="4" w:space="0"/>
            </w:tcBorders>
            <w:shd w:val="clear"/>
            <w:noWrap/>
            <w:vAlign w:val="center"/>
          </w:tcPr>
          <w:p w14:paraId="439E1CE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天山英才培养人才</w:t>
            </w:r>
          </w:p>
        </w:tc>
        <w:tc>
          <w:tcPr>
            <w:tcW w:w="450" w:type="pct"/>
            <w:tcBorders>
              <w:top w:val="single" w:color="000000" w:sz="4" w:space="0"/>
              <w:left w:val="single" w:color="000000" w:sz="4" w:space="0"/>
              <w:bottom w:val="single" w:color="000000" w:sz="4" w:space="0"/>
              <w:right w:val="single" w:color="000000" w:sz="4" w:space="0"/>
            </w:tcBorders>
            <w:shd w:val="clear"/>
            <w:vAlign w:val="center"/>
          </w:tcPr>
          <w:p w14:paraId="38F2D4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&gt;=1人</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258A45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14EA0F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558645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736" w:type="pct"/>
            <w:gridSpan w:val="2"/>
            <w:tcBorders>
              <w:top w:val="single" w:color="000000" w:sz="4" w:space="0"/>
              <w:left w:val="single" w:color="000000" w:sz="4" w:space="0"/>
              <w:bottom w:val="single" w:color="000000" w:sz="4" w:space="0"/>
              <w:right w:val="single" w:color="000000" w:sz="4" w:space="0"/>
            </w:tcBorders>
            <w:shd w:val="clear"/>
            <w:vAlign w:val="center"/>
          </w:tcPr>
          <w:p w14:paraId="3DBF6D7A">
            <w:pPr>
              <w:snapToGrid w:val="0"/>
              <w:jc w:val="center"/>
              <w:rPr>
                <w:rFonts w:hint="eastAsia" w:ascii="宋体" w:hAnsi="宋体" w:eastAsia="宋体" w:cs="宋体"/>
                <w:i w:val="0"/>
                <w:iCs w:val="0"/>
                <w:color w:val="000000"/>
                <w:sz w:val="20"/>
                <w:szCs w:val="20"/>
                <w:u w:val="none"/>
              </w:rPr>
            </w:pPr>
          </w:p>
        </w:tc>
      </w:tr>
      <w:tr w14:paraId="546C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B2D876">
            <w:pPr>
              <w:snapToGrid w:val="0"/>
              <w:jc w:val="center"/>
              <w:rPr>
                <w:rFonts w:hint="eastAsia" w:ascii="宋体" w:hAnsi="宋体" w:eastAsia="宋体" w:cs="宋体"/>
                <w:i w:val="0"/>
                <w:iCs w:val="0"/>
                <w:color w:val="000000"/>
                <w:sz w:val="20"/>
                <w:szCs w:val="20"/>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E628A6">
            <w:pPr>
              <w:snapToGrid w:val="0"/>
              <w:jc w:val="center"/>
              <w:rPr>
                <w:rFonts w:hint="eastAsia" w:ascii="宋体" w:hAnsi="宋体" w:eastAsia="宋体" w:cs="宋体"/>
                <w:i w:val="0"/>
                <w:iCs w:val="0"/>
                <w:color w:val="000000"/>
                <w:sz w:val="20"/>
                <w:szCs w:val="20"/>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8F5244">
            <w:pPr>
              <w:snapToGrid w:val="0"/>
              <w:jc w:val="center"/>
              <w:rPr>
                <w:rFonts w:hint="eastAsia" w:ascii="宋体" w:hAnsi="宋体" w:eastAsia="宋体" w:cs="宋体"/>
                <w:i w:val="0"/>
                <w:iCs w:val="0"/>
                <w:color w:val="000000"/>
                <w:sz w:val="20"/>
                <w:szCs w:val="20"/>
                <w:u w:val="none"/>
              </w:rPr>
            </w:pPr>
          </w:p>
        </w:tc>
        <w:tc>
          <w:tcPr>
            <w:tcW w:w="1571" w:type="pct"/>
            <w:tcBorders>
              <w:top w:val="single" w:color="000000" w:sz="4" w:space="0"/>
              <w:left w:val="single" w:color="000000" w:sz="4" w:space="0"/>
              <w:bottom w:val="single" w:color="000000" w:sz="4" w:space="0"/>
              <w:right w:val="single" w:color="000000" w:sz="4" w:space="0"/>
            </w:tcBorders>
            <w:shd w:val="clear"/>
            <w:noWrap/>
            <w:vAlign w:val="center"/>
          </w:tcPr>
          <w:p w14:paraId="1E22274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出版相关著作</w:t>
            </w:r>
          </w:p>
        </w:tc>
        <w:tc>
          <w:tcPr>
            <w:tcW w:w="450" w:type="pct"/>
            <w:tcBorders>
              <w:top w:val="single" w:color="000000" w:sz="4" w:space="0"/>
              <w:left w:val="single" w:color="000000" w:sz="4" w:space="0"/>
              <w:bottom w:val="single" w:color="000000" w:sz="4" w:space="0"/>
              <w:right w:val="single" w:color="000000" w:sz="4" w:space="0"/>
            </w:tcBorders>
            <w:shd w:val="clear"/>
            <w:vAlign w:val="center"/>
          </w:tcPr>
          <w:p w14:paraId="3A4643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&gt;=2本</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0E925C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=2本</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0EE882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634956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736" w:type="pct"/>
            <w:gridSpan w:val="2"/>
            <w:tcBorders>
              <w:top w:val="single" w:color="000000" w:sz="4" w:space="0"/>
              <w:left w:val="single" w:color="000000" w:sz="4" w:space="0"/>
              <w:bottom w:val="single" w:color="000000" w:sz="4" w:space="0"/>
              <w:right w:val="single" w:color="000000" w:sz="4" w:space="0"/>
            </w:tcBorders>
            <w:shd w:val="clear"/>
            <w:vAlign w:val="center"/>
          </w:tcPr>
          <w:p w14:paraId="645777B1">
            <w:pPr>
              <w:snapToGrid w:val="0"/>
              <w:jc w:val="center"/>
              <w:rPr>
                <w:rFonts w:hint="eastAsia" w:ascii="宋体" w:hAnsi="宋体" w:eastAsia="宋体" w:cs="宋体"/>
                <w:i w:val="0"/>
                <w:iCs w:val="0"/>
                <w:color w:val="000000"/>
                <w:sz w:val="20"/>
                <w:szCs w:val="20"/>
                <w:u w:val="none"/>
              </w:rPr>
            </w:pPr>
          </w:p>
        </w:tc>
      </w:tr>
      <w:tr w14:paraId="3505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2D93FF">
            <w:pPr>
              <w:snapToGrid w:val="0"/>
              <w:jc w:val="center"/>
              <w:rPr>
                <w:rFonts w:hint="eastAsia" w:ascii="宋体" w:hAnsi="宋体" w:eastAsia="宋体" w:cs="宋体"/>
                <w:i w:val="0"/>
                <w:iCs w:val="0"/>
                <w:color w:val="000000"/>
                <w:sz w:val="20"/>
                <w:szCs w:val="20"/>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CCB506">
            <w:pPr>
              <w:snapToGrid w:val="0"/>
              <w:jc w:val="center"/>
              <w:rPr>
                <w:rFonts w:hint="eastAsia" w:ascii="宋体" w:hAnsi="宋体" w:eastAsia="宋体" w:cs="宋体"/>
                <w:i w:val="0"/>
                <w:iCs w:val="0"/>
                <w:color w:val="000000"/>
                <w:sz w:val="20"/>
                <w:szCs w:val="20"/>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CF2690">
            <w:pPr>
              <w:snapToGrid w:val="0"/>
              <w:jc w:val="center"/>
              <w:rPr>
                <w:rFonts w:hint="eastAsia" w:ascii="宋体" w:hAnsi="宋体" w:eastAsia="宋体" w:cs="宋体"/>
                <w:i w:val="0"/>
                <w:iCs w:val="0"/>
                <w:color w:val="000000"/>
                <w:sz w:val="20"/>
                <w:szCs w:val="20"/>
                <w:u w:val="none"/>
              </w:rPr>
            </w:pPr>
          </w:p>
        </w:tc>
        <w:tc>
          <w:tcPr>
            <w:tcW w:w="1571" w:type="pct"/>
            <w:tcBorders>
              <w:top w:val="single" w:color="000000" w:sz="4" w:space="0"/>
              <w:left w:val="single" w:color="000000" w:sz="4" w:space="0"/>
              <w:bottom w:val="single" w:color="000000" w:sz="4" w:space="0"/>
              <w:right w:val="single" w:color="000000" w:sz="4" w:space="0"/>
            </w:tcBorders>
            <w:shd w:val="clear"/>
            <w:noWrap/>
            <w:vAlign w:val="center"/>
          </w:tcPr>
          <w:p w14:paraId="073E5F1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发表论文</w:t>
            </w:r>
          </w:p>
        </w:tc>
        <w:tc>
          <w:tcPr>
            <w:tcW w:w="450" w:type="pct"/>
            <w:tcBorders>
              <w:top w:val="single" w:color="000000" w:sz="4" w:space="0"/>
              <w:left w:val="single" w:color="000000" w:sz="4" w:space="0"/>
              <w:bottom w:val="single" w:color="000000" w:sz="4" w:space="0"/>
              <w:right w:val="single" w:color="000000" w:sz="4" w:space="0"/>
            </w:tcBorders>
            <w:shd w:val="clear"/>
            <w:vAlign w:val="center"/>
          </w:tcPr>
          <w:p w14:paraId="5BD392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&gt;=7篇</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56E32D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=7篇</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4C1FF4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4D646E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736" w:type="pct"/>
            <w:gridSpan w:val="2"/>
            <w:tcBorders>
              <w:top w:val="single" w:color="000000" w:sz="4" w:space="0"/>
              <w:left w:val="single" w:color="000000" w:sz="4" w:space="0"/>
              <w:bottom w:val="single" w:color="000000" w:sz="4" w:space="0"/>
              <w:right w:val="single" w:color="000000" w:sz="4" w:space="0"/>
            </w:tcBorders>
            <w:shd w:val="clear"/>
            <w:vAlign w:val="center"/>
          </w:tcPr>
          <w:p w14:paraId="7AF08CAC">
            <w:pPr>
              <w:snapToGrid w:val="0"/>
              <w:jc w:val="center"/>
              <w:rPr>
                <w:rFonts w:hint="eastAsia" w:ascii="宋体" w:hAnsi="宋体" w:eastAsia="宋体" w:cs="宋体"/>
                <w:i w:val="0"/>
                <w:iCs w:val="0"/>
                <w:color w:val="000000"/>
                <w:sz w:val="20"/>
                <w:szCs w:val="20"/>
                <w:u w:val="none"/>
              </w:rPr>
            </w:pPr>
          </w:p>
        </w:tc>
      </w:tr>
      <w:tr w14:paraId="726F6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D30C41">
            <w:pPr>
              <w:snapToGrid w:val="0"/>
              <w:jc w:val="center"/>
              <w:rPr>
                <w:rFonts w:hint="eastAsia" w:ascii="宋体" w:hAnsi="宋体" w:eastAsia="宋体" w:cs="宋体"/>
                <w:i w:val="0"/>
                <w:iCs w:val="0"/>
                <w:color w:val="000000"/>
                <w:sz w:val="20"/>
                <w:szCs w:val="20"/>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C21CE2">
            <w:pPr>
              <w:snapToGrid w:val="0"/>
              <w:jc w:val="center"/>
              <w:rPr>
                <w:rFonts w:hint="eastAsia" w:ascii="宋体" w:hAnsi="宋体" w:eastAsia="宋体" w:cs="宋体"/>
                <w:i w:val="0"/>
                <w:iCs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6FA261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1571" w:type="pct"/>
            <w:tcBorders>
              <w:top w:val="single" w:color="000000" w:sz="4" w:space="0"/>
              <w:left w:val="single" w:color="000000" w:sz="4" w:space="0"/>
              <w:bottom w:val="single" w:color="000000" w:sz="4" w:space="0"/>
              <w:right w:val="single" w:color="000000" w:sz="4" w:space="0"/>
            </w:tcBorders>
            <w:shd w:val="clear"/>
            <w:noWrap/>
            <w:vAlign w:val="center"/>
          </w:tcPr>
          <w:p w14:paraId="4F18B90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名师绩效考核合格率</w:t>
            </w:r>
          </w:p>
        </w:tc>
        <w:tc>
          <w:tcPr>
            <w:tcW w:w="450" w:type="pct"/>
            <w:tcBorders>
              <w:top w:val="single" w:color="000000" w:sz="4" w:space="0"/>
              <w:left w:val="single" w:color="000000" w:sz="4" w:space="0"/>
              <w:bottom w:val="single" w:color="000000" w:sz="4" w:space="0"/>
              <w:right w:val="single" w:color="000000" w:sz="4" w:space="0"/>
            </w:tcBorders>
            <w:shd w:val="clear"/>
            <w:vAlign w:val="center"/>
          </w:tcPr>
          <w:p w14:paraId="23BFA2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2CE6FC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41EE62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566E14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736" w:type="pct"/>
            <w:gridSpan w:val="2"/>
            <w:tcBorders>
              <w:top w:val="single" w:color="000000" w:sz="4" w:space="0"/>
              <w:left w:val="single" w:color="000000" w:sz="4" w:space="0"/>
              <w:bottom w:val="single" w:color="000000" w:sz="4" w:space="0"/>
              <w:right w:val="single" w:color="000000" w:sz="4" w:space="0"/>
            </w:tcBorders>
            <w:shd w:val="clear"/>
            <w:vAlign w:val="center"/>
          </w:tcPr>
          <w:p w14:paraId="078127C3">
            <w:pPr>
              <w:snapToGrid w:val="0"/>
              <w:jc w:val="center"/>
              <w:rPr>
                <w:rFonts w:hint="eastAsia" w:ascii="宋体" w:hAnsi="宋体" w:eastAsia="宋体" w:cs="宋体"/>
                <w:i w:val="0"/>
                <w:iCs w:val="0"/>
                <w:color w:val="000000"/>
                <w:sz w:val="20"/>
                <w:szCs w:val="20"/>
                <w:u w:val="none"/>
              </w:rPr>
            </w:pPr>
          </w:p>
        </w:tc>
      </w:tr>
      <w:tr w14:paraId="7BAD9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CB553E">
            <w:pPr>
              <w:snapToGrid w:val="0"/>
              <w:jc w:val="center"/>
              <w:rPr>
                <w:rFonts w:hint="eastAsia" w:ascii="宋体" w:hAnsi="宋体" w:eastAsia="宋体" w:cs="宋体"/>
                <w:i w:val="0"/>
                <w:iCs w:val="0"/>
                <w:color w:val="000000"/>
                <w:sz w:val="20"/>
                <w:szCs w:val="20"/>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B5D288">
            <w:pPr>
              <w:snapToGrid w:val="0"/>
              <w:jc w:val="center"/>
              <w:rPr>
                <w:rFonts w:hint="eastAsia" w:ascii="宋体" w:hAnsi="宋体" w:eastAsia="宋体" w:cs="宋体"/>
                <w:i w:val="0"/>
                <w:iCs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3CECE6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1571" w:type="pct"/>
            <w:tcBorders>
              <w:top w:val="single" w:color="000000" w:sz="4" w:space="0"/>
              <w:left w:val="single" w:color="000000" w:sz="4" w:space="0"/>
              <w:bottom w:val="single" w:color="000000" w:sz="4" w:space="0"/>
              <w:right w:val="single" w:color="000000" w:sz="4" w:space="0"/>
            </w:tcBorders>
            <w:shd w:val="clear"/>
            <w:noWrap/>
            <w:vAlign w:val="center"/>
          </w:tcPr>
          <w:p w14:paraId="59613E9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资金付款及时率</w:t>
            </w:r>
          </w:p>
        </w:tc>
        <w:tc>
          <w:tcPr>
            <w:tcW w:w="450" w:type="pct"/>
            <w:tcBorders>
              <w:top w:val="single" w:color="000000" w:sz="4" w:space="0"/>
              <w:left w:val="single" w:color="000000" w:sz="4" w:space="0"/>
              <w:bottom w:val="single" w:color="000000" w:sz="4" w:space="0"/>
              <w:right w:val="single" w:color="000000" w:sz="4" w:space="0"/>
            </w:tcBorders>
            <w:shd w:val="clear"/>
            <w:vAlign w:val="center"/>
          </w:tcPr>
          <w:p w14:paraId="6D76CD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7F7E54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7F783A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31EB00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736" w:type="pct"/>
            <w:gridSpan w:val="2"/>
            <w:tcBorders>
              <w:top w:val="single" w:color="000000" w:sz="4" w:space="0"/>
              <w:left w:val="single" w:color="000000" w:sz="4" w:space="0"/>
              <w:bottom w:val="single" w:color="000000" w:sz="4" w:space="0"/>
              <w:right w:val="single" w:color="000000" w:sz="4" w:space="0"/>
            </w:tcBorders>
            <w:shd w:val="clear"/>
            <w:vAlign w:val="center"/>
          </w:tcPr>
          <w:p w14:paraId="76EF3CDE">
            <w:pPr>
              <w:snapToGrid w:val="0"/>
              <w:jc w:val="center"/>
              <w:rPr>
                <w:rFonts w:hint="eastAsia" w:ascii="宋体" w:hAnsi="宋体" w:eastAsia="宋体" w:cs="宋体"/>
                <w:i w:val="0"/>
                <w:iCs w:val="0"/>
                <w:color w:val="000000"/>
                <w:sz w:val="20"/>
                <w:szCs w:val="20"/>
                <w:u w:val="none"/>
              </w:rPr>
            </w:pPr>
          </w:p>
        </w:tc>
      </w:tr>
      <w:tr w14:paraId="5F530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370E28">
            <w:pPr>
              <w:snapToGrid w:val="0"/>
              <w:jc w:val="center"/>
              <w:rPr>
                <w:rFonts w:hint="eastAsia" w:ascii="宋体" w:hAnsi="宋体" w:eastAsia="宋体" w:cs="宋体"/>
                <w:i w:val="0"/>
                <w:iCs w:val="0"/>
                <w:color w:val="000000"/>
                <w:sz w:val="20"/>
                <w:szCs w:val="20"/>
                <w:u w:val="none"/>
              </w:rPr>
            </w:pPr>
          </w:p>
        </w:tc>
        <w:tc>
          <w:tcPr>
            <w:tcW w:w="2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4D9E4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4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1D2758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1571" w:type="pct"/>
            <w:tcBorders>
              <w:top w:val="single" w:color="000000" w:sz="4" w:space="0"/>
              <w:left w:val="single" w:color="000000" w:sz="4" w:space="0"/>
              <w:bottom w:val="single" w:color="000000" w:sz="4" w:space="0"/>
              <w:right w:val="single" w:color="000000" w:sz="4" w:space="0"/>
            </w:tcBorders>
            <w:shd w:val="clear"/>
            <w:noWrap/>
            <w:vAlign w:val="center"/>
          </w:tcPr>
          <w:p w14:paraId="2F2FAC5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天山英才名师人选补助标准</w:t>
            </w:r>
          </w:p>
        </w:tc>
        <w:tc>
          <w:tcPr>
            <w:tcW w:w="450" w:type="pct"/>
            <w:tcBorders>
              <w:top w:val="single" w:color="000000" w:sz="4" w:space="0"/>
              <w:left w:val="single" w:color="000000" w:sz="4" w:space="0"/>
              <w:bottom w:val="single" w:color="000000" w:sz="4" w:space="0"/>
              <w:right w:val="single" w:color="000000" w:sz="4" w:space="0"/>
            </w:tcBorders>
            <w:shd w:val="clear"/>
            <w:vAlign w:val="center"/>
          </w:tcPr>
          <w:p w14:paraId="7D0931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&lt;=9万元/人</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28DBD3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=9万元/人</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39E2FA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7174E3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736" w:type="pct"/>
            <w:gridSpan w:val="2"/>
            <w:tcBorders>
              <w:top w:val="single" w:color="000000" w:sz="4" w:space="0"/>
              <w:left w:val="single" w:color="000000" w:sz="4" w:space="0"/>
              <w:bottom w:val="single" w:color="000000" w:sz="4" w:space="0"/>
              <w:right w:val="single" w:color="000000" w:sz="4" w:space="0"/>
            </w:tcBorders>
            <w:shd w:val="clear"/>
            <w:vAlign w:val="center"/>
          </w:tcPr>
          <w:p w14:paraId="5ECA8691">
            <w:pPr>
              <w:snapToGrid w:val="0"/>
              <w:jc w:val="center"/>
              <w:rPr>
                <w:rFonts w:hint="eastAsia" w:ascii="宋体" w:hAnsi="宋体" w:eastAsia="宋体" w:cs="宋体"/>
                <w:i w:val="0"/>
                <w:iCs w:val="0"/>
                <w:color w:val="000000"/>
                <w:sz w:val="20"/>
                <w:szCs w:val="20"/>
                <w:u w:val="none"/>
              </w:rPr>
            </w:pPr>
          </w:p>
        </w:tc>
      </w:tr>
      <w:tr w14:paraId="306C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89AD98">
            <w:pPr>
              <w:snapToGrid w:val="0"/>
              <w:jc w:val="center"/>
              <w:rPr>
                <w:rFonts w:hint="eastAsia" w:ascii="宋体" w:hAnsi="宋体" w:eastAsia="宋体" w:cs="宋体"/>
                <w:i w:val="0"/>
                <w:iCs w:val="0"/>
                <w:color w:val="000000"/>
                <w:sz w:val="20"/>
                <w:szCs w:val="20"/>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809DF3">
            <w:pPr>
              <w:snapToGrid w:val="0"/>
              <w:jc w:val="center"/>
              <w:rPr>
                <w:rFonts w:hint="eastAsia" w:ascii="宋体" w:hAnsi="宋体" w:eastAsia="宋体" w:cs="宋体"/>
                <w:i w:val="0"/>
                <w:iCs w:val="0"/>
                <w:color w:val="000000"/>
                <w:sz w:val="20"/>
                <w:szCs w:val="20"/>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5AD8C1">
            <w:pPr>
              <w:snapToGrid w:val="0"/>
              <w:jc w:val="center"/>
              <w:rPr>
                <w:rFonts w:hint="eastAsia" w:ascii="宋体" w:hAnsi="宋体" w:eastAsia="宋体" w:cs="宋体"/>
                <w:i w:val="0"/>
                <w:iCs w:val="0"/>
                <w:color w:val="000000"/>
                <w:sz w:val="20"/>
                <w:szCs w:val="20"/>
                <w:u w:val="none"/>
              </w:rPr>
            </w:pPr>
          </w:p>
        </w:tc>
        <w:tc>
          <w:tcPr>
            <w:tcW w:w="1571" w:type="pct"/>
            <w:tcBorders>
              <w:top w:val="single" w:color="000000" w:sz="4" w:space="0"/>
              <w:left w:val="single" w:color="000000" w:sz="4" w:space="0"/>
              <w:bottom w:val="single" w:color="000000" w:sz="4" w:space="0"/>
              <w:right w:val="single" w:color="000000" w:sz="4" w:space="0"/>
            </w:tcBorders>
            <w:shd w:val="clear"/>
            <w:noWrap/>
            <w:vAlign w:val="center"/>
          </w:tcPr>
          <w:p w14:paraId="786DE27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出版论文成本</w:t>
            </w:r>
          </w:p>
        </w:tc>
        <w:tc>
          <w:tcPr>
            <w:tcW w:w="450" w:type="pct"/>
            <w:tcBorders>
              <w:top w:val="single" w:color="000000" w:sz="4" w:space="0"/>
              <w:left w:val="single" w:color="000000" w:sz="4" w:space="0"/>
              <w:bottom w:val="single" w:color="000000" w:sz="4" w:space="0"/>
              <w:right w:val="single" w:color="000000" w:sz="4" w:space="0"/>
            </w:tcBorders>
            <w:shd w:val="clear"/>
            <w:vAlign w:val="center"/>
          </w:tcPr>
          <w:p w14:paraId="46CD6C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&lt;=14万元</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3A65BB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=14万元</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120C5B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5638AB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736" w:type="pct"/>
            <w:gridSpan w:val="2"/>
            <w:tcBorders>
              <w:top w:val="single" w:color="000000" w:sz="4" w:space="0"/>
              <w:left w:val="single" w:color="000000" w:sz="4" w:space="0"/>
              <w:bottom w:val="single" w:color="000000" w:sz="4" w:space="0"/>
              <w:right w:val="single" w:color="000000" w:sz="4" w:space="0"/>
            </w:tcBorders>
            <w:shd w:val="clear"/>
            <w:vAlign w:val="center"/>
          </w:tcPr>
          <w:p w14:paraId="4701D56F">
            <w:pPr>
              <w:snapToGrid w:val="0"/>
              <w:jc w:val="center"/>
              <w:rPr>
                <w:rFonts w:hint="eastAsia" w:ascii="宋体" w:hAnsi="宋体" w:eastAsia="宋体" w:cs="宋体"/>
                <w:i w:val="0"/>
                <w:iCs w:val="0"/>
                <w:color w:val="000000"/>
                <w:sz w:val="20"/>
                <w:szCs w:val="20"/>
                <w:u w:val="none"/>
              </w:rPr>
            </w:pPr>
          </w:p>
        </w:tc>
      </w:tr>
      <w:tr w14:paraId="2F052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CE3BBD">
            <w:pPr>
              <w:snapToGrid w:val="0"/>
              <w:jc w:val="center"/>
              <w:rPr>
                <w:rFonts w:hint="eastAsia" w:ascii="宋体" w:hAnsi="宋体" w:eastAsia="宋体" w:cs="宋体"/>
                <w:i w:val="0"/>
                <w:iCs w:val="0"/>
                <w:color w:val="000000"/>
                <w:sz w:val="20"/>
                <w:szCs w:val="20"/>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FCDEEF">
            <w:pPr>
              <w:snapToGrid w:val="0"/>
              <w:jc w:val="center"/>
              <w:rPr>
                <w:rFonts w:hint="eastAsia" w:ascii="宋体" w:hAnsi="宋体" w:eastAsia="宋体" w:cs="宋体"/>
                <w:i w:val="0"/>
                <w:iCs w:val="0"/>
                <w:color w:val="000000"/>
                <w:sz w:val="20"/>
                <w:szCs w:val="20"/>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39E3C3">
            <w:pPr>
              <w:snapToGrid w:val="0"/>
              <w:jc w:val="center"/>
              <w:rPr>
                <w:rFonts w:hint="eastAsia" w:ascii="宋体" w:hAnsi="宋体" w:eastAsia="宋体" w:cs="宋体"/>
                <w:i w:val="0"/>
                <w:iCs w:val="0"/>
                <w:color w:val="000000"/>
                <w:sz w:val="20"/>
                <w:szCs w:val="20"/>
                <w:u w:val="none"/>
              </w:rPr>
            </w:pPr>
          </w:p>
        </w:tc>
        <w:tc>
          <w:tcPr>
            <w:tcW w:w="1571" w:type="pct"/>
            <w:tcBorders>
              <w:top w:val="single" w:color="000000" w:sz="4" w:space="0"/>
              <w:left w:val="single" w:color="000000" w:sz="4" w:space="0"/>
              <w:bottom w:val="single" w:color="000000" w:sz="4" w:space="0"/>
              <w:right w:val="single" w:color="000000" w:sz="4" w:space="0"/>
            </w:tcBorders>
            <w:shd w:val="clear"/>
            <w:noWrap/>
            <w:vAlign w:val="center"/>
          </w:tcPr>
          <w:p w14:paraId="4F211A7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发表论文相关成本</w:t>
            </w:r>
          </w:p>
        </w:tc>
        <w:tc>
          <w:tcPr>
            <w:tcW w:w="450" w:type="pct"/>
            <w:tcBorders>
              <w:top w:val="single" w:color="000000" w:sz="4" w:space="0"/>
              <w:left w:val="single" w:color="000000" w:sz="4" w:space="0"/>
              <w:bottom w:val="single" w:color="000000" w:sz="4" w:space="0"/>
              <w:right w:val="single" w:color="000000" w:sz="4" w:space="0"/>
            </w:tcBorders>
            <w:shd w:val="clear"/>
            <w:vAlign w:val="center"/>
          </w:tcPr>
          <w:p w14:paraId="7AC405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&lt;=5万元</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52EB6E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=5万元</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14A0CE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3B3671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736" w:type="pct"/>
            <w:gridSpan w:val="2"/>
            <w:tcBorders>
              <w:top w:val="single" w:color="000000" w:sz="4" w:space="0"/>
              <w:left w:val="single" w:color="000000" w:sz="4" w:space="0"/>
              <w:bottom w:val="single" w:color="000000" w:sz="4" w:space="0"/>
              <w:right w:val="single" w:color="000000" w:sz="4" w:space="0"/>
            </w:tcBorders>
            <w:shd w:val="clear"/>
            <w:vAlign w:val="center"/>
          </w:tcPr>
          <w:p w14:paraId="1452E57F">
            <w:pPr>
              <w:snapToGrid w:val="0"/>
              <w:jc w:val="center"/>
              <w:rPr>
                <w:rFonts w:hint="eastAsia" w:ascii="宋体" w:hAnsi="宋体" w:eastAsia="宋体" w:cs="宋体"/>
                <w:i w:val="0"/>
                <w:iCs w:val="0"/>
                <w:color w:val="000000"/>
                <w:sz w:val="20"/>
                <w:szCs w:val="20"/>
                <w:u w:val="none"/>
              </w:rPr>
            </w:pPr>
          </w:p>
        </w:tc>
      </w:tr>
      <w:tr w14:paraId="3CD07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8640DB">
            <w:pPr>
              <w:snapToGrid w:val="0"/>
              <w:jc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6497DB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6BF8BD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1571" w:type="pct"/>
            <w:tcBorders>
              <w:top w:val="single" w:color="000000" w:sz="4" w:space="0"/>
              <w:left w:val="single" w:color="000000" w:sz="4" w:space="0"/>
              <w:bottom w:val="single" w:color="000000" w:sz="4" w:space="0"/>
              <w:right w:val="single" w:color="000000" w:sz="4" w:space="0"/>
            </w:tcBorders>
            <w:shd w:val="clear"/>
            <w:noWrap/>
            <w:vAlign w:val="center"/>
          </w:tcPr>
          <w:p w14:paraId="5619406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提高教育教学名师引领作用</w:t>
            </w:r>
          </w:p>
        </w:tc>
        <w:tc>
          <w:tcPr>
            <w:tcW w:w="450" w:type="pct"/>
            <w:tcBorders>
              <w:top w:val="single" w:color="000000" w:sz="4" w:space="0"/>
              <w:left w:val="single" w:color="000000" w:sz="4" w:space="0"/>
              <w:bottom w:val="single" w:color="000000" w:sz="4" w:space="0"/>
              <w:right w:val="single" w:color="000000" w:sz="4" w:space="0"/>
            </w:tcBorders>
            <w:shd w:val="clear"/>
            <w:vAlign w:val="center"/>
          </w:tcPr>
          <w:p w14:paraId="6A89BE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有效提高</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4A808B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00E658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04A355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36" w:type="pct"/>
            <w:gridSpan w:val="2"/>
            <w:tcBorders>
              <w:top w:val="single" w:color="000000" w:sz="4" w:space="0"/>
              <w:left w:val="single" w:color="000000" w:sz="4" w:space="0"/>
              <w:bottom w:val="single" w:color="000000" w:sz="4" w:space="0"/>
              <w:right w:val="single" w:color="000000" w:sz="4" w:space="0"/>
            </w:tcBorders>
            <w:shd w:val="clear"/>
            <w:vAlign w:val="center"/>
          </w:tcPr>
          <w:p w14:paraId="1E5BA416">
            <w:pPr>
              <w:snapToGrid w:val="0"/>
              <w:jc w:val="center"/>
              <w:rPr>
                <w:rFonts w:hint="eastAsia" w:ascii="宋体" w:hAnsi="宋体" w:eastAsia="宋体" w:cs="宋体"/>
                <w:i w:val="0"/>
                <w:iCs w:val="0"/>
                <w:color w:val="000000"/>
                <w:sz w:val="20"/>
                <w:szCs w:val="20"/>
                <w:u w:val="none"/>
              </w:rPr>
            </w:pPr>
          </w:p>
        </w:tc>
      </w:tr>
      <w:tr w14:paraId="3C3A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89E8F2">
            <w:pPr>
              <w:snapToGrid w:val="0"/>
              <w:jc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FEBFB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2C4356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71" w:type="pct"/>
            <w:tcBorders>
              <w:top w:val="single" w:color="000000" w:sz="4" w:space="0"/>
              <w:left w:val="single" w:color="000000" w:sz="4" w:space="0"/>
              <w:bottom w:val="single" w:color="000000" w:sz="4" w:space="0"/>
              <w:right w:val="single" w:color="000000" w:sz="4" w:space="0"/>
            </w:tcBorders>
            <w:shd w:val="clear"/>
            <w:noWrap/>
            <w:vAlign w:val="center"/>
          </w:tcPr>
          <w:p w14:paraId="06167BA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天山英才工作室名师满意度</w:t>
            </w:r>
          </w:p>
        </w:tc>
        <w:tc>
          <w:tcPr>
            <w:tcW w:w="450" w:type="pct"/>
            <w:tcBorders>
              <w:top w:val="single" w:color="000000" w:sz="4" w:space="0"/>
              <w:left w:val="single" w:color="000000" w:sz="4" w:space="0"/>
              <w:bottom w:val="single" w:color="000000" w:sz="4" w:space="0"/>
              <w:right w:val="single" w:color="000000" w:sz="4" w:space="0"/>
            </w:tcBorders>
            <w:shd w:val="clear"/>
            <w:vAlign w:val="center"/>
          </w:tcPr>
          <w:p w14:paraId="247CAE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&gt;=90%</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586C5B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395364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7277C9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36" w:type="pct"/>
            <w:gridSpan w:val="2"/>
            <w:tcBorders>
              <w:top w:val="single" w:color="000000" w:sz="4" w:space="0"/>
              <w:left w:val="single" w:color="000000" w:sz="4" w:space="0"/>
              <w:bottom w:val="single" w:color="000000" w:sz="4" w:space="0"/>
              <w:right w:val="single" w:color="000000" w:sz="4" w:space="0"/>
            </w:tcBorders>
            <w:shd w:val="clear"/>
            <w:vAlign w:val="center"/>
          </w:tcPr>
          <w:p w14:paraId="7287CFC1">
            <w:pPr>
              <w:snapToGrid w:val="0"/>
              <w:jc w:val="center"/>
              <w:rPr>
                <w:rFonts w:hint="eastAsia" w:ascii="宋体" w:hAnsi="宋体" w:eastAsia="宋体" w:cs="宋体"/>
                <w:i w:val="0"/>
                <w:iCs w:val="0"/>
                <w:color w:val="000000"/>
                <w:sz w:val="20"/>
                <w:szCs w:val="20"/>
                <w:u w:val="none"/>
              </w:rPr>
            </w:pPr>
          </w:p>
        </w:tc>
      </w:tr>
      <w:tr w14:paraId="6FC1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7" w:type="pct"/>
            <w:gridSpan w:val="6"/>
            <w:tcBorders>
              <w:top w:val="single" w:color="000000" w:sz="4" w:space="0"/>
              <w:left w:val="single" w:color="000000" w:sz="4" w:space="0"/>
              <w:bottom w:val="single" w:color="000000" w:sz="4" w:space="0"/>
              <w:right w:val="single" w:color="000000" w:sz="4" w:space="0"/>
            </w:tcBorders>
            <w:shd w:val="clear"/>
            <w:vAlign w:val="center"/>
          </w:tcPr>
          <w:p w14:paraId="2B5A97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37290F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44B597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736" w:type="pct"/>
            <w:gridSpan w:val="2"/>
            <w:tcBorders>
              <w:top w:val="single" w:color="000000" w:sz="4" w:space="0"/>
              <w:left w:val="single" w:color="000000" w:sz="4" w:space="0"/>
              <w:bottom w:val="single" w:color="000000" w:sz="4" w:space="0"/>
              <w:right w:val="single" w:color="000000" w:sz="4" w:space="0"/>
            </w:tcBorders>
            <w:shd w:val="clear"/>
            <w:vAlign w:val="center"/>
          </w:tcPr>
          <w:p w14:paraId="15D80F15">
            <w:pPr>
              <w:snapToGrid w:val="0"/>
              <w:jc w:val="center"/>
              <w:rPr>
                <w:rFonts w:hint="eastAsia" w:ascii="宋体" w:hAnsi="宋体" w:eastAsia="宋体" w:cs="宋体"/>
                <w:i w:val="0"/>
                <w:iCs w:val="0"/>
                <w:color w:val="000000"/>
                <w:sz w:val="20"/>
                <w:szCs w:val="20"/>
                <w:u w:val="none"/>
              </w:rPr>
            </w:pPr>
          </w:p>
        </w:tc>
      </w:tr>
    </w:tbl>
    <w:p w14:paraId="6ACC985E">
      <w:pPr>
        <w:rPr>
          <w:rFonts w:hint="default" w:ascii="Times New Roman" w:hAnsi="Times New Roman" w:cs="Times New Roman"/>
          <w:highlight w:val="none"/>
        </w:rPr>
      </w:pP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6E9D485D">
        <w:pPr>
          <w:pStyle w:val="7"/>
          <w:jc w:val="center"/>
        </w:pPr>
        <w:r>
          <w:fldChar w:fldCharType="begin"/>
        </w:r>
        <w:r>
          <w:instrText xml:space="preserve">PAGE   \* MERGEFORMAT</w:instrText>
        </w:r>
        <w:r>
          <w:fldChar w:fldCharType="separate"/>
        </w:r>
        <w:r>
          <w:rPr>
            <w:lang w:val="zh-CN"/>
          </w:rPr>
          <w:t>13</w:t>
        </w:r>
        <w:r>
          <w:fldChar w:fldCharType="end"/>
        </w:r>
      </w:p>
    </w:sdtContent>
  </w:sdt>
  <w:p w14:paraId="049FE44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6F7242"/>
    <w:rsid w:val="007B168A"/>
    <w:rsid w:val="008B2CFE"/>
    <w:rsid w:val="00F26FF6"/>
    <w:rsid w:val="01610122"/>
    <w:rsid w:val="02510197"/>
    <w:rsid w:val="03EC461B"/>
    <w:rsid w:val="07397B77"/>
    <w:rsid w:val="0AD007F3"/>
    <w:rsid w:val="0E3C619F"/>
    <w:rsid w:val="0F6273CA"/>
    <w:rsid w:val="100F38EC"/>
    <w:rsid w:val="11170296"/>
    <w:rsid w:val="12C66037"/>
    <w:rsid w:val="12CD1ABC"/>
    <w:rsid w:val="13471461"/>
    <w:rsid w:val="13B90F01"/>
    <w:rsid w:val="155E4C4D"/>
    <w:rsid w:val="181066D2"/>
    <w:rsid w:val="1A253850"/>
    <w:rsid w:val="1C671E73"/>
    <w:rsid w:val="1D322C47"/>
    <w:rsid w:val="23616034"/>
    <w:rsid w:val="23696C97"/>
    <w:rsid w:val="24480FA2"/>
    <w:rsid w:val="25227A45"/>
    <w:rsid w:val="26AC3A6A"/>
    <w:rsid w:val="2B9D7E25"/>
    <w:rsid w:val="2BFD6A4C"/>
    <w:rsid w:val="2C7C7A3B"/>
    <w:rsid w:val="2E2407C3"/>
    <w:rsid w:val="2F364819"/>
    <w:rsid w:val="2FD63906"/>
    <w:rsid w:val="328E189C"/>
    <w:rsid w:val="35423E10"/>
    <w:rsid w:val="35857172"/>
    <w:rsid w:val="37215DAE"/>
    <w:rsid w:val="38CA40DD"/>
    <w:rsid w:val="395F2B56"/>
    <w:rsid w:val="3A466128"/>
    <w:rsid w:val="3B482032"/>
    <w:rsid w:val="3BBA0580"/>
    <w:rsid w:val="3BECE841"/>
    <w:rsid w:val="3CDE204C"/>
    <w:rsid w:val="3D363C36"/>
    <w:rsid w:val="3E9C3F6D"/>
    <w:rsid w:val="3FF7797D"/>
    <w:rsid w:val="46690BD8"/>
    <w:rsid w:val="49792371"/>
    <w:rsid w:val="49F70BF1"/>
    <w:rsid w:val="4B4340EE"/>
    <w:rsid w:val="4F156272"/>
    <w:rsid w:val="503D507A"/>
    <w:rsid w:val="50A517B9"/>
    <w:rsid w:val="50E35F3F"/>
    <w:rsid w:val="51FA74D0"/>
    <w:rsid w:val="52AA4A52"/>
    <w:rsid w:val="533269B7"/>
    <w:rsid w:val="539122BC"/>
    <w:rsid w:val="539D3AD1"/>
    <w:rsid w:val="59943D66"/>
    <w:rsid w:val="59E051FD"/>
    <w:rsid w:val="59E6355E"/>
    <w:rsid w:val="5A3133FC"/>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B3158B9"/>
    <w:rsid w:val="6BA02A3F"/>
    <w:rsid w:val="6BE865BF"/>
    <w:rsid w:val="6C105349"/>
    <w:rsid w:val="6C1E5A53"/>
    <w:rsid w:val="6F5C41AC"/>
    <w:rsid w:val="6FAF6C78"/>
    <w:rsid w:val="716167CC"/>
    <w:rsid w:val="718A7AD1"/>
    <w:rsid w:val="7194703D"/>
    <w:rsid w:val="72A44BC2"/>
    <w:rsid w:val="7317C656"/>
    <w:rsid w:val="734ED73F"/>
    <w:rsid w:val="73C01851"/>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133658"/>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10429</Words>
  <Characters>10735</Characters>
  <Lines>58</Lines>
  <Paragraphs>16</Paragraphs>
  <TotalTime>8</TotalTime>
  <ScaleCrop>false</ScaleCrop>
  <LinksUpToDate>false</LinksUpToDate>
  <CharactersWithSpaces>10757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2025-11-27T02:57:35Z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0ED140510EAF41D8B82FD56D6C354A4D_13</vt:lpwstr>
  </property>
  <property fmtid="{D5CDD505-2E9C-101B-9397-08002B2CF9AE}" pid="4" name="KSOTemplateDocerSaveRecord">
    <vt:lpwstr>eyJoZGlkIjoiOGFkNmZiY2VjMDdjZjNhYjcxMzg2NTlkY2FmMDAzYzIiLCJ1c2VySWQiOiIzMTEwOTcwNTkifQ==</vt:lpwstr>
  </property>
</Properties>
</file>