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长胜东</w:t>
      </w:r>
      <w:r>
        <w:rPr>
          <w:rFonts w:hint="eastAsia" w:ascii="Times New Roman" w:hAnsi="Times New Roman" w:eastAsia="方正小标宋_GBK" w:cs="Times New Roman"/>
          <w:sz w:val="44"/>
          <w:szCs w:val="44"/>
          <w:lang w:eastAsia="zh-CN"/>
        </w:rPr>
        <w:t>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b/>
          <w:bCs/>
          <w:color w:val="auto"/>
          <w:sz w:val="32"/>
          <w:szCs w:val="32"/>
          <w:lang w:val="en-US" w:eastAsia="zh-CN"/>
        </w:rPr>
        <w:t>长胜东</w:t>
      </w:r>
      <w:r>
        <w:rPr>
          <w:rFonts w:hint="default" w:ascii="Times New Roman" w:hAnsi="Times New Roman" w:eastAsia="方正仿宋_GBK" w:cs="Times New Roman"/>
          <w:b/>
          <w:bCs/>
          <w:color w:val="auto"/>
          <w:sz w:val="32"/>
          <w:szCs w:val="32"/>
        </w:rPr>
        <w:t>街道办事处</w:t>
      </w:r>
      <w:r>
        <w:rPr>
          <w:rFonts w:hint="default" w:ascii="Times New Roman" w:hAnsi="Times New Roman" w:eastAsia="方正仿宋_GBK" w:cs="Times New Roman"/>
          <w:sz w:val="32"/>
          <w:szCs w:val="32"/>
        </w:rPr>
        <w:t>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一、执法主体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执法主体名称：乌鲁木齐市沙依巴克区</w:t>
      </w:r>
      <w:r>
        <w:rPr>
          <w:rFonts w:hint="eastAsia" w:ascii="Times New Roman" w:hAnsi="Times New Roman" w:eastAsia="方正仿宋_GBK" w:cs="Times New Roman"/>
          <w:sz w:val="32"/>
          <w:szCs w:val="32"/>
          <w:lang w:val="en-US" w:eastAsia="zh-CN"/>
        </w:rPr>
        <w:t>长胜东</w:t>
      </w:r>
      <w:r>
        <w:rPr>
          <w:rFonts w:hint="eastAsia" w:ascii="Times New Roman" w:hAnsi="Times New Roman" w:eastAsia="方正仿宋_GBK" w:cs="Times New Roman"/>
          <w:sz w:val="32"/>
          <w:szCs w:val="32"/>
          <w:lang w:eastAsia="zh-CN"/>
        </w:rPr>
        <w:t>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执法机构设置：乌鲁木齐市沙依巴克区</w:t>
      </w:r>
      <w:r>
        <w:rPr>
          <w:rFonts w:hint="eastAsia" w:ascii="Times New Roman" w:hAnsi="Times New Roman" w:eastAsia="方正仿宋_GBK" w:cs="Times New Roman"/>
          <w:sz w:val="32"/>
          <w:szCs w:val="32"/>
          <w:lang w:val="en-US" w:eastAsia="zh-CN"/>
        </w:rPr>
        <w:t>长胜东</w:t>
      </w:r>
      <w:r>
        <w:rPr>
          <w:rFonts w:hint="eastAsia" w:ascii="Times New Roman" w:hAnsi="Times New Roman" w:eastAsia="方正仿宋_GBK" w:cs="Times New Roman"/>
          <w:sz w:val="32"/>
          <w:szCs w:val="32"/>
          <w:lang w:eastAsia="zh-CN"/>
        </w:rPr>
        <w:t>街道办事处综合行政执法队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办公地址：乌鲁木齐市沙依巴克区</w:t>
      </w:r>
      <w:r>
        <w:rPr>
          <w:rFonts w:hint="eastAsia" w:ascii="Times New Roman" w:hAnsi="Times New Roman" w:eastAsia="方正仿宋_GBK" w:cs="Times New Roman"/>
          <w:sz w:val="32"/>
          <w:szCs w:val="32"/>
          <w:lang w:val="en-US" w:eastAsia="zh-CN"/>
        </w:rPr>
        <w:t>仓房沟南路西梁街6号长胜东</w:t>
      </w:r>
      <w:r>
        <w:rPr>
          <w:rFonts w:hint="eastAsia" w:ascii="Times New Roman" w:hAnsi="Times New Roman" w:eastAsia="方正仿宋_GBK" w:cs="Times New Roman"/>
          <w:sz w:val="32"/>
          <w:szCs w:val="32"/>
          <w:lang w:eastAsia="zh-CN"/>
        </w:rPr>
        <w:t>街道办事处综合执法队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13999800015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方正仿宋_GBK" w:cs="Times New Roman"/>
          <w:sz w:val="32"/>
          <w:szCs w:val="32"/>
        </w:rPr>
        <w:t>执法人员信息：</w:t>
      </w:r>
    </w:p>
    <w:tbl>
      <w:tblPr>
        <w:tblStyle w:val="3"/>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538"/>
        <w:gridCol w:w="148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val="en-US" w:eastAsia="zh-CN"/>
              </w:rPr>
              <w:t>艾斯卡尔</w:t>
            </w:r>
            <w:r>
              <w:rPr>
                <w:rFonts w:hint="default" w:ascii="Times New Roman" w:hAnsi="Times New Roman" w:eastAsia="方正仿宋_GBK" w:cs="Times New Roman"/>
                <w:sz w:val="32"/>
                <w:szCs w:val="32"/>
                <w:vertAlign w:val="baseline"/>
              </w:rPr>
              <w:t>•阿</w:t>
            </w:r>
            <w:r>
              <w:rPr>
                <w:rFonts w:hint="eastAsia" w:ascii="Times New Roman" w:hAnsi="Times New Roman" w:eastAsia="方正仿宋_GBK" w:cs="Times New Roman"/>
                <w:sz w:val="32"/>
                <w:szCs w:val="32"/>
                <w:vertAlign w:val="baseline"/>
                <w:lang w:val="en-US" w:eastAsia="zh-CN"/>
              </w:rPr>
              <w:t>不力米提</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31010296</w:t>
            </w:r>
            <w:r>
              <w:rPr>
                <w:rFonts w:hint="eastAsia" w:ascii="Times New Roman" w:hAnsi="Times New Roman" w:eastAsia="方正仿宋_GBK" w:cs="Times New Roman"/>
                <w:sz w:val="32"/>
                <w:szCs w:val="32"/>
                <w:vertAlign w:val="baseline"/>
                <w:lang w:val="en-US" w:eastAsia="zh-CN"/>
              </w:rPr>
              <w:t>14</w:t>
            </w:r>
            <w:r>
              <w:rPr>
                <w:rFonts w:hint="default" w:ascii="Times New Roman" w:hAnsi="Times New Roman" w:eastAsia="方正仿宋_GBK" w:cs="Times New Roman"/>
                <w:sz w:val="32"/>
                <w:szCs w:val="32"/>
                <w:vertAlign w:val="baseli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rPr>
            </w:pPr>
            <w:r>
              <w:rPr>
                <w:rFonts w:hint="eastAsia" w:ascii="Times New Roman" w:hAnsi="Times New Roman" w:eastAsia="方正仿宋_GBK" w:cs="Times New Roman"/>
                <w:sz w:val="32"/>
                <w:szCs w:val="32"/>
                <w:vertAlign w:val="baseline"/>
                <w:lang w:val="en-US" w:eastAsia="zh-CN"/>
              </w:rPr>
              <w:t>努尔买买提</w:t>
            </w:r>
            <w:r>
              <w:rPr>
                <w:rFonts w:hint="default" w:ascii="Times New Roman" w:hAnsi="Times New Roman" w:eastAsia="方正仿宋_GBK" w:cs="Times New Roman"/>
                <w:sz w:val="32"/>
                <w:szCs w:val="32"/>
                <w:vertAlign w:val="baseline"/>
              </w:rPr>
              <w:t>•</w:t>
            </w:r>
            <w:r>
              <w:rPr>
                <w:rFonts w:hint="eastAsia" w:ascii="Times New Roman" w:hAnsi="Times New Roman" w:eastAsia="方正仿宋_GBK" w:cs="Times New Roman"/>
                <w:sz w:val="32"/>
                <w:szCs w:val="32"/>
                <w:vertAlign w:val="baseline"/>
                <w:lang w:val="en-US" w:eastAsia="zh-CN"/>
              </w:rPr>
              <w:t>肉孜</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男</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rPr>
              <w:t>31010296</w:t>
            </w:r>
            <w:r>
              <w:rPr>
                <w:rFonts w:hint="eastAsia" w:ascii="Times New Roman" w:hAnsi="Times New Roman" w:eastAsia="方正仿宋_GBK" w:cs="Times New Roman"/>
                <w:sz w:val="32"/>
                <w:szCs w:val="32"/>
                <w:vertAlign w:val="baseline"/>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val="en-US" w:eastAsia="zh-CN"/>
              </w:rPr>
              <w:t>阿力木</w:t>
            </w:r>
            <w:r>
              <w:rPr>
                <w:rFonts w:hint="default" w:ascii="Times New Roman" w:hAnsi="Times New Roman" w:eastAsia="方正仿宋_GBK" w:cs="Times New Roman"/>
                <w:sz w:val="32"/>
                <w:szCs w:val="32"/>
                <w:vertAlign w:val="baseline"/>
              </w:rPr>
              <w:t>•</w:t>
            </w:r>
            <w:r>
              <w:rPr>
                <w:rFonts w:hint="eastAsia" w:ascii="Times New Roman" w:hAnsi="Times New Roman" w:eastAsia="方正仿宋_GBK" w:cs="Times New Roman"/>
                <w:sz w:val="32"/>
                <w:szCs w:val="32"/>
                <w:vertAlign w:val="baseline"/>
                <w:lang w:val="en-US" w:eastAsia="zh-CN"/>
              </w:rPr>
              <w:t>吾斯曼</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男</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rPr>
              <w:t>31010296</w:t>
            </w:r>
            <w:r>
              <w:rPr>
                <w:rFonts w:hint="eastAsia" w:ascii="Times New Roman" w:hAnsi="Times New Roman" w:eastAsia="方正仿宋_GBK" w:cs="Times New Roman"/>
                <w:sz w:val="32"/>
                <w:szCs w:val="32"/>
                <w:vertAlign w:val="baseline"/>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353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val="en-US" w:eastAsia="zh-CN"/>
              </w:rPr>
              <w:t>古力皮亚</w:t>
            </w:r>
            <w:r>
              <w:rPr>
                <w:rFonts w:hint="default" w:ascii="Times New Roman" w:hAnsi="Times New Roman" w:eastAsia="方正仿宋_GBK" w:cs="Times New Roman"/>
                <w:sz w:val="32"/>
                <w:szCs w:val="32"/>
                <w:vertAlign w:val="baseline"/>
              </w:rPr>
              <w:t>•</w:t>
            </w:r>
            <w:r>
              <w:rPr>
                <w:rFonts w:hint="eastAsia" w:ascii="Times New Roman" w:hAnsi="Times New Roman" w:eastAsia="方正仿宋_GBK" w:cs="Times New Roman"/>
                <w:sz w:val="32"/>
                <w:szCs w:val="32"/>
                <w:vertAlign w:val="baseline"/>
                <w:lang w:val="en-US" w:eastAsia="zh-CN"/>
              </w:rPr>
              <w:t>艾尔肯</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女</w:t>
            </w:r>
          </w:p>
        </w:tc>
        <w:tc>
          <w:tcPr>
            <w:tcW w:w="2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rPr>
              <w:t>31010296</w:t>
            </w:r>
            <w:r>
              <w:rPr>
                <w:rFonts w:hint="eastAsia" w:ascii="Times New Roman" w:hAnsi="Times New Roman" w:eastAsia="方正仿宋_GBK" w:cs="Times New Roman"/>
                <w:sz w:val="32"/>
                <w:szCs w:val="32"/>
                <w:vertAlign w:val="baseline"/>
                <w:lang w:val="en-US" w:eastAsia="zh-CN"/>
              </w:rPr>
              <w:t>151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黑体" w:cs="Times New Roman"/>
          <w:sz w:val="32"/>
          <w:szCs w:val="32"/>
        </w:rPr>
        <w:t>二、行政执法职责和权限</w:t>
      </w:r>
    </w:p>
    <w:p>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28.对未依法取得公共场所卫生许可证擅自营业，涂改、转让、倒卖有效卫生许可证的处罚；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29.对造成公路路面损坏、污染或者影响公路畅通行为的处罚；</w:t>
      </w:r>
    </w:p>
    <w:p>
      <w:pPr>
        <w:spacing w:line="40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30.对铁轮车、履带车和其他可能损害路面的机具擅自在公路上行驶行为的处罚；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(三定方案)：沙党办发〔2024〕30号《中共沙依巴克区委办公室 沙依巴克区人民政府办公室关于印发《中国共产党乌鲁木齐市沙依巴克区长胜东街道工作委员会、乌鲁木齐市沙依巴克区长胜东街道办事处职能配置、机构设置和人员编制规定</w:t>
      </w:r>
      <w:bookmarkStart w:id="0" w:name="_GoBack"/>
      <w:bookmarkEnd w:id="0"/>
      <w:r>
        <w:rPr>
          <w:rFonts w:hint="eastAsia" w:ascii="Times New Roman" w:hAnsi="Times New Roman" w:eastAsia="方正仿宋_GBK" w:cs="Times New Roman"/>
          <w:sz w:val="32"/>
          <w:szCs w:val="32"/>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五、权力和责任清单</w:t>
      </w:r>
    </w:p>
    <w:p>
      <w:pPr>
        <w:spacing w:line="4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4.</w:t>
      </w:r>
      <w:r>
        <w:rPr>
          <w:rFonts w:hint="eastAsia" w:ascii="Times New Roman" w:hAnsi="Times New Roman" w:eastAsia="方正仿宋_GBK" w:cs="Times New Roman"/>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5.</w:t>
      </w:r>
      <w:r>
        <w:rPr>
          <w:rFonts w:hint="eastAsia" w:ascii="Times New Roman" w:hAnsi="Times New Roman" w:eastAsia="方正仿宋_GBK" w:cs="Times New Roman"/>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本单位监督途径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投诉</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13899901846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来信举报地址：乌鲁木齐市沙依巴克区</w:t>
      </w:r>
      <w:r>
        <w:rPr>
          <w:rFonts w:hint="eastAsia" w:ascii="Times New Roman" w:hAnsi="Times New Roman" w:eastAsia="方正仿宋_GBK" w:cs="Times New Roman"/>
          <w:sz w:val="32"/>
          <w:szCs w:val="32"/>
          <w:lang w:val="en-US" w:eastAsia="zh-CN"/>
        </w:rPr>
        <w:t>沅江街二十里店社区一楼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（二）行政执法监督途径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eastAsia="zh-CN"/>
        </w:rPr>
        <w:t>投诉举报</w:t>
      </w:r>
      <w:r>
        <w:rPr>
          <w:rFonts w:hint="default" w:ascii="Times New Roman" w:hAnsi="Times New Roman" w:eastAsia="方正仿宋_GBK" w:cs="Times New Roman"/>
          <w:snapToGrid w:val="0"/>
          <w:kern w:val="0"/>
          <w:sz w:val="32"/>
          <w:szCs w:val="32"/>
        </w:rPr>
        <w:t>电话</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val="en-US" w:eastAsia="zh-CN"/>
        </w:rPr>
        <w:t>0991</w:t>
      </w:r>
      <w:r>
        <w:rPr>
          <w:rFonts w:hint="default"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lang w:val="en-US" w:eastAsia="zh-CN"/>
        </w:rPr>
        <w:t>4598967</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w:t>
      </w:r>
      <w:r>
        <w:rPr>
          <w:rFonts w:hint="default" w:ascii="Times New Roman" w:hAnsi="Times New Roman" w:eastAsia="方正仿宋_GBK" w:cs="Times New Roman"/>
          <w:snapToGrid w:val="0"/>
          <w:kern w:val="0"/>
          <w:sz w:val="32"/>
          <w:szCs w:val="32"/>
          <w:lang w:val="en-US" w:eastAsia="zh-CN"/>
        </w:rPr>
        <w:t>司法局</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N2VjYTI2MDZmYTQ0ZWU2YjQzY2ZjYmIxMDQzYmIifQ=="/>
  </w:docVars>
  <w:rsids>
    <w:rsidRoot w:val="00000000"/>
    <w:rsid w:val="05065060"/>
    <w:rsid w:val="0F4D0F1E"/>
    <w:rsid w:val="114655A0"/>
    <w:rsid w:val="11FF112F"/>
    <w:rsid w:val="289F57B7"/>
    <w:rsid w:val="2CCB451E"/>
    <w:rsid w:val="3510337A"/>
    <w:rsid w:val="4F052872"/>
    <w:rsid w:val="523505EB"/>
    <w:rsid w:val="56506D93"/>
    <w:rsid w:val="58C145B7"/>
    <w:rsid w:val="5DE3747B"/>
    <w:rsid w:val="7187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480</Words>
  <Characters>518</Characters>
  <Lines>0</Lines>
  <Paragraphs>0</Paragraphs>
  <TotalTime>4</TotalTime>
  <ScaleCrop>false</ScaleCrop>
  <LinksUpToDate>false</LinksUpToDate>
  <CharactersWithSpaces>520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淘淘</cp:lastModifiedBy>
  <cp:lastPrinted>2024-07-03T10:21:00Z</cp:lastPrinted>
  <dcterms:modified xsi:type="dcterms:W3CDTF">2024-07-08T10:11:02Z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184A0C94BEEE4D199801B8619B59E435_12</vt:lpwstr>
  </property>
</Properties>
</file>