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炉院街</w:t>
      </w:r>
      <w:r>
        <w:rPr>
          <w:rFonts w:hint="eastAsia" w:ascii="Times New Roman" w:hAnsi="Times New Roman" w:eastAsia="方正小标宋_GBK" w:cs="Times New Roman"/>
          <w:sz w:val="44"/>
          <w:szCs w:val="44"/>
          <w:lang w:eastAsia="zh-CN"/>
        </w:rPr>
        <w:t>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根据法律、法规、规章和部门职责规定，在职责范围内依法实施行政执法，现将</w:t>
      </w:r>
      <w:r>
        <w:rPr>
          <w:rFonts w:hint="eastAsia" w:ascii="Times New Roman" w:hAnsi="Times New Roman" w:eastAsia="方正仿宋_GBK" w:cs="Times New Roman"/>
          <w:sz w:val="32"/>
          <w:szCs w:val="32"/>
          <w:lang w:val="en-US" w:eastAsia="zh-CN"/>
        </w:rPr>
        <w:t>炉院街</w:t>
      </w:r>
      <w:r>
        <w:rPr>
          <w:rFonts w:hint="default" w:ascii="Times New Roman" w:hAnsi="Times New Roman" w:eastAsia="方正仿宋_GBK" w:cs="Times New Roman"/>
          <w:sz w:val="32"/>
          <w:szCs w:val="32"/>
        </w:rPr>
        <w:t>街道办事处行政执法的执法主体、执法职责、主要执法依据、执法程序和监督途径等信息公示如下：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执法主体名称：乌鲁木齐市沙依巴克区</w:t>
      </w:r>
      <w:r>
        <w:rPr>
          <w:rFonts w:hint="eastAsia" w:ascii="Times New Roman" w:hAnsi="Times New Roman" w:eastAsia="方正仿宋_GBK" w:cs="Times New Roman"/>
          <w:sz w:val="32"/>
          <w:szCs w:val="32"/>
          <w:lang w:val="en-US" w:eastAsia="zh-CN"/>
        </w:rPr>
        <w:t>炉院街</w:t>
      </w:r>
      <w:r>
        <w:rPr>
          <w:rFonts w:hint="eastAsia" w:ascii="Times New Roman" w:hAnsi="Times New Roman" w:eastAsia="方正仿宋_GBK" w:cs="Times New Roman"/>
          <w:sz w:val="32"/>
          <w:szCs w:val="32"/>
          <w:lang w:eastAsia="zh-CN"/>
        </w:rPr>
        <w:t>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执法机构设置：乌鲁木齐市沙依巴</w:t>
      </w:r>
      <w:bookmarkStart w:id="0" w:name="_GoBack"/>
      <w:bookmarkEnd w:id="0"/>
      <w:r>
        <w:rPr>
          <w:rFonts w:hint="default" w:ascii="Times New Roman" w:hAnsi="Times New Roman" w:eastAsia="方正仿宋_GBK" w:cs="Times New Roman"/>
          <w:sz w:val="32"/>
          <w:szCs w:val="32"/>
        </w:rPr>
        <w:t>克区</w:t>
      </w:r>
      <w:r>
        <w:rPr>
          <w:rFonts w:hint="eastAsia" w:ascii="Times New Roman" w:hAnsi="Times New Roman" w:eastAsia="方正仿宋_GBK" w:cs="Times New Roman"/>
          <w:sz w:val="32"/>
          <w:szCs w:val="32"/>
          <w:lang w:val="en-US" w:eastAsia="zh-CN"/>
        </w:rPr>
        <w:t>炉院街</w:t>
      </w:r>
      <w:r>
        <w:rPr>
          <w:rFonts w:hint="eastAsia" w:ascii="Times New Roman" w:hAnsi="Times New Roman" w:eastAsia="方正仿宋_GBK" w:cs="Times New Roman"/>
          <w:sz w:val="32"/>
          <w:szCs w:val="32"/>
          <w:lang w:eastAsia="zh-CN"/>
        </w:rPr>
        <w:t>街道办事处综合行政执法队</w:t>
      </w:r>
    </w:p>
    <w:p>
      <w:pPr>
        <w:spacing w:line="56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办公地址：乌鲁木齐市沙依巴克区</w:t>
      </w:r>
      <w:r>
        <w:rPr>
          <w:rFonts w:hint="eastAsia" w:ascii="Times New Roman" w:hAnsi="Times New Roman" w:eastAsia="方正仿宋_GBK" w:cs="Times New Roman"/>
          <w:sz w:val="32"/>
          <w:szCs w:val="32"/>
          <w:lang w:val="en-US" w:eastAsia="zh-CN"/>
        </w:rPr>
        <w:t>钱塘江路天宝大厦15-12办公室炉院街</w:t>
      </w:r>
      <w:r>
        <w:rPr>
          <w:rFonts w:hint="eastAsia" w:ascii="Times New Roman" w:hAnsi="Times New Roman" w:eastAsia="方正仿宋_GBK" w:cs="Times New Roman"/>
          <w:sz w:val="32"/>
          <w:szCs w:val="32"/>
          <w:lang w:eastAsia="zh-CN"/>
        </w:rPr>
        <w:t>街道办事处综合执法队</w:t>
      </w:r>
    </w:p>
    <w:p>
      <w:pPr>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联系方式：</w:t>
      </w:r>
      <w:r>
        <w:rPr>
          <w:rFonts w:hint="eastAsia" w:ascii="Times New Roman" w:hAnsi="Times New Roman" w:eastAsia="方正仿宋_GBK" w:cs="Times New Roman"/>
          <w:sz w:val="32"/>
          <w:szCs w:val="32"/>
          <w:lang w:val="en-US" w:eastAsia="zh-CN"/>
        </w:rPr>
        <w:t>0991-5596109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方正仿宋_GBK" w:cs="Times New Roman"/>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序号</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姓名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1</w:t>
            </w:r>
          </w:p>
        </w:tc>
        <w:tc>
          <w:tcPr>
            <w:tcW w:w="3538" w:type="dxa"/>
            <w:vAlign w:val="center"/>
          </w:tcPr>
          <w:p>
            <w:pPr>
              <w:keepNext w:val="0"/>
              <w:keepLines w:val="0"/>
              <w:widowControl/>
              <w:suppressLineNumbers w:val="0"/>
              <w:jc w:val="center"/>
              <w:textAlignment w:val="center"/>
              <w:rPr>
                <w:rFonts w:hint="eastAsia" w:ascii="Times New Roman" w:hAnsi="Times New Roman" w:eastAsia="方正仿宋_GBK" w:cs="Times New Roman"/>
                <w:sz w:val="32"/>
                <w:szCs w:val="32"/>
                <w:vertAlign w:val="baseline"/>
                <w:lang w:eastAsia="zh-CN"/>
              </w:rPr>
            </w:pPr>
            <w:r>
              <w:rPr>
                <w:rFonts w:hint="eastAsia" w:ascii="方正仿宋_GBK" w:hAnsi="方正仿宋_GBK" w:eastAsia="方正仿宋_GBK" w:cs="方正仿宋_GBK"/>
                <w:i w:val="0"/>
                <w:color w:val="000000"/>
                <w:kern w:val="0"/>
                <w:sz w:val="30"/>
                <w:szCs w:val="30"/>
                <w:u w:val="none"/>
                <w:lang w:val="en-US" w:eastAsia="zh-CN" w:bidi="ar"/>
              </w:rPr>
              <w:t>储建</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eastAsia="zh-CN"/>
              </w:rPr>
            </w:pPr>
            <w:r>
              <w:rPr>
                <w:rFonts w:hint="eastAsia" w:ascii="Times New Roman" w:hAnsi="Times New Roman" w:eastAsia="方正仿宋_GBK" w:cs="Times New Roman"/>
                <w:sz w:val="32"/>
                <w:szCs w:val="32"/>
                <w:vertAlign w:val="baseline"/>
                <w:lang w:eastAsia="zh-CN"/>
              </w:rPr>
              <w:t>男</w:t>
            </w:r>
          </w:p>
        </w:tc>
        <w:tc>
          <w:tcPr>
            <w:tcW w:w="281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default" w:ascii="Times New Roman" w:hAnsi="Times New Roman" w:eastAsia="宋体" w:cs="Times New Roman"/>
                <w:i w:val="0"/>
                <w:color w:val="000000"/>
                <w:kern w:val="0"/>
                <w:sz w:val="24"/>
                <w:szCs w:val="24"/>
                <w:u w:val="none"/>
                <w:lang w:val="en-US" w:eastAsia="zh-CN" w:bidi="ar"/>
              </w:rPr>
              <w:t>31010296062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2</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color w:val="000000"/>
                <w:kern w:val="0"/>
                <w:sz w:val="30"/>
                <w:szCs w:val="30"/>
                <w:u w:val="none"/>
                <w:lang w:val="en-US" w:eastAsia="zh-CN" w:bidi="ar"/>
              </w:rPr>
              <w:t>祖木来提•艾克拉木</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pPr>
              <w:keepNext w:val="0"/>
              <w:keepLines w:val="0"/>
              <w:widowControl/>
              <w:suppressLineNumbers w:val="0"/>
              <w:jc w:val="center"/>
              <w:textAlignment w:val="center"/>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31010296064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3</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color w:val="000000"/>
                <w:kern w:val="0"/>
                <w:sz w:val="30"/>
                <w:szCs w:val="30"/>
                <w:u w:val="none"/>
                <w:lang w:val="en-US" w:eastAsia="zh-CN" w:bidi="ar"/>
              </w:rPr>
              <w:t>白智慧</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男</w:t>
            </w:r>
          </w:p>
        </w:tc>
        <w:tc>
          <w:tcPr>
            <w:tcW w:w="2818" w:type="dxa"/>
            <w:vAlign w:val="center"/>
          </w:tcPr>
          <w:p>
            <w:pPr>
              <w:keepNext w:val="0"/>
              <w:keepLines w:val="0"/>
              <w:widowControl/>
              <w:suppressLineNumbers w:val="0"/>
              <w:jc w:val="center"/>
              <w:textAlignment w:val="center"/>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31010296063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4</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color w:val="000000"/>
                <w:kern w:val="0"/>
                <w:sz w:val="30"/>
                <w:szCs w:val="30"/>
                <w:u w:val="none"/>
                <w:lang w:val="en-US" w:eastAsia="zh-CN" w:bidi="ar"/>
              </w:rPr>
              <w:t>玛依拉·库来西</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pPr>
              <w:keepNext w:val="0"/>
              <w:keepLines w:val="0"/>
              <w:widowControl/>
              <w:suppressLineNumbers w:val="0"/>
              <w:jc w:val="center"/>
              <w:textAlignment w:val="center"/>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31010296065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color w:val="000000"/>
                <w:kern w:val="0"/>
                <w:sz w:val="30"/>
                <w:szCs w:val="30"/>
                <w:u w:val="none"/>
                <w:lang w:val="en-US" w:eastAsia="zh-CN" w:bidi="ar"/>
              </w:rPr>
              <w:t>许晓娱</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val="en-US" w:eastAsia="zh-CN"/>
              </w:rPr>
              <w:t>女</w:t>
            </w:r>
          </w:p>
        </w:tc>
        <w:tc>
          <w:tcPr>
            <w:tcW w:w="2818" w:type="dxa"/>
            <w:vAlign w:val="center"/>
          </w:tcPr>
          <w:p>
            <w:pPr>
              <w:keepNext w:val="0"/>
              <w:keepLines w:val="0"/>
              <w:widowControl/>
              <w:suppressLineNumbers w:val="0"/>
              <w:jc w:val="center"/>
              <w:textAlignment w:val="center"/>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31010296066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6</w:t>
            </w:r>
          </w:p>
        </w:tc>
        <w:tc>
          <w:tcPr>
            <w:tcW w:w="3538" w:type="dxa"/>
            <w:vAlign w:val="center"/>
          </w:tcPr>
          <w:p>
            <w:pPr>
              <w:keepNext w:val="0"/>
              <w:keepLines w:val="0"/>
              <w:widowControl/>
              <w:suppressLineNumbers w:val="0"/>
              <w:jc w:val="center"/>
              <w:textAlignment w:val="center"/>
              <w:rPr>
                <w:rFonts w:hint="default" w:ascii="Times New Roman" w:hAnsi="Times New Roman" w:eastAsia="方正仿宋_GBK" w:cs="Times New Roman"/>
                <w:sz w:val="32"/>
                <w:szCs w:val="32"/>
                <w:vertAlign w:val="baseline"/>
              </w:rPr>
            </w:pPr>
            <w:r>
              <w:rPr>
                <w:rFonts w:hint="eastAsia" w:ascii="方正仿宋_GBK" w:hAnsi="方正仿宋_GBK" w:eastAsia="方正仿宋_GBK" w:cs="方正仿宋_GBK"/>
                <w:i w:val="0"/>
                <w:color w:val="000000"/>
                <w:kern w:val="0"/>
                <w:sz w:val="30"/>
                <w:szCs w:val="30"/>
                <w:u w:val="none"/>
                <w:lang w:val="en-US" w:eastAsia="zh-CN" w:bidi="ar"/>
              </w:rPr>
              <w:t>夏荷扎提·玉山江</w:t>
            </w:r>
          </w:p>
        </w:tc>
        <w:tc>
          <w:tcPr>
            <w:tcW w:w="14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vertAlign w:val="baseline"/>
              </w:rPr>
            </w:pPr>
            <w:r>
              <w:rPr>
                <w:rFonts w:hint="eastAsia" w:ascii="Times New Roman" w:hAnsi="Times New Roman" w:eastAsia="方正仿宋_GBK" w:cs="Times New Roman"/>
                <w:sz w:val="32"/>
                <w:szCs w:val="32"/>
                <w:vertAlign w:val="baseline"/>
                <w:lang w:eastAsia="zh-CN"/>
              </w:rPr>
              <w:t>女</w:t>
            </w:r>
          </w:p>
        </w:tc>
        <w:tc>
          <w:tcPr>
            <w:tcW w:w="2818" w:type="dxa"/>
            <w:vAlign w:val="center"/>
          </w:tcPr>
          <w:p>
            <w:pPr>
              <w:keepNext w:val="0"/>
              <w:keepLines w:val="0"/>
              <w:widowControl/>
              <w:suppressLineNumbers w:val="0"/>
              <w:jc w:val="center"/>
              <w:textAlignment w:val="center"/>
              <w:rPr>
                <w:rFonts w:hint="eastAsia" w:ascii="Times New Roman" w:hAnsi="Times New Roman" w:eastAsia="方正仿宋_GBK" w:cs="Times New Roman"/>
                <w:sz w:val="32"/>
                <w:szCs w:val="32"/>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31010296067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color w:val="FF0000"/>
          <w:sz w:val="32"/>
          <w:szCs w:val="32"/>
          <w:lang w:eastAsia="zh-CN"/>
        </w:rPr>
      </w:pPr>
      <w:r>
        <w:rPr>
          <w:rFonts w:hint="default" w:ascii="Times New Roman" w:hAnsi="Times New Roman" w:eastAsia="黑体" w:cs="Times New Roman"/>
          <w:sz w:val="32"/>
          <w:szCs w:val="32"/>
        </w:rPr>
        <w:t>二、行政执法职责和权限</w:t>
      </w:r>
    </w:p>
    <w:p>
      <w:pPr>
        <w:spacing w:line="4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（一）行政处罚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2.对未经批准擅自取水、未按取水许可条件取水的处罚；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4.侵占、破坏水源和抗旱设施的处罚；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7.对在水土流失重点预防区和重点治理区铲草皮、麻黄等违法行为的处罚；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8.对向河流、湖泊、水库、渠道倾倒垃圾的处罚；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11.对非法从事开垦、开发，破坏植被、沙壳、结皮等原生地貌的处罚；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13.对未经同意擅自占用城市绿化用地的处罚；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14.对不服从城市绿地管理单位管理的商业、服务摊点的处罚；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20.对《物业管理条例》第六十三条禁止行为的处罚；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21.对装修人未申报登记进行住宅室内装饰装修活动的处罚；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24.对将厨房、卫生间、阳台和地下储藏室等非原设计的房间出租的处罚；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26.对造成公路路面损坏、污染或者影响公路畅通行为的处罚；</w:t>
      </w:r>
    </w:p>
    <w:p>
      <w:pPr>
        <w:spacing w:line="4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法律依据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2、行政依据 (三定方案)：沙党办发〔2021〕35号《中共沙依巴克区委办公室 沙依巴克区人民政府办公室关于印发《乌鲁木齐市沙依巴克区骑马山片区管理委员会机构编制方案》的通知》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五、权力和责任清单</w:t>
      </w:r>
    </w:p>
    <w:p>
      <w:pPr>
        <w:spacing w:line="40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eastAsia="zh-CN"/>
        </w:rPr>
        <w:t>附件：《关于印发</w:t>
      </w:r>
      <w:r>
        <w:rPr>
          <w:rFonts w:hint="eastAsia" w:ascii="方正仿宋_GBK" w:hAnsi="方正仿宋_GBK" w:eastAsia="方正仿宋_GBK" w:cs="方正仿宋_GBK"/>
          <w:sz w:val="32"/>
          <w:szCs w:val="32"/>
          <w:lang w:eastAsia="zh-CN"/>
        </w:rPr>
        <w:t>〈沙依巴克区街道办事处权责清单〉、〈沙依巴克区“属地管理”事项责任清单〉的通知》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1.</w:t>
      </w:r>
      <w:r>
        <w:rPr>
          <w:rFonts w:hint="eastAsia" w:ascii="Times New Roman" w:hAnsi="Times New Roman" w:eastAsia="方正仿宋_GBK" w:cs="Times New Roman"/>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2.</w:t>
      </w:r>
      <w:r>
        <w:rPr>
          <w:rFonts w:hint="eastAsia" w:ascii="Times New Roman" w:hAnsi="Times New Roman" w:eastAsia="方正仿宋_GBK" w:cs="Times New Roman"/>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3.</w:t>
      </w:r>
      <w:r>
        <w:rPr>
          <w:rFonts w:hint="eastAsia" w:ascii="Times New Roman" w:hAnsi="Times New Roman" w:eastAsia="方正仿宋_GBK" w:cs="Times New Roman"/>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4.</w:t>
      </w:r>
      <w:r>
        <w:rPr>
          <w:rFonts w:hint="eastAsia" w:ascii="Times New Roman" w:hAnsi="Times New Roman" w:eastAsia="方正仿宋_GBK" w:cs="Times New Roman"/>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napToGrid w:val="0"/>
          <w:kern w:val="0"/>
          <w:sz w:val="32"/>
          <w:szCs w:val="32"/>
          <w:lang w:eastAsia="zh-CN"/>
        </w:rPr>
      </w:pPr>
      <w:r>
        <w:rPr>
          <w:rFonts w:hint="eastAsia" w:ascii="Times New Roman" w:hAnsi="Times New Roman" w:eastAsia="方正仿宋_GBK" w:cs="Times New Roman"/>
          <w:snapToGrid w:val="0"/>
          <w:kern w:val="0"/>
          <w:sz w:val="32"/>
          <w:szCs w:val="32"/>
          <w:lang w:val="en-US" w:eastAsia="zh-CN"/>
        </w:rPr>
        <w:t>5.</w:t>
      </w:r>
      <w:r>
        <w:rPr>
          <w:rFonts w:hint="eastAsia" w:ascii="Times New Roman" w:hAnsi="Times New Roman" w:eastAsia="方正仿宋_GBK" w:cs="Times New Roman"/>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w:t>
      </w:r>
      <w:r>
        <w:rPr>
          <w:rFonts w:hint="eastAsia" w:ascii="Times New Roman" w:hAnsi="Times New Roman" w:eastAsia="楷体" w:cs="Times New Roman"/>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投诉</w:t>
      </w:r>
      <w:r>
        <w:rPr>
          <w:rFonts w:hint="default" w:ascii="Times New Roman" w:hAnsi="Times New Roman" w:eastAsia="方正仿宋_GBK" w:cs="Times New Roman"/>
          <w:sz w:val="32"/>
          <w:szCs w:val="32"/>
        </w:rPr>
        <w:t>举报电话：</w:t>
      </w:r>
      <w:r>
        <w:rPr>
          <w:rFonts w:hint="eastAsia" w:ascii="Times New Roman" w:hAnsi="Times New Roman" w:eastAsia="方正仿宋_GBK" w:cs="Times New Roman"/>
          <w:sz w:val="32"/>
          <w:szCs w:val="32"/>
          <w:lang w:val="en-US" w:eastAsia="zh-CN"/>
        </w:rPr>
        <w:t>0991-5866037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来信举报地址：乌鲁木齐市沙依巴克区</w:t>
      </w:r>
      <w:r>
        <w:rPr>
          <w:rFonts w:hint="eastAsia" w:ascii="Times New Roman" w:hAnsi="Times New Roman" w:eastAsia="方正仿宋_GBK" w:cs="Times New Roman"/>
          <w:sz w:val="32"/>
          <w:szCs w:val="32"/>
          <w:lang w:val="en-US" w:eastAsia="zh-CN"/>
        </w:rPr>
        <w:t>炉院街312号炉院街街道司法所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eastAsia="zh-CN"/>
        </w:rPr>
        <w:t>投诉举报</w:t>
      </w:r>
      <w:r>
        <w:rPr>
          <w:rFonts w:hint="default" w:ascii="Times New Roman" w:hAnsi="Times New Roman" w:eastAsia="方正仿宋_GBK" w:cs="Times New Roman"/>
          <w:snapToGrid w:val="0"/>
          <w:kern w:val="0"/>
          <w:sz w:val="32"/>
          <w:szCs w:val="32"/>
        </w:rPr>
        <w:t>电话</w:t>
      </w:r>
      <w:r>
        <w:rPr>
          <w:rFonts w:hint="default" w:ascii="Times New Roman" w:hAnsi="Times New Roman" w:eastAsia="方正仿宋_GBK" w:cs="Times New Roman"/>
          <w:snapToGrid w:val="0"/>
          <w:kern w:val="0"/>
          <w:sz w:val="32"/>
          <w:szCs w:val="32"/>
          <w:lang w:eastAsia="zh-CN"/>
        </w:rPr>
        <w:t>：</w:t>
      </w:r>
      <w:r>
        <w:rPr>
          <w:rFonts w:hint="default" w:ascii="Times New Roman" w:hAnsi="Times New Roman" w:eastAsia="方正仿宋_GBK" w:cs="Times New Roman"/>
          <w:snapToGrid w:val="0"/>
          <w:kern w:val="0"/>
          <w:sz w:val="32"/>
          <w:szCs w:val="32"/>
          <w:lang w:val="en-US" w:eastAsia="zh-CN"/>
        </w:rPr>
        <w:t>0991</w:t>
      </w:r>
      <w:r>
        <w:rPr>
          <w:rFonts w:hint="default" w:ascii="Times New Roman" w:hAnsi="Times New Roman" w:eastAsia="方正仿宋_GBK" w:cs="Times New Roman"/>
          <w:snapToGrid w:val="0"/>
          <w:kern w:val="0"/>
          <w:sz w:val="32"/>
          <w:szCs w:val="32"/>
        </w:rPr>
        <w:t>-</w:t>
      </w:r>
      <w:r>
        <w:rPr>
          <w:rFonts w:hint="eastAsia" w:ascii="Times New Roman" w:hAnsi="Times New Roman" w:eastAsia="方正仿宋_GBK" w:cs="Times New Roman"/>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rPr>
        <w:t>来信</w:t>
      </w:r>
      <w:r>
        <w:rPr>
          <w:rFonts w:hint="default" w:ascii="Times New Roman" w:hAnsi="Times New Roman" w:eastAsia="方正仿宋_GBK" w:cs="Times New Roman"/>
          <w:snapToGrid w:val="0"/>
          <w:kern w:val="0"/>
          <w:sz w:val="32"/>
          <w:szCs w:val="32"/>
          <w:lang w:eastAsia="zh-CN"/>
        </w:rPr>
        <w:t>举报</w:t>
      </w:r>
      <w:r>
        <w:rPr>
          <w:rFonts w:hint="default" w:ascii="Times New Roman" w:hAnsi="Times New Roman" w:eastAsia="方正仿宋_GBK" w:cs="Times New Roman"/>
          <w:snapToGrid w:val="0"/>
          <w:kern w:val="0"/>
          <w:sz w:val="32"/>
          <w:szCs w:val="32"/>
        </w:rPr>
        <w:t>地址：</w:t>
      </w:r>
      <w:r>
        <w:rPr>
          <w:rFonts w:hint="default" w:ascii="Times New Roman" w:hAnsi="Times New Roman" w:eastAsia="方正仿宋_GBK" w:cs="Times New Roman"/>
          <w:snapToGrid w:val="0"/>
          <w:kern w:val="0"/>
          <w:sz w:val="32"/>
          <w:szCs w:val="32"/>
          <w:lang w:eastAsia="zh-CN"/>
        </w:rPr>
        <w:t>乌鲁木齐市</w:t>
      </w:r>
      <w:r>
        <w:rPr>
          <w:rFonts w:hint="eastAsia" w:ascii="Times New Roman" w:hAnsi="Times New Roman" w:eastAsia="方正仿宋_GBK" w:cs="Times New Roman"/>
          <w:snapToGrid w:val="0"/>
          <w:kern w:val="0"/>
          <w:sz w:val="32"/>
          <w:szCs w:val="32"/>
          <w:lang w:eastAsia="zh-CN"/>
        </w:rPr>
        <w:t>沙依巴克区青峰路技工学校区</w:t>
      </w:r>
      <w:r>
        <w:rPr>
          <w:rFonts w:hint="default" w:ascii="Times New Roman" w:hAnsi="Times New Roman" w:eastAsia="方正仿宋_GBK" w:cs="Times New Roman"/>
          <w:snapToGrid w:val="0"/>
          <w:kern w:val="0"/>
          <w:sz w:val="32"/>
          <w:szCs w:val="32"/>
          <w:lang w:val="en-US" w:eastAsia="zh-CN"/>
        </w:rPr>
        <w:t>司法局</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default" w:ascii="Times New Roman" w:hAnsi="Times New Roman" w:eastAsia="方正仿宋_GBK"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WQzNGU2MjZkNzNiNzkzNmM4Yzk4MmIzMjFlNDQifQ=="/>
  </w:docVars>
  <w:rsids>
    <w:rsidRoot w:val="00000000"/>
    <w:rsid w:val="114655A0"/>
    <w:rsid w:val="1A2E76A8"/>
    <w:rsid w:val="1F3069F0"/>
    <w:rsid w:val="56506D93"/>
    <w:rsid w:val="58C145B7"/>
    <w:rsid w:val="5DE3747B"/>
    <w:rsid w:val="6C102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2390</Words>
  <Characters>2552</Characters>
  <Lines>0</Lines>
  <Paragraphs>0</Paragraphs>
  <TotalTime>2</TotalTime>
  <ScaleCrop>false</ScaleCrop>
  <LinksUpToDate>false</LinksUpToDate>
  <CharactersWithSpaces>2561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znf</cp:lastModifiedBy>
  <cp:lastPrinted>2024-07-03T10:21:00Z</cp:lastPrinted>
  <dcterms:modified xsi:type="dcterms:W3CDTF">2024-07-08T10:15:51Z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362E2DAC23B3433E89A6E5CBBE2AE8B2_13</vt:lpwstr>
  </property>
</Properties>
</file>